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یەکەم</w:t>
      </w:r>
    </w:p>
    <w:p>
      <w:pPr>
        <w:pStyle w:val="ArticleSubtitle"/>
        <w:jc w:val="left"/>
      </w:pPr>
      <w:r>
        <w:rPr>
          <w:rFonts w:ascii="Arial" w:hAnsi="Arial" w:eastAsia="Arial" w:cs="Arial"/>
        </w:rPr>
        <w:t>Ulay ile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“Ыдыкты кыдыртыыылар уонна дьон-сэргэ Даниил уонна Аян норуоттарын пророчестволара өйдөнөргө суох кистэлэн-сэһэрэн мистериялар дии санаабыттар. Ол гынан баран Христос үөрэнээччилэрин Даниил пророк тылагар, кинилэр кэмнэригэр буолар буолуох улахан үлэлэр туһунан суруллубуту көрсүбүтэ уонна: ‘Ким ааҕар, өйдөөн истин’ диэн эппитэ. Матфей 24:15. Онтон Аян өйдөнөргө суох, суолтата арыллыбат кистэлэн-сэһэрэн серкэтэ диэн этии бу кинигэ аатын өзө үрдүнэн бэлиэтэнэн киристириллэр: ‘Иисус Христос Аяна, ону Аҕа Ханна киниэхэ биэрбитэ, тус үлэлэрэ сатыыр кэмҥэ буолуохтаах нэһилиэк үлэлэри баһылыыр үчүн.... Бу пророчество тылларын ааҕар киһи, истэр дьон уонна онно суруллубуту тутуһар дьон үөрүүлээхтэр; тоҕо диэтэххэ кэмэ чугаһаата.’ Аян 1:1–3.”</w:t>
      </w:r>
    </w:p>
    <w:p>
      <w:pPr>
        <w:pStyle w:val="ArticleScripture"/>
        <w:jc w:val="left"/>
      </w:pPr>
      <w:r>
        <w:rPr>
          <w:rFonts w:ascii="Times New Roman" w:hAnsi="Times New Roman" w:eastAsia="Times New Roman" w:cs="Times New Roman"/>
        </w:rPr>
        <w:t>قال النبي: «طوبى لِمَن يقرأ» — فثمّة قوم لا يقرأون؛ وليست البركة لهم. «وللذين يسمعون» — وهناك أيضًا أناس يرفضون أن يسمعوا شيئًا عن النبوات؛ فليست البركة لهذه الفئة. «ويحفظون ما هو مكتوب فيها» — كثيرون يرفضون الإصغاء إلى الإنذارات والتعليمات الواردة في سفر الرؤيا. وليس لواحد من هؤلاء أن يدّعي البركة الموعود بها. إن جميع الذين يسخرون من موضوعات النبوة، ويستهزئون بالرموز المعطاة هنا بكل وقار، وجميع الذين يرفضون أن يصلحوا حياتهم ويستعدّوا لمجيء ابن الإنسان، سيكونون بلا بركة.</w:t>
      </w:r>
    </w:p>
    <w:p>
      <w:pPr>
        <w:pStyle w:val="ArticleScripture"/>
        <w:jc w:val="left"/>
      </w:pPr>
      <w:r>
        <w:rPr>
          <w:rFonts w:ascii="Times New Roman" w:hAnsi="Times New Roman" w:eastAsia="Times New Roman" w:cs="Times New Roman"/>
        </w:rPr>
        <w:t>“Vusi bya vumbhoni bya Mupfumelo lowu huhuteriweke, vanhu va nga tini ku dyondzisa leswaku Nhlavutelo i xihundla lexi nga fika-ku-twisisiwa hi mianakanyo ya vanhu? I xihundla lexi paluxiweke, buku leyi pfurhiweke. Ku dyondza ka Nhlavutelo ku kongomisa mianakanyo eka vuprofeta bya Daniyele, naswona hinkwaswo swimbirhi swi humesa dyondzo ya nkoka swinene, leyi Xikwembu xi yi nyikeke vanhu, mayelana ni swiendlo leswi nga ta humelela emakumu ka matimu ya misava leyi.” The Great Controversy, 340.</w:t>
      </w:r>
    </w:p>
    <w:p>
      <w:pPr>
        <w:pStyle w:val="ArticleBody"/>
        <w:jc w:val="left"/>
      </w:pPr>
      <w:r>
        <w:rPr>
          <w:rFonts w:ascii="Times New Roman" w:hAnsi="Times New Roman" w:eastAsia="Times New Roman" w:cs="Times New Roman"/>
        </w:rPr>
        <w:t>A “Study of Revelation irasenkakuy yuyayta Danielpa profecíankunaman pusaykun.” Wakin runakunaqa profecíata Danielpa librollanpi rikunku. Ichaqa Danielqa iskay cheqaq yachachiyta qhawachin, hinaspa paypa profecíankunata rikuchiq cheqaqkunaqa libronpa qhepa soqta kapitunkuna kanku. Ñawpaq soqta kapitukunaqa rikuchisqa profecíata qhawachinku, chaykunaqa llapa hinaqa manaraq reqsichisqachu kashanku. Manaraq Danielpa ñawpaq soqta kapitunkunata qhawarispa, sut’inchasun imaraykuchus Danielpa qhepa soqta kapitunkunapi chiqapta iskaylla profecía kasqanta. Hermana Whiteqa iskay profecíakunata riqsichin Shinarpa iskay hatun mayunkunaman rimarispa. Paypa churakusqan simbolismota chaskispaqa, Danielpa qhepa soqta kapitunkunapi iskay profecíakunata, hinaspa iskayllata, rikunaykupaq llaveta tarisun.</w:t>
      </w:r>
    </w:p>
    <w:p>
      <w:pPr>
        <w:pStyle w:val="ArticleScripture"/>
        <w:jc w:val="left"/>
      </w:pPr>
      <w:r>
        <w:rPr>
          <w:rFonts w:ascii="Times New Roman" w:hAnsi="Times New Roman" w:eastAsia="Times New Roman" w:cs="Times New Roman"/>
        </w:rPr>
        <w:t>“Ër ibil Daniel kon bwae ao ninti etan God e bwainene nayiñ ñan raan kein imwin. Vision ko e ilikin Ulai im Hiddekel, ibben aelōñin Shinar, rej koba ilo jerbal in kōjejjet, im aon event ko a kar baelok enaj itok ñan bōk jet in ien madmōd.” Testimonies to Ministers, 112.</w:t>
      </w:r>
    </w:p>
    <w:p>
      <w:pPr>
        <w:pStyle w:val="ArticleBody"/>
        <w:jc w:val="left"/>
      </w:pPr>
      <w:r>
        <w:rPr>
          <w:rFonts w:ascii="Times New Roman" w:hAnsi="Times New Roman" w:eastAsia="Times New Roman" w:cs="Times New Roman"/>
        </w:rPr>
        <w:t>Visión otz chajtli ocho omonexti itech atentli Ulai.</w:t>
      </w:r>
    </w:p>
    <w:p>
      <w:pPr>
        <w:pStyle w:val="ArticleScripture"/>
        <w:jc w:val="left"/>
      </w:pPr>
      <w:r>
        <w:rPr>
          <w:rFonts w:ascii="Times New Roman" w:hAnsi="Times New Roman" w:eastAsia="Times New Roman" w:cs="Times New Roman"/>
        </w:rPr>
        <w:t>Belshazzar naŋsau ah kum thumna a upat laiin keima Daniel hnenah hmuhtheihna pakhat a lang a, a hmasa bera ka hmuh hnuah chuan. Hmuhtheihnaah chuan ka hmu a; ka hmuh laiin chuan Elam ram chhunga awm Shushan inlalna khuaa ka awm tih a lo thleng a; hmuhtheihnaah chuan ka hmu a, Ulai lui kamah ka awm. Daniel 8:1, 2.</w:t>
      </w:r>
    </w:p>
    <w:p>
      <w:pPr>
        <w:pStyle w:val="ArticleBody"/>
        <w:jc w:val="left"/>
      </w:pPr>
      <w:r>
        <w:rPr>
          <w:rFonts w:ascii="Times New Roman" w:hAnsi="Times New Roman" w:eastAsia="Times New Roman" w:cs="Times New Roman"/>
        </w:rPr>
        <w:t>ꞌAdííłníiʼígíí Testimonies to Ministers yikáadééłtsohígíí, áádóó éí Sister White “Ulai dóó Hiddekel” yił yáʼátiʼgo, áádóó “Shinar bitooh bidáʼáłtsʼíísí bikéyah dóó táláhí átʼé” nídílnéézgo, éí kʼad doo baa nitsáhákees bá haneʼ dah naasháa da; áádóó éí, Sister White bichʼįʼ haneʼígíí Daniel dóó Revelation bibeehazʼáanii yáʼátʼéehgo hodooníłnííłígíí biniinaa biyiʼ ahéheeʼ nihá shikaadééłtsohígíí tʼáá nihá ádin tʼáá ajiłiił bee nitsékeesígíí tʼáá ajiłiił yáhootʼééłígíí bináhásdzo. Biyiʼ haneʼgóó néíłchiłgo, éí níyolgo áhaʼní: “Diyin God bizaad baa hwiindzinígo tʼáá nihá shikaadééłtsoh bee nitsáhákees dooleeł; tʼáá Daniel dóó Revelation biniinaa, nihí naashá bíjí yáhootʼééłígíí biyiʼ tʼáá ajiłiił bikáaʼgi doo hadanóólyeedígíí bee hózhǫ́ǫgo baa nitsáhákees dooleeł.”</w:t>
      </w:r>
    </w:p>
    <w:p>
      <w:pPr>
        <w:pStyle w:val="ArticleBody"/>
        <w:jc w:val="left"/>
      </w:pPr>
      <w:r>
        <w:rPr>
          <w:rFonts w:ascii="Times New Roman" w:hAnsi="Times New Roman" w:eastAsia="Times New Roman" w:cs="Times New Roman"/>
        </w:rPr>
        <w:t>Aneñma ñahesa’ỹijo porãramo umi mokõi versíkulo peteĩha ha mokõiha, rombohérava’ekue Daniel kapítulo ocho-gui, ha’ekuéra ome’ẽ mokõi testígo interno peteĩ hecho rehegua, heta jey ojehecharei hag̃uáicha. Daniel he’i: “Mburuvicha guasu Belsasar arýpe mbohapyhápe, peteĩ visión ojehechauka chéve.” Upéi ombojoapy: “upe ojehechauka vaʼekue chéve ypyete rire.” Ko versíkulo ikatu oñentende mokõi hendáicha, ha mokõivéva ogueru peteĩ conclusión peteĩchante.</w:t>
      </w:r>
    </w:p>
    <w:p>
      <w:pPr>
        <w:pStyle w:val="ArticleBody"/>
        <w:jc w:val="left"/>
      </w:pPr>
      <w:r>
        <w:rPr>
          <w:rFonts w:ascii="Times New Roman" w:hAnsi="Times New Roman" w:eastAsia="Times New Roman" w:cs="Times New Roman"/>
        </w:rPr>
        <w:t>مالئک جبریل وہی تھا جس نے دانی ایل پر نبوتی نور منکشف کیا، جیسا کہ اس نے تمام انبیا کے ساتھ کیا، کیونکہ اس نے آسمانی نوربردار کے طور پر شیطان کی جگہ لے لی تھی۔ اس کا مطلب یہ ہے کہ کلامِ مقدس میں موجود ہر نبوتی قاعدہ جبریل کی رہنمائی میں دیا گیا۔ دانی ایل نے اسے سمجھا ہو یا نہ سمجھا ہو، آٹھویں باب کی پہلی آیت میں وہ نہ صرف ایک اہم نبوتی مشاہدے کی نشان دہی کرتا ہے، بلکہ اسی آیت میں اس اہم نبوتی مشاہدے کے دو گواہ بھی پیش کرتا ہے۔ دانی ایل نے پہلی آیت میں یہ قلم بند کیا کہ اسے اُس رویا سے پہلے بھی ایک رویا دی گئی تھی جو اسے اُولَے دریا کے کنارے ملی۔ اُولَے دریا کے کنارے والی رویا بلشضر کے تیسرے سال میں آئی۔ اور اُولَے دریا کی رویا سے پہلے والی رویا بلشضر کے پہلے سال میں آئی۔</w:t>
      </w:r>
    </w:p>
    <w:p>
      <w:pPr>
        <w:pStyle w:val="ArticleScripture"/>
        <w:jc w:val="left"/>
      </w:pPr>
      <w:r>
        <w:rPr>
          <w:rFonts w:ascii="Nirmala UI" w:hAnsi="Nirmala UI" w:eastAsia="Nirmala UI" w:cs="Nirmala UI"/>
        </w:rPr>
        <w:t>ਪਾਬਲ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ਬੇਲਸ਼ੱਸਰ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ਖਟਿਆ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ਨਿਚੋੜ</w:t>
      </w:r>
      <w:r>
        <w:rPr>
          <w:rFonts w:ascii="Times New Roman" w:hAnsi="Times New Roman" w:eastAsia="Times New Roman" w:cs="Times New Roman"/>
        </w:rPr>
        <w:t xml:space="preserve"> </w:t>
      </w:r>
      <w:r>
        <w:rPr>
          <w:rFonts w:ascii="Nirmala UI" w:hAnsi="Nirmala UI" w:eastAsia="Nirmala UI" w:cs="Nirmala UI"/>
        </w:rPr>
        <w:t>ਬਿਆਨ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7:1</w:t>
      </w:r>
      <w:r>
        <w:rPr>
          <w:rFonts w:ascii="Nirmala UI" w:hAnsi="Nirmala UI" w:eastAsia="Nirmala UI" w:cs="Nirmala UI"/>
        </w:rPr>
        <w:t>।</w:t>
      </w:r>
    </w:p>
    <w:p>
      <w:pPr>
        <w:pStyle w:val="ArticleBody"/>
        <w:jc w:val="left"/>
      </w:pPr>
      <w:r>
        <w:rPr>
          <w:rFonts w:ascii="Ebrima" w:hAnsi="Ebrima" w:eastAsia="Ebrima" w:cs="Ebrima"/>
        </w:rPr>
        <w:t>፪ስ</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በቤልሻጸር</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እንዳየ</w:t>
      </w:r>
      <w:r>
        <w:rPr>
          <w:rFonts w:ascii="Times New Roman" w:hAnsi="Times New Roman" w:eastAsia="Times New Roman" w:cs="Times New Roman"/>
        </w:rPr>
        <w:t xml:space="preserve"> </w:t>
      </w:r>
      <w:r>
        <w:rPr>
          <w:rFonts w:ascii="Ebrima" w:hAnsi="Ebrima" w:eastAsia="Ebrima" w:cs="Ebrima"/>
        </w:rPr>
        <w:t>እየገለጸ</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የታየኝ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የኡላይ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ከቤልሻጸር</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ታየን</w:t>
      </w:r>
      <w:r>
        <w:rPr>
          <w:rFonts w:ascii="Times New Roman" w:hAnsi="Times New Roman" w:eastAsia="Times New Roman" w:cs="Times New Roman"/>
        </w:rPr>
        <w:t xml:space="preserve">? </w:t>
      </w:r>
      <w:r>
        <w:rPr>
          <w:rFonts w:ascii="Ebrima" w:hAnsi="Ebrima" w:eastAsia="Ebrima" w:cs="Ebrima"/>
        </w:rPr>
        <w:t>ወይስ</w:t>
      </w:r>
      <w:r>
        <w:rPr>
          <w:rFonts w:ascii="Times New Roman" w:hAnsi="Times New Roman" w:eastAsia="Times New Roman" w:cs="Times New Roman"/>
        </w:rPr>
        <w:t xml:space="preserve"> </w:t>
      </w:r>
      <w:r>
        <w:rPr>
          <w:rFonts w:ascii="Ebrima" w:hAnsi="Ebrima" w:eastAsia="Ebrima" w:cs="Ebrima"/>
        </w:rPr>
        <w:t>ራእዩ</w:t>
      </w:r>
      <w:r>
        <w:rPr>
          <w:rFonts w:ascii="Times New Roman" w:hAnsi="Times New Roman" w:eastAsia="Times New Roman" w:cs="Times New Roman"/>
        </w:rPr>
        <w:t xml:space="preserve"> </w:t>
      </w:r>
      <w:r>
        <w:rPr>
          <w:rFonts w:ascii="Ebrima" w:hAnsi="Ebrima" w:eastAsia="Ebrima" w:cs="Ebrima"/>
        </w:rPr>
        <w:t>ከእነዚያ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ታየ</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መልሶች</w:t>
      </w:r>
      <w:r>
        <w:rPr>
          <w:rFonts w:ascii="Times New Roman" w:hAnsi="Times New Roman" w:eastAsia="Times New Roman" w:cs="Times New Roman"/>
        </w:rPr>
        <w:t xml:space="preserve"> </w:t>
      </w:r>
      <w:r>
        <w:rPr>
          <w:rFonts w:ascii="Ebrima" w:hAnsi="Ebrima" w:eastAsia="Ebrima" w:cs="Ebrima"/>
        </w:rPr>
        <w:t>ትክክል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የኡላይ</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ከምዕራፍ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መድገምና</w:t>
      </w:r>
      <w:r>
        <w:rPr>
          <w:rFonts w:ascii="Times New Roman" w:hAnsi="Times New Roman" w:eastAsia="Times New Roman" w:cs="Times New Roman"/>
        </w:rPr>
        <w:t xml:space="preserve"> </w:t>
      </w:r>
      <w:r>
        <w:rPr>
          <w:rFonts w:ascii="Ebrima" w:hAnsi="Ebrima" w:eastAsia="Ebrima" w:cs="Ebrima"/>
        </w:rPr>
        <w:t>ማስፋት</w:t>
      </w:r>
      <w:r>
        <w:rPr>
          <w:rFonts w:ascii="Times New Roman" w:hAnsi="Times New Roman" w:eastAsia="Times New Roman" w:cs="Times New Roman"/>
        </w:rPr>
        <w:t xml:space="preserve">” </w:t>
      </w:r>
      <w:r>
        <w:rPr>
          <w:rFonts w:ascii="Ebrima" w:hAnsi="Ebrima" w:eastAsia="Ebrima" w:cs="Ebrima"/>
        </w:rPr>
        <w:t>የተባለውን</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እየተጠቀመ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በተመሳሳይ</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እንዲጸና</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እየፈጸመ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መንግሥታትን</w:t>
      </w:r>
      <w:r>
        <w:rPr>
          <w:rFonts w:ascii="Times New Roman" w:hAnsi="Times New Roman" w:eastAsia="Times New Roman" w:cs="Times New Roman"/>
        </w:rPr>
        <w:t xml:space="preserve"> </w:t>
      </w:r>
      <w:r>
        <w:rPr>
          <w:rFonts w:ascii="Ebrima" w:hAnsi="Ebrima" w:eastAsia="Ebrima" w:cs="Ebrima"/>
        </w:rPr>
        <w:t>ይመለከታሉ።</w:t>
      </w:r>
    </w:p>
    <w:p>
      <w:pPr>
        <w:pStyle w:val="ArticleBody"/>
        <w:jc w:val="left"/>
      </w:pP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ꯇꯔꯦꯠꯇꯥꯒꯤ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ꯄꯥꯡꯂꯣꯟ</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ꯄꯥꯟꯊꯣꯛ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ꯁꯥꯎꯔꯤꯕꯥ</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ꯄꯥꯡꯂꯣꯟꯒꯤ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ꯅꯣꯡꯊꯣꯛꯄꯥ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ꯃꯅꯤꯡꯇꯥꯔꯦꯠꯇꯥꯒꯤ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ꯔꯥꯖ꯭ꯌꯁꯤꯡ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ꯏꯁꯤꯡꯗꯤ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ꯋꯥꯛꯍꯜ</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ꯑꯥꯍꯜꯕꯥ</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ꯄꯣꯠꯊꯣꯛ</w:t>
      </w:r>
      <w:r>
        <w:rPr>
          <w:rFonts w:ascii="Times New Roman" w:hAnsi="Times New Roman" w:eastAsia="Times New Roman" w:cs="Times New Roman"/>
        </w:rPr>
        <w:t xml:space="preserve"> </w:t>
      </w:r>
      <w:r>
        <w:rPr>
          <w:rFonts w:ascii="Nirmala UI" w:hAnsi="Nirmala UI" w:eastAsia="Nirmala UI" w:cs="Nirmala UI"/>
        </w:rPr>
        <w:t>ꯁꯤꯟꯕꯥꯒꯤ</w:t>
      </w:r>
      <w:r>
        <w:rPr>
          <w:rFonts w:ascii="Times New Roman" w:hAnsi="Times New Roman" w:eastAsia="Times New Roman" w:cs="Times New Roman"/>
        </w:rPr>
        <w:t xml:space="preserve"> </w:t>
      </w:r>
      <w:r>
        <w:rPr>
          <w:rFonts w:ascii="Nirmala UI" w:hAnsi="Nirmala UI" w:eastAsia="Nirmala UI" w:cs="Nirmala UI"/>
        </w:rPr>
        <w:t>ꯃꯥꯌꯥꯢ</w:t>
      </w:r>
      <w:r>
        <w:rPr>
          <w:rFonts w:ascii="Times New Roman" w:hAnsi="Times New Roman" w:eastAsia="Times New Roman" w:cs="Times New Roman"/>
        </w:rPr>
        <w:t xml:space="preserve"> </w:t>
      </w:r>
      <w:r>
        <w:rPr>
          <w:rFonts w:ascii="Nirmala UI" w:hAnsi="Nirmala UI" w:eastAsia="Nirmala UI" w:cs="Nirmala UI"/>
        </w:rPr>
        <w:t>ꯁꯤꯟꯕꯥ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ꯄꯣꯠꯊꯣꯛ</w:t>
      </w:r>
      <w:r>
        <w:rPr>
          <w:rFonts w:ascii="Times New Roman" w:hAnsi="Times New Roman" w:eastAsia="Times New Roman" w:cs="Times New Roman"/>
        </w:rPr>
        <w:t xml:space="preserve"> </w:t>
      </w:r>
      <w:r>
        <w:rPr>
          <w:rFonts w:ascii="Nirmala UI" w:hAnsi="Nirmala UI" w:eastAsia="Nirmala UI" w:cs="Nirmala UI"/>
        </w:rPr>
        <w:t>ꯑꯁꯤꯡꯒꯤ</w:t>
      </w:r>
      <w:r>
        <w:rPr>
          <w:rFonts w:ascii="Times New Roman" w:hAnsi="Times New Roman" w:eastAsia="Times New Roman" w:cs="Times New Roman"/>
        </w:rPr>
        <w:t xml:space="preserve"> </w:t>
      </w:r>
      <w:r>
        <w:rPr>
          <w:rFonts w:ascii="Nirmala UI" w:hAnsi="Nirmala UI" w:eastAsia="Nirmala UI" w:cs="Nirmala UI"/>
        </w:rPr>
        <w:t>ꯃꯔꯨꯢ</w:t>
      </w:r>
      <w:r>
        <w:rPr>
          <w:rFonts w:ascii="Times New Roman" w:hAnsi="Times New Roman" w:eastAsia="Times New Roman" w:cs="Times New Roman"/>
        </w:rPr>
        <w:t xml:space="preserve"> </w:t>
      </w:r>
      <w:r>
        <w:rPr>
          <w:rFonts w:ascii="Nirmala UI" w:hAnsi="Nirmala UI" w:eastAsia="Nirmala UI" w:cs="Nirmala UI"/>
        </w:rPr>
        <w:t>ꯃꯔꯨꯢ</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ꯄꯨꯔꯄꯣꯁ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ꯃꯥꯏꯊꯣꯀꯍꯜꯂꯤ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ꯊꯣꯏꯅꯕꯥ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ꯈꯨꯔꯨꯃ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ꯃꯅꯤꯡꯇꯥꯔꯦꯠ</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ꯇꯔꯦꯠꯇꯥꯒꯤ</w:t>
      </w:r>
      <w:r>
        <w:rPr>
          <w:rFonts w:ascii="Times New Roman" w:hAnsi="Times New Roman" w:eastAsia="Times New Roman" w:cs="Times New Roman"/>
        </w:rPr>
        <w:t xml:space="preserve"> </w:t>
      </w:r>
      <w:r>
        <w:rPr>
          <w:rFonts w:ascii="Nirmala UI" w:hAnsi="Nirmala UI" w:eastAsia="Nirmala UI" w:cs="Nirmala UI"/>
        </w:rPr>
        <w:t>ꯑꯔꯨꯝꯕꯥꯅꯥ</w:t>
      </w:r>
      <w:r>
        <w:rPr>
          <w:rFonts w:ascii="Times New Roman" w:hAnsi="Times New Roman" w:eastAsia="Times New Roman" w:cs="Times New Roman"/>
        </w:rPr>
        <w:t xml:space="preserve"> </w:t>
      </w:r>
      <w:r>
        <w:rPr>
          <w:rFonts w:ascii="Nirmala UI" w:hAnsi="Nirmala UI" w:eastAsia="Nirmala UI" w:cs="Nirmala UI"/>
        </w:rPr>
        <w:t>ꯎꯠꯄꯤꯕꯥ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ꯔꯥꯖ꯭ꯌꯁꯤꯡ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ꯔꯥꯖ꯭ꯌꯁꯤꯡ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ꯊꯝꯍꯜꯂꯤ।</w:t>
      </w:r>
    </w:p>
    <w:p>
      <w:pPr>
        <w:pStyle w:val="ArticleBody"/>
        <w:jc w:val="left"/>
      </w:pPr>
      <w:r>
        <w:rPr>
          <w:rFonts w:ascii="Times New Roman" w:hAnsi="Times New Roman" w:eastAsia="Times New Roman" w:cs="Times New Roman"/>
        </w:rPr>
        <w:t>Danyel kitābının sekizinci bölümündeki Ulay görümü, yedinci bölümün görümünü tekrar eder ve genişletir. Yedinci bölüm, Kutsal Kitap peygamberliğindeki krallıkların sivil yönünü tanımlar; sekizinci bölüm ise Kutsal Kitap peygamberliğindeki krallıkların dinsel yönünü tanımlar. Bu fark edildiğinde, yedinci ve sekizinci bölümlerin aynı görüm olduğu anlaşılabilir. Dokuzuncu bölüm, Cebrâil’in sekizinci bölümdeki görümün zaman unsuruna açıklama vermek üzere geldiği yerdir. Bu nedenle, Ulay görümü Danyel kitabının yedi, sekiz ve dokuzuncu bölümlerini temsil eder. Ardından, Hiddekel Irmağı onuncu bölümde tanıtılır.</w:t>
      </w:r>
    </w:p>
    <w:p>
      <w:pPr>
        <w:pStyle w:val="ArticleScripture"/>
        <w:jc w:val="left"/>
      </w:pPr>
      <w:r>
        <w:rPr>
          <w:rFonts w:ascii="Times New Roman" w:hAnsi="Times New Roman" w:eastAsia="Times New Roman" w:cs="Times New Roman"/>
        </w:rPr>
        <w:t>پارسی سلطنت کے بادشاہ خورس کے تیسرے سال میں دانی ایل پر ایک امر منکشف ہوا، جس کا نام بَیلطشصر رکھا گیا تھا؛ اور وہ امر سچا تھا، مگر اس کے لیے مقررہ زمانہ دراز تھا؛ اور اُس نے اُس امر کو سمجھ لیا، اور رُویا کی سمجھ اُس کو حاصل ہوئی۔ اُن ایّام میں مَیں دانی ایل پورے تین ہفتے ماتم کرتا رہا۔ مَیں نے کوئی لذیذ روٹی نہ کھائی، نہ گوشت اور نہ مَے میرے منہ میں داخل ہوئی، اور نہ مَیں نے بالکل اپنے آپ پر تیل ملا، یہاں تک کہ پورے تین ہفتے گزر گئے۔ اور پہلے مہینے کی چوبیسویں تاریخ کو، جب مَیں اُس بڑے دریا کے کنارے تھا، جو حدّاقل ہے۔ دانی ایل 10:1–4۔</w:t>
      </w:r>
    </w:p>
    <w:p>
      <w:pPr>
        <w:pStyle w:val="ArticleBody"/>
        <w:jc w:val="left"/>
      </w:pPr>
      <w:r>
        <w:rPr>
          <w:rFonts w:ascii="Times New Roman" w:hAnsi="Times New Roman" w:eastAsia="Times New Roman" w:cs="Times New Roman"/>
        </w:rPr>
        <w:t>دیدگای رودخانەی هیدەکەل مێژووی پێشبینیانەی پاشای باکوور دەناسێنێت. ئەم دیدگا لە داڕماندنی شانشینی ئەسکەندەری مەزن دەست پێدەکات، و شەپۆل‌هاتن و شەپۆل‌چوونی مێژووی دواتر دیاری دەکات، کە لە کۆتاییدا تەنها دوو دژبەری ماون لە هەڵوەشاندنەوەی شانشینی پێشووی ئەسکەندەری مەزن: پاشایەکی راستەقینەی باشوور لەبەرامبەر پاشایەکی راستەقینەی باکوور. لە کۆتاییدا دەگاتە مێژووی پاپایەتی، کە ئەویش دواتر دەبێتە پاشای ڕۆحانیی باکوور، و لە کۆتایی بەشی یازدەدا دەگاتە کۆتایی خۆی، میکائیل هەستێتە سەر پێ و ماوەی تاقیکردنەوەی مرۆڤ کۆتایی دێت. پوختەیەکی سادەی ئەم بابەتە ئەوەیە کە دیدگای رودخانەی ئولای، دیدگای ناوەکیی پیرۆزگای خودا و سوپاکەیەتی، و رودخانەی هیدەکەل دیدگای دەرەکیی دوژمنی خودا و گەلەکەیەتی لە هەمان مێژوودا. ئەمە هەمان ئەو بنەمایە بەکاردەهێنێت کە لە حەوت کڵێساکان و حەوت مۆرەکانی مکاشفەدا دۆزرایەوە.</w:t>
      </w:r>
    </w:p>
    <w:p>
      <w:pPr>
        <w:pStyle w:val="ArticleScripture"/>
        <w:jc w:val="left"/>
      </w:pPr>
      <w:r>
        <w:rPr>
          <w:rFonts w:ascii="Times New Roman" w:hAnsi="Times New Roman" w:eastAsia="Times New Roman" w:cs="Times New Roman"/>
        </w:rPr>
        <w:t>«Sebaata barsiisonni Mul’ata hiikuuf tattaaffii hin godhan. Isaan kitaaba qo’annoo ta’uuf faayidaa hin qabne jedhu. Inni galmee fakkiiwwanii fi mallattoolee of keessaa qaba waan ta’eef, akka kitaaba cufameetti isa ilaalan. Garuu maqaan isaaf kenname sunumti, “Mul’ata,” yaada kana ni morma. Mul’anni kitaaba cufame dha; garuu akkasumas kitaaba baname dha. Inni taateewwan dinqisiisoo bara dhumaa seenaa lafa kanaa keessatti raawwataman ni galmeessa. Barsiisonni kitaaba kanaa ifa dha; iccitii qofa ta’anii kan hin hubatamne miti. Keessatti sararri raajii isuma keessatti Daani’el keessatti fudhatame irra deebi’amee dhihaata. Waaqayyo raajii tokko tokko irra deebi’ee dubbateera; kanaanis isaanii ulfinni barbaachisaa ta’e kennamuu akka qabu agarsiiseera. Gooftaan wantoota bu’aa guddaa hin qabne irra deebi’ee hin dubbatu.» Manuscript Releases, volume 8, 413.</w:t>
      </w:r>
    </w:p>
    <w:p>
      <w:pPr>
        <w:pStyle w:val="ArticleBody"/>
        <w:jc w:val="left"/>
      </w:pP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ᱵᱚᱠᱷᱟᱱᱨᱮ</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ᱥᱤᱧᱟᱹᱨ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ᱱᱟᱜᱟᱢ</w:t>
      </w:r>
      <w:r>
        <w:rPr>
          <w:rFonts w:ascii="Times New Roman" w:hAnsi="Times New Roman" w:eastAsia="Times New Roman" w:cs="Times New Roman"/>
        </w:rPr>
        <w:t xml:space="preserve"> </w:t>
      </w:r>
      <w:r>
        <w:rPr>
          <w:rFonts w:ascii="Nirmala UI" w:hAnsi="Nirmala UI" w:eastAsia="Nirmala UI" w:cs="Nirmala UI"/>
        </w:rPr>
        <w:t>ᱚᱞ</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ᱵᱚᱠᱷᱟᱱᱨᱮ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ᱮᱛᱚᱵ</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ᱱᱤᱭᱟᱹ</w:t>
      </w:r>
      <w:r>
        <w:rPr>
          <w:rFonts w:ascii="Times New Roman" w:hAnsi="Times New Roman" w:eastAsia="Times New Roman" w:cs="Times New Roman"/>
        </w:rPr>
        <w:t xml:space="preserve"> </w:t>
      </w:r>
      <w:r>
        <w:rPr>
          <w:rFonts w:ascii="Nirmala UI" w:hAnsi="Nirmala UI" w:eastAsia="Nirmala UI" w:cs="Nirmala UI"/>
        </w:rPr>
        <w:t>ᱵᱟᱨᱭᱟ</w:t>
      </w:r>
      <w:r>
        <w:rPr>
          <w:rFonts w:ascii="Times New Roman" w:hAnsi="Times New Roman" w:eastAsia="Times New Roman" w:cs="Times New Roman"/>
        </w:rPr>
        <w:t xml:space="preserve"> </w:t>
      </w:r>
      <w:r>
        <w:rPr>
          <w:rFonts w:ascii="Nirmala UI" w:hAnsi="Nirmala UI" w:eastAsia="Nirmala UI" w:cs="Nirmala UI"/>
        </w:rPr>
        <w:t>ᱫᱨᱤᱥᱴᱤ</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ᱵᱷᱟᱵᱤᱥᱭᱟᱹᱛ</w:t>
      </w:r>
      <w:r>
        <w:rPr>
          <w:rFonts w:ascii="Times New Roman" w:hAnsi="Times New Roman" w:eastAsia="Times New Roman" w:cs="Times New Roman"/>
        </w:rPr>
        <w:t xml:space="preserve"> </w:t>
      </w:r>
      <w:r>
        <w:rPr>
          <w:rFonts w:ascii="Nirmala UI" w:hAnsi="Nirmala UI" w:eastAsia="Nirmala UI" w:cs="Nirmala UI"/>
        </w:rPr>
        <w:t>ᱟᱞᱚ</w:t>
      </w:r>
      <w:r>
        <w:rPr>
          <w:rFonts w:ascii="Times New Roman" w:hAnsi="Times New Roman" w:eastAsia="Times New Roman" w:cs="Times New Roman"/>
        </w:rPr>
        <w:t xml:space="preserve"> </w:t>
      </w:r>
      <w:r>
        <w:rPr>
          <w:rFonts w:ascii="Nirmala UI" w:hAnsi="Nirmala UI" w:eastAsia="Nirmala UI" w:cs="Nirmala UI"/>
        </w:rPr>
        <w:t>ᱚᱛᱱᱚᱜ</w:t>
      </w:r>
      <w:r>
        <w:rPr>
          <w:rFonts w:ascii="Times New Roman" w:hAnsi="Times New Roman" w:eastAsia="Times New Roman" w:cs="Times New Roman"/>
        </w:rPr>
        <w:t xml:space="preserve"> </w:t>
      </w:r>
      <w:r>
        <w:rPr>
          <w:rFonts w:ascii="Nirmala UI" w:hAnsi="Nirmala UI" w:eastAsia="Nirmala UI" w:cs="Nirmala UI"/>
        </w:rPr>
        <w:t>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ᱪᱷᱟᱲᱟ</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ᱯᱷᱤᱭᱩᱪᱟᱨ</w:t>
      </w:r>
      <w:r>
        <w:rPr>
          <w:rFonts w:ascii="Times New Roman" w:hAnsi="Times New Roman" w:eastAsia="Times New Roman" w:cs="Times New Roman"/>
        </w:rPr>
        <w:t xml:space="preserve"> </w:t>
      </w:r>
      <w:r>
        <w:rPr>
          <w:rFonts w:ascii="Nirmala UI" w:hAnsi="Nirmala UI" w:eastAsia="Nirmala UI" w:cs="Nirmala UI"/>
        </w:rPr>
        <w:t>ᱯᱷᱚᱨ</w:t>
      </w:r>
      <w:r>
        <w:rPr>
          <w:rFonts w:ascii="Times New Roman" w:hAnsi="Times New Roman" w:eastAsia="Times New Roman" w:cs="Times New Roman"/>
        </w:rPr>
        <w:t xml:space="preserve"> </w:t>
      </w:r>
      <w:r>
        <w:rPr>
          <w:rFonts w:ascii="Nirmala UI" w:hAnsi="Nirmala UI" w:eastAsia="Nirmala UI" w:cs="Nirmala UI"/>
        </w:rPr>
        <w:t>ᱟᱢᱮᱨᱤᱠᱟ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ᱵᱷᱟᱵᱤᱥᱭᱟᱹᱛ</w:t>
      </w:r>
      <w:r>
        <w:rPr>
          <w:rFonts w:ascii="Times New Roman" w:hAnsi="Times New Roman" w:eastAsia="Times New Roman" w:cs="Times New Roman"/>
        </w:rPr>
        <w:t xml:space="preserve"> </w:t>
      </w:r>
      <w:r>
        <w:rPr>
          <w:rFonts w:ascii="Nirmala UI" w:hAnsi="Nirmala UI" w:eastAsia="Nirmala UI" w:cs="Nirmala UI"/>
        </w:rPr>
        <w:t>ᱵᱷᱟᱵ</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ᱯᱚᱫᱽᱫᱷᱚᱛᱤ</w:t>
      </w:r>
      <w:r>
        <w:rPr>
          <w:rFonts w:ascii="Times New Roman" w:hAnsi="Times New Roman" w:eastAsia="Times New Roman" w:cs="Times New Roman"/>
        </w:rPr>
        <w:t xml:space="preserve"> </w:t>
      </w:r>
      <w:r>
        <w:rPr>
          <w:rFonts w:ascii="Nirmala UI" w:hAnsi="Nirmala UI" w:eastAsia="Nirmala UI" w:cs="Nirmala UI"/>
        </w:rPr>
        <w:t>ᱟᱫᱚᱯᱴ</w:t>
      </w:r>
      <w:r>
        <w:rPr>
          <w:rFonts w:ascii="Times New Roman" w:hAnsi="Times New Roman" w:eastAsia="Times New Roman" w:cs="Times New Roman"/>
        </w:rPr>
        <w:t xml:space="preserve"> </w:t>
      </w:r>
      <w:r>
        <w:rPr>
          <w:rFonts w:ascii="Nirmala UI" w:hAnsi="Nirmala UI" w:eastAsia="Nirmala UI" w:cs="Nirmala UI"/>
        </w:rPr>
        <w:t>ᱮᱠᱟᱱᱟ</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ᱫᱚᱲ</w:t>
      </w:r>
      <w:r>
        <w:rPr>
          <w:rFonts w:ascii="Times New Roman" w:hAnsi="Times New Roman" w:eastAsia="Times New Roman" w:cs="Times New Roman"/>
        </w:rPr>
        <w:t xml:space="preserve"> </w:t>
      </w:r>
      <w:r>
        <w:rPr>
          <w:rFonts w:ascii="Nirmala UI" w:hAnsi="Nirmala UI" w:eastAsia="Nirmala UI" w:cs="Nirmala UI"/>
        </w:rPr>
        <w:t>ᱥᱟᱹᱨᱤᱫ</w:t>
      </w:r>
      <w:r>
        <w:rPr>
          <w:rFonts w:ascii="Times New Roman" w:hAnsi="Times New Roman" w:eastAsia="Times New Roman" w:cs="Times New Roman"/>
        </w:rPr>
        <w:t xml:space="preserve"> </w:t>
      </w:r>
      <w:r>
        <w:rPr>
          <w:rFonts w:ascii="Nirmala UI" w:hAnsi="Nirmala UI" w:eastAsia="Nirmala UI" w:cs="Nirmala UI"/>
        </w:rPr>
        <w:t>ᱢᱤᱞᱟᱱ</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ᱵᱚᱠᱷᱟᱱ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ᱨᱮᱵᱷᱮᱞᱮᱥᱚᱱ</w:t>
      </w:r>
      <w:r>
        <w:rPr>
          <w:rFonts w:ascii="Times New Roman" w:hAnsi="Times New Roman" w:eastAsia="Times New Roman" w:cs="Times New Roman"/>
        </w:rPr>
        <w:t xml:space="preserve"> </w:t>
      </w:r>
      <w:r>
        <w:rPr>
          <w:rFonts w:ascii="Nirmala UI" w:hAnsi="Nirmala UI" w:eastAsia="Nirmala UI" w:cs="Nirmala UI"/>
        </w:rPr>
        <w:t>ᱵᱚᱠᱷᱟᱱ</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ᱵᱷᱤᱛᱤᱨᱨᱮ</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ᱵᱷᱟᱵᱤᱥᱭᱟᱹᱛ</w:t>
      </w:r>
      <w:r>
        <w:rPr>
          <w:rFonts w:ascii="Times New Roman" w:hAnsi="Times New Roman" w:eastAsia="Times New Roman" w:cs="Times New Roman"/>
        </w:rPr>
        <w:t xml:space="preserve"> </w:t>
      </w:r>
      <w:r>
        <w:rPr>
          <w:rFonts w:ascii="Nirmala UI" w:hAnsi="Nirmala UI" w:eastAsia="Nirmala UI" w:cs="Nirmala UI"/>
        </w:rPr>
        <w:t>ᱵᱷᱟᱵ</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ᱱᱤᱛᱤ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ᱫᱚᱲ</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ᱥᱩᱣᱚᱱ</w:t>
      </w:r>
      <w:r>
        <w:rPr>
          <w:rFonts w:ascii="Times New Roman" w:hAnsi="Times New Roman" w:eastAsia="Times New Roman" w:cs="Times New Roman"/>
        </w:rPr>
        <w:t xml:space="preserve"> </w:t>
      </w:r>
      <w:r>
        <w:rPr>
          <w:rFonts w:ascii="Nirmala UI" w:hAnsi="Nirmala UI" w:eastAsia="Nirmala UI" w:cs="Nirmala UI"/>
        </w:rPr>
        <w:t>ᱠᱷᱚᱱᱡᱟᱱᱤ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ᱛᱟᱦᱮᱱᱟ।</w:t>
      </w:r>
    </w:p>
    <w:p>
      <w:pPr>
        <w:pStyle w:val="ArticleBody"/>
        <w:jc w:val="left"/>
      </w:pPr>
      <w:r>
        <w:rPr>
          <w:rFonts w:ascii="Times New Roman" w:hAnsi="Times New Roman" w:eastAsia="Times New Roman" w:cs="Times New Roman"/>
        </w:rPr>
        <w:t>اولای که مضمون درونی است و حدّاقل که مضمون بیرونی است، همچنین نمایانگر دو نبوتی هستند که می‌بایست در «زمان آخر» گشوده شوند. اولای در «زمان آخر» در سال ۱۷۹۸ گشوده شد، و حدّاقل در «زمان آخر» در سال ۱۹۸۹ گشوده شد، هنگامی که، چنان‌که در دانیال باب یازدهم، آیهٔ چهل، توصیف شده است، کشورهای نمایانگر اتحاد جماهیر شوروی سابق به‌وسیلهٔ پاپیّت و ایالات متحده جاروب شدند.</w:t>
      </w:r>
    </w:p>
    <w:p>
      <w:pPr>
        <w:pStyle w:val="ArticleBody"/>
        <w:jc w:val="left"/>
      </w:pPr>
      <w:r>
        <w:rPr>
          <w:rFonts w:ascii="Times New Roman" w:hAnsi="Times New Roman" w:eastAsia="Times New Roman" w:cs="Times New Roman"/>
        </w:rPr>
        <w:t>Añete ko’ã mba’ejehu ojehechakuaáramo, upéicharõ avei ikatu ojehechakuaa mokõi visión añetehápeha peteĩ visión año, peteĩchaiténte siete iglesia ha siete sello rembiasakue profético ohechaukaháicha peteĩchagua rembiasakue profético. Upéicharõ mokõi visión oiko pe tape ramo Ñandejára oipuru vaʼekue ymave pe ángel peteĩha movimiento-pe, ha Ñandejára oipurútava koʼág̃a ha tenonderãme pe ángel mbohapyha movimiento-pe, omoheñói hag̃ua peteĩ proceso de prueba oñemoĩháicha Daniel capítulo doce, versículos nueve ha diez.</w:t>
      </w:r>
    </w:p>
    <w:p>
      <w:pPr>
        <w:pStyle w:val="ArticleScripture"/>
        <w:jc w:val="left"/>
      </w:pPr>
      <w:r>
        <w:rPr>
          <w:rFonts w:ascii="Times New Roman" w:hAnsi="Times New Roman" w:eastAsia="Times New Roman" w:cs="Times New Roman"/>
        </w:rPr>
        <w:t>Chaymi nirqan: “Ripuy, Daniel; kay rimaykunaqa tukupakuy pacha kama wichq’asqa, sellosqa kashan. Achkakunaqa pichqasqa kanqaku, yurayachisqa kanqaku, hinaspa pruebasqa kanqaku; ichaqa millay runakunaqa millayta ruwanqaku. Millay runakunamanta manam mayqenpas entiendenqachu; ichaqa yachaqkunan entiendenqaku.” Daniel 12:9, 10.</w:t>
      </w:r>
    </w:p>
    <w:p>
      <w:pPr>
        <w:pStyle w:val="ArticleBody"/>
        <w:jc w:val="left"/>
      </w:pP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ဟိဒ္ဒေကေလ်ကို</w:t>
      </w:r>
      <w:r>
        <w:rPr>
          <w:rFonts w:ascii="Times New Roman" w:hAnsi="Times New Roman" w:eastAsia="Times New Roman" w:cs="Times New Roman"/>
        </w:rPr>
        <w:t xml:space="preserve"> </w:t>
      </w:r>
      <w:r>
        <w:rPr>
          <w:rFonts w:ascii="Myanmar Text" w:hAnsi="Myanmar Text" w:eastAsia="Myanmar Text" w:cs="Myanmar Text"/>
        </w:rPr>
        <w:t>ဖွင့်လှစ်ခြင်း၏</w:t>
      </w:r>
      <w:r>
        <w:rPr>
          <w:rFonts w:ascii="Times New Roman" w:hAnsi="Times New Roman" w:eastAsia="Times New Roman" w:cs="Times New Roman"/>
        </w:rPr>
        <w:t xml:space="preserve"> </w:t>
      </w:r>
      <w:r>
        <w:rPr>
          <w:rFonts w:ascii="Myanmar Text" w:hAnsi="Myanmar Text" w:eastAsia="Myanmar Text" w:cs="Myanmar Text"/>
        </w:rPr>
        <w:t>ဥပမာတစ်ရပ်အနေဖြင့်၊</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ပြောထားသည်ကို</w:t>
      </w:r>
      <w:r>
        <w:rPr>
          <w:rFonts w:ascii="Times New Roman" w:hAnsi="Times New Roman" w:eastAsia="Times New Roman" w:cs="Times New Roman"/>
        </w:rPr>
        <w:t xml:space="preserve"> </w:t>
      </w:r>
      <w:r>
        <w:rPr>
          <w:rFonts w:ascii="Myanmar Text" w:hAnsi="Myanmar Text" w:eastAsia="Myanmar Text" w:cs="Myanmar Text"/>
        </w:rPr>
        <w:t>စဉ်းစားကြည့်ပါ။</w:t>
      </w:r>
    </w:p>
    <w:p>
      <w:pPr>
        <w:pStyle w:val="ArticleScripture"/>
        <w:jc w:val="left"/>
      </w:pPr>
      <w:r>
        <w:rPr>
          <w:rFonts w:ascii="Times New Roman" w:hAnsi="Times New Roman" w:eastAsia="Times New Roman" w:cs="Times New Roman"/>
        </w:rPr>
        <w:t>«Аянда» Киелі кітаптың барлық кітаптары тоғысып, аяқталады. Мұнда Даниял кітабының толықтыруы бар. Бірі — пайғамбарлық; екіншісі — аян. Мөрленген кітап — Аян емес, қайта Даниял пайғамбарлығының соңғы күндерге қатысты сол бөлігі. Періште былай деп бұйырды: «Ал сен, уа, Даниял, осы сөздерді жасырын ұста да, кітапты ақыр заманға дейін мөрлеп қой». Даниял 12:4». Елшілердің істері, 585.</w:t>
      </w:r>
    </w:p>
    <w:p>
      <w:pPr>
        <w:pStyle w:val="ArticleBody"/>
        <w:jc w:val="left"/>
      </w:pPr>
      <w:r>
        <w:rPr>
          <w:rFonts w:ascii="Times New Roman" w:hAnsi="Times New Roman" w:eastAsia="Times New Roman" w:cs="Times New Roman"/>
        </w:rPr>
        <w:t>Ulai no Hiddekel siha parehu dumisisigna gi finiʼnaʼgue na tiempu, lao i Adventismu para hu tungoʼ ha na inalegriha na i 1798 guiʼ i “tiempun i fin” ni Daniel, anai para mafanmafañågo i lebbluna. Lao i patte gi profesía ni “dumisisigna gi finiʼnaʼgue na tiempu” mas tepat na i huwe na seis na bersíkulu siha gi kapítulu onse ni Daniel, sa esti na bersíkulu siha humuhudyan yan i Michael na umaʼatuliʼ anai i probasion taotao siha humuhudyan.</w:t>
      </w:r>
    </w:p>
    <w:p>
      <w:pPr>
        <w:pStyle w:val="ArticleBody"/>
        <w:jc w:val="left"/>
      </w:pPr>
      <w:r>
        <w:rPr>
          <w:rFonts w:ascii="Nirmala UI" w:hAnsi="Nirmala UI" w:eastAsia="Nirmala UI" w:cs="Nirmala UI"/>
        </w:rPr>
        <w:t>ஜனான</w:t>
      </w:r>
      <w:r>
        <w:rPr>
          <w:rFonts w:ascii="Times New Roman" w:hAnsi="Times New Roman" w:eastAsia="Times New Roman" w:cs="Times New Roman"/>
        </w:rPr>
        <w:t xml:space="preserve"> </w:t>
      </w:r>
      <w:r>
        <w:rPr>
          <w:rFonts w:ascii="Nirmala UI" w:hAnsi="Nirmala UI" w:eastAsia="Nirmala UI" w:cs="Nirmala UI"/>
        </w:rPr>
        <w:t>லுংটি</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আট</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অধ্যায়ত</w:t>
      </w:r>
      <w:r>
        <w:rPr>
          <w:rFonts w:ascii="Times New Roman" w:hAnsi="Times New Roman" w:eastAsia="Times New Roman" w:cs="Times New Roman"/>
        </w:rPr>
        <w:t xml:space="preserve"> </w:t>
      </w:r>
      <w:r>
        <w:rPr>
          <w:rFonts w:ascii="Nirmala UI" w:hAnsi="Nirmala UI" w:eastAsia="Nirmala UI" w:cs="Nirmala UI"/>
        </w:rPr>
        <w:t>যেভাবে</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অইছে</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সালত</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কইরা</w:t>
      </w:r>
      <w:r>
        <w:rPr>
          <w:rFonts w:ascii="Times New Roman" w:hAnsi="Times New Roman" w:eastAsia="Times New Roman" w:cs="Times New Roman"/>
        </w:rPr>
        <w:t xml:space="preserve"> </w:t>
      </w:r>
      <w:r>
        <w:rPr>
          <w:rFonts w:ascii="Nirmala UI" w:hAnsi="Nirmala UI" w:eastAsia="Nirmala UI" w:cs="Nirmala UI"/>
        </w:rPr>
        <w:t>রাইখা</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উলাইয়ের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অইলে</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অইল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অনুসন্ধানমূলক</w:t>
      </w:r>
      <w:r>
        <w:rPr>
          <w:rFonts w:ascii="Times New Roman" w:hAnsi="Times New Roman" w:eastAsia="Times New Roman" w:cs="Times New Roman"/>
        </w:rPr>
        <w:t xml:space="preserve"> </w:t>
      </w:r>
      <w:r>
        <w:rPr>
          <w:rFonts w:ascii="Nirmala UI" w:hAnsi="Nirmala UI" w:eastAsia="Nirmala UI" w:cs="Nirmala UI"/>
        </w:rPr>
        <w:t>বিচাৰ</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হিদ্দেকেলের</w:t>
      </w:r>
      <w:r>
        <w:rPr>
          <w:rFonts w:ascii="Times New Roman" w:hAnsi="Times New Roman" w:eastAsia="Times New Roman" w:cs="Times New Roman"/>
        </w:rPr>
        <w:t xml:space="preserve"> </w:t>
      </w:r>
      <w:r>
        <w:rPr>
          <w:rFonts w:ascii="Nirmala UI" w:hAnsi="Nirmala UI" w:eastAsia="Nirmala UI" w:cs="Nirmala UI"/>
        </w:rPr>
        <w:t>দর্শনৰ</w:t>
      </w:r>
      <w:r>
        <w:rPr>
          <w:rFonts w:ascii="Times New Roman" w:hAnsi="Times New Roman" w:eastAsia="Times New Roman" w:cs="Times New Roman"/>
        </w:rPr>
        <w:t xml:space="preserve"> </w:t>
      </w:r>
      <w:r>
        <w:rPr>
          <w:rFonts w:ascii="Nirmala UI" w:hAnsi="Nirmala UI" w:eastAsia="Nirmala UI" w:cs="Nirmala UI"/>
        </w:rPr>
        <w:t>লগে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অইল</w:t>
      </w:r>
      <w:r>
        <w:rPr>
          <w:rFonts w:ascii="Times New Roman" w:hAnsi="Times New Roman" w:eastAsia="Times New Roman" w:cs="Times New Roman"/>
        </w:rPr>
        <w:t xml:space="preserve">, </w:t>
      </w:r>
      <w:r>
        <w:rPr>
          <w:rFonts w:ascii="Nirmala UI" w:hAnsi="Nirmala UI" w:eastAsia="Nirmala UI" w:cs="Nirmala UI"/>
        </w:rPr>
        <w:t>সেইডা</w:t>
      </w:r>
      <w:r>
        <w:rPr>
          <w:rFonts w:ascii="Times New Roman" w:hAnsi="Times New Roman" w:eastAsia="Times New Roman" w:cs="Times New Roman"/>
        </w:rPr>
        <w:t xml:space="preserve"> </w:t>
      </w:r>
      <w:r>
        <w:rPr>
          <w:rFonts w:ascii="Nirmala UI" w:hAnsi="Nirmala UI" w:eastAsia="Nirmala UI" w:cs="Nirmala UI"/>
        </w:rPr>
        <w:t>অনুসন্ধানমূলক</w:t>
      </w:r>
      <w:r>
        <w:rPr>
          <w:rFonts w:ascii="Times New Roman" w:hAnsi="Times New Roman" w:eastAsia="Times New Roman" w:cs="Times New Roman"/>
        </w:rPr>
        <w:t xml:space="preserve"> </w:t>
      </w:r>
      <w:r>
        <w:rPr>
          <w:rFonts w:ascii="Nirmala UI" w:hAnsi="Nirmala UI" w:eastAsia="Nirmala UI" w:cs="Nirmala UI"/>
        </w:rPr>
        <w:t>বিচাৰৰ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এইডাই</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যেইখানে</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দিনসমূহৰ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ভাববাণীৰ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আছে।</w:t>
      </w:r>
    </w:p>
    <w:p>
      <w:pPr>
        <w:pStyle w:val="ArticleBody"/>
        <w:jc w:val="left"/>
      </w:pPr>
      <w:r>
        <w:rPr>
          <w:rFonts w:ascii="Times New Roman" w:hAnsi="Times New Roman" w:eastAsia="Times New Roman" w:cs="Times New Roman"/>
        </w:rPr>
        <w:t>Ntɔ́mɔ́ la na 1798 me kyerɛɛ dɛ nhwehwɛmu atemmu no ahyɛ ase. Ntɔ́mɔ́ la na 1989 me kyerɛɛ dɛ nhwehwɛmu atemmu no awiei a ɔrebɛn no abɛn paa. Wotumi hu Alpha ne Omega no nsɛnkyerɛnne no yiye wɔ Daniel nhoma no mu, naaso sɛ wunya nim dɛ dɛn na ɛyɛ, na wowɔ pɛsɛmenkominya sɛ wobɛhwehwɛ no a.</w:t>
      </w:r>
    </w:p>
    <w:p>
      <w:pPr>
        <w:pStyle w:val="ArticleBody"/>
        <w:jc w:val="left"/>
      </w:pPr>
      <w:r>
        <w:rPr>
          <w:rFonts w:ascii="Times New Roman" w:hAnsi="Times New Roman" w:eastAsia="Times New Roman" w:cs="Times New Roman"/>
        </w:rPr>
        <w:t>Waakati qorannoon cufu Daani’el boqonnaa kudha tokko, lakkoofsa afurtamii shan keessatti, mallattoon Alfaa fi Oomeegaa ni galmeeffama. Jalqabni Daani’el sirriitti bakka inni itti xumuramu ni agarsiisa. Inni waraana dhugaa Baabilon dhugaa fi Israa’el dhugaa gidduutti geggeeffameen jalqaba; Baabilon dhugaanis injifata.</w:t>
      </w:r>
    </w:p>
    <w:p>
      <w:pPr>
        <w:pStyle w:val="ArticleScripture"/>
        <w:jc w:val="left"/>
      </w:pPr>
      <w:r>
        <w:rPr>
          <w:rFonts w:ascii="Times New Roman" w:hAnsi="Times New Roman" w:eastAsia="Times New Roman" w:cs="Times New Roman"/>
        </w:rPr>
        <w:t>Ní saṅé mbyá guasú mbohapyha Jehoiakim, Judá ruvicha guasu, oisãmbyhy jave, ou Nebucadnesar, Babilonia ruvicha guasu, Jerusalén peve ha omongora chupe. Ha Ñandejára ome'ẽ Jehoiakim, Judá ruvicha guasu, ipópe, oĩve hag̃ua hendive peteĩ hendáicha umi tembiporu Ñandejára róga pegua; umíva ogueraha Sinar retãme, itupã róga peve; ha omoĩ umi tembiporu itupã mba'e ñongatuhápe. Daniel 1:1, 2.</w:t>
      </w:r>
    </w:p>
    <w:p>
      <w:pPr>
        <w:pStyle w:val="ArticleBody"/>
        <w:jc w:val="left"/>
      </w:pPr>
      <w:r>
        <w:rPr>
          <w:rFonts w:ascii="Times New Roman" w:hAnsi="Times New Roman" w:eastAsia="Times New Roman" w:cs="Times New Roman"/>
        </w:rPr>
        <w:t>Danîêl beşa yanzdehan, ayeta çil û pêncan de, şerekî ruhanî di navbera Babilona ruhanî, ya ku bi “padîşahê bakur” tê nîşandan, û Îsraêla ruhanî, ya ku bi “çiyayê pîroz ê birûmet” tê temsîl kirin, bi dawî dibe, û Îsraêla ruhanî li ser Babilona ruhanî serkeftî dibe.</w:t>
      </w:r>
    </w:p>
    <w:p>
      <w:pPr>
        <w:pStyle w:val="ArticleScripture"/>
        <w:jc w:val="left"/>
      </w:pPr>
      <w:r>
        <w:rPr>
          <w:rFonts w:ascii="Times New Roman" w:hAnsi="Times New Roman" w:eastAsia="Times New Roman" w:cs="Times New Roman"/>
        </w:rPr>
        <w:t>Ug ipaum niya ang mga tabernakulo sa iyang palasyo sa taliwala sa mga dagat, sa mahimayaong balaang bukid; apan moabut siya sa iyang katapusan, ug walay usa nga motabang kaniya. Ug niadtong panahona motindog si Miguel, ang dakong principe nga nagabarog alang sa mga anak sa imong katawhan: ug may moabut nga panahon sa kagul-anan, nga sama niini wala pa gayud sukad may nasud hangtud niadtong maong panahona: ug niadtong panahona maluwas ang imong katawhan, ang tagsatagsa nga hikaplagang nahisulat sa basahon. Daniel 11:45; 12:1.</w:t>
      </w:r>
    </w:p>
    <w:p>
      <w:pPr>
        <w:pStyle w:val="ArticleBody"/>
        <w:jc w:val="left"/>
      </w:pPr>
      <w:r>
        <w:rPr>
          <w:rFonts w:ascii="Times New Roman" w:hAnsi="Times New Roman" w:eastAsia="Times New Roman" w:cs="Times New Roman"/>
        </w:rPr>
        <w:t>کتاب‌های دانیال و مکاشفه یک کتاب‌اند:</w:t>
      </w:r>
    </w:p>
    <w:p>
      <w:pPr>
        <w:pStyle w:val="ArticleScripture"/>
        <w:jc w:val="left"/>
      </w:pPr>
      <w:r>
        <w:rPr>
          <w:rFonts w:ascii="Times New Roman" w:hAnsi="Times New Roman" w:eastAsia="Times New Roman" w:cs="Times New Roman"/>
        </w:rPr>
        <w:t>«Libro Daniel ukat Apocalipsis sat libronakax mayakiwa. Maynïrix mä profecíawa, yaqharusti mä revelaciónawa; maynïrix mä sellata libro, yaqharusti mä jistʼarata libro. Juanax thunthunakan arsupkäna uka misterionak istʼäna, ukampis janiw qillqtʼañapatakix kamachitäkänti.» The Seventh-day Adventist Bible Commentary, volumen 7, 971.</w:t>
      </w:r>
    </w:p>
    <w:p>
      <w:pPr>
        <w:pStyle w:val="ArticleBody"/>
        <w:jc w:val="left"/>
      </w:pPr>
      <w:r>
        <w:rPr>
          <w:rFonts w:ascii="Times New Roman" w:hAnsi="Times New Roman" w:eastAsia="Times New Roman" w:cs="Times New Roman"/>
        </w:rPr>
        <w:t>E leboelelo pedi, tšeo e lego puku e tee, ke mošomo o mogolo wa thuto ya moporofeta ya Morongwa Gabriele. Ke ngwala se ke tseba gabotse gore seo Gabriele a se neilego Daniele le Johane se tšwile go Jesu, yo a se amogetšego go Tatagwe. Ntlha ya ka ga se go godiša Gabriele, eupša ke go godiša kutollo ye tseneletšego ya bohlatse bjo bo lego dipukung tše pedi, ya kamoo Alfa le Omega ba hlamilego melao ya boporofeta ya tlhathollo ya Baebele yeo e bego e swanetše go emelwa ka gare ga dipuku tše pedi, ge e ba re ikemišeditše go bona.</w:t>
      </w:r>
    </w:p>
    <w:p>
      <w:pPr>
        <w:pStyle w:val="ArticleBody"/>
        <w:jc w:val="left"/>
      </w:pPr>
      <w:r>
        <w:rPr>
          <w:rFonts w:ascii="Times New Roman" w:hAnsi="Times New Roman" w:eastAsia="Times New Roman" w:cs="Times New Roman"/>
        </w:rPr>
        <w:t>Yuyarishayki qankunaqa, kay pachapi ñuqaqa mana munani ni yuyayniyuqchu Ulai, Hiddekel mayukunapa ishkay qelqasqa willakuyninkunata sut’inchayta. Ñuqaqa munayniywan chayqa Danielpa qillqasqanpa ñawpaq soqta capitulunkunapi kaq qelqasqa willakuyninkunawan rimanapaqmi. Sapaqmi rikuchishani chaymanta, Danielpa hinaspa Apocalipsispa qillqankunaqa, ichaqa, Diospa Simi qelqakunamanta aswan ukhu yuyaywan allinchasqa qillqakuna kasqankuta. Chaykunaqa qelqasqa willakuyta qawachinku, hinaspataq Diospa kasqanta reqsichinku, hinaspataq runa qelqasqa willakuyninkunata yachanampaq, hinaspa chay willakuyninkunata rikuchiqta reqsinampaq, ima kamachikuykunachus mast’arisqa kananpaq kasqankuta reqsichinkutaq.</w:t>
      </w:r>
    </w:p>
    <w:p>
      <w:pPr>
        <w:pStyle w:val="ArticleBody"/>
        <w:jc w:val="left"/>
      </w:pPr>
      <w:r>
        <w:rPr>
          <w:rFonts w:ascii="Times New Roman" w:hAnsi="Times New Roman" w:eastAsia="Times New Roman" w:cs="Times New Roman"/>
        </w:rPr>
        <w:t>B’aq’oma’, jun chik ri q’alajisaxik rech ri nim ruk’ux ri wuj, ja ri rub’ixik Daniel chirij ri “wuqub’ q’ij” rech Levítico veintiséis. Ri q’ijob’al rech ri “wuqub’ q’ij” xk’ulwachij xuquje’ k’o na che ri “ab’aj rech k’ak’alenïk” chi ke ri ruwinak Dios, chi rij ri ojer Israel, pa ri movimiento Millerita rech ri nab’e ángel, xuquje’ pa ri k’amab’ey rech ri rox ángel ri k’o wakamiq xuquje’ ri petenäq chweq’ij. Jun “ab’aj rech k’ak’alenïk”, pa jun ch’uti q’alajisaxik, ja jun achike ri man natz’et ta, pune k’ut qas k’o chila’. Rumal ri’, are chi atawetamaj ri “wuqub’ q’ij” pa ri wuj rech Daniel, natz’et chi qas k’o chila’, xa k’ut xuquje’ natz’et chi ewan chike ri cha’ojib’al ri man kakaj ta kakitz’et.</w:t>
      </w:r>
    </w:p>
    <w:p>
      <w:pPr>
        <w:pStyle w:val="ArticleBody"/>
        <w:jc w:val="left"/>
      </w:pPr>
      <w:r>
        <w:rPr>
          <w:rFonts w:ascii="Times New Roman" w:hAnsi="Times New Roman" w:eastAsia="Times New Roman" w:cs="Times New Roman"/>
        </w:rPr>
        <w:t>Akuna se ekintu nga kiri mu lujjudde mu ngeri y’ensengeka y’ebigambo kye kikolwa eky’amaanyi ennyo; kye kintu ekitasobola kuteekebwa mu kitabo kyonna eky’ekyama eky’omuntu. Kye kisunsu eky’enjawulo, kubanga kiri awo, nga kyeyoleka bulungi eri buli ayagala obuteesittala, naye nga tekisoboka kulabibwa eri abo abasalawo okwesittala. Kiri, bwe tuyinza okwogera bwe tutyo, “nga kikwekebwa mu maaso g’abantu.” Kino kituukirizibwa olw’okwegatta kw’obuntu n’Obwakatonda.</w:t>
      </w:r>
    </w:p>
    <w:p>
      <w:pPr>
        <w:pStyle w:val="ArticleBody"/>
        <w:jc w:val="left"/>
      </w:pPr>
      <w:r>
        <w:rPr>
          <w:rFonts w:ascii="Times New Roman" w:hAnsi="Times New Roman" w:eastAsia="Times New Roman" w:cs="Times New Roman"/>
        </w:rPr>
        <w:t>Ñu defeb claim boobu, ndax dama bëgg a fàttali nu fii ne am na njëlbeen bu Katolik ci biir Adventism, lu ëpp sax gannaaw bi ñu génnee *Questions on Doctrine* ci atum 1957, te moom itam jóg na ak boppam bu jubadiul ci biir yëngu-yëngu dëggug jamono jii bu *Future for America*. Xalaat bi mooy ne Kirist, ba ñu ko jëmoon ci yaram, jëllul yaram wi Mu dënde woon ci Mary. Dëgg la ne ñi taxaw ci njàngale boobu duñu ko wax noonu; waaye du tere dara ci ne loolu lañuy jàngale. Maa ngi ko tudde njëlbeen bu Katolik, ndax dogal bi ne yaramu Kirist sell na ni yaramu Aadam laata mu bàkkaar, mooy sax làkku Seytaane bi njëlbeenug Katolik jëfandikoo ak seen njàngale bu ñuy wax “immaculate conception.” Te su fekkee ne xamuloo njàngale bu pagan bi ñuy wax “immaculate conception,” mooy jàngale ne yaramu Kirist dañu ko def ci anam gu kawe, ni ñu defee woon suufug nature bu Aadam laata moom ak Awa bàkkaar, walla ni ñuy wax ko, Kirist amoon na nature bu Aadam bu laata-a-bàkkaar, bu amul bàkkaar. Mu jàngale itam ne Mary moom ci boppam, ci kaaw ndimbal gu kéemaan, dañu ko may nature bu yaram bu Aadam bu laata-a-bàkkaar laata mu bàkkaar, ngir mu man a nekk vessel bu mat ngir Xel mu Sell mi man a yaramal xale bi di Yeesu ci biir yaramam wu mat.</w:t>
      </w:r>
    </w:p>
    <w:p>
      <w:pPr>
        <w:pStyle w:val="ArticleBody"/>
        <w:jc w:val="left"/>
      </w:pPr>
      <w:r>
        <w:rPr>
          <w:rFonts w:ascii="Times New Roman" w:hAnsi="Times New Roman" w:eastAsia="Times New Roman" w:cs="Times New Roman"/>
        </w:rPr>
        <w:t>Por supuesto, aquellos dentro del adventismo que sostienen exactamente la misma conclusión respecto a la carne de Jesús no señalan milagro alguno en María; pero sí tuercen pasajes de la Hermana White y de la Biblia para enseñar exactamente el mismo concepto católico. ¿Por qué acabo de desviarme y apartarme de la discusión del libro de Daniel? Responderé a eso.</w:t>
      </w:r>
    </w:p>
    <w:p>
      <w:pPr>
        <w:pStyle w:val="ArticleBody"/>
        <w:jc w:val="left"/>
      </w:pP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ᎠᏓᏅᏙᏗ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ᎤᎵᏍᎨᎢ</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ᎤᏃᎯᏳᎲᏍᎩ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ᎪᎵᏆ</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ᎤᏃᎯᏳᎲᏍᎩ</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ᏚᏟᏌᏅ</w:t>
      </w:r>
      <w:r>
        <w:rPr>
          <w:rFonts w:ascii="Times New Roman" w:hAnsi="Times New Roman" w:eastAsia="Times New Roman" w:cs="Times New Roman"/>
        </w:rPr>
        <w:t xml:space="preserve"> </w:t>
      </w:r>
      <w:r>
        <w:rPr>
          <w:rFonts w:ascii="Gadugi" w:hAnsi="Gadugi" w:eastAsia="Gadugi" w:cs="Gadugi"/>
        </w:rPr>
        <w:t>ᎪᎵᏆ</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ᎤᏂᏠᏱᎭ</w:t>
      </w:r>
      <w:r>
        <w:rPr>
          <w:rFonts w:ascii="Times New Roman" w:hAnsi="Times New Roman" w:eastAsia="Times New Roman" w:cs="Times New Roman"/>
        </w:rPr>
        <w:t xml:space="preserve"> </w:t>
      </w:r>
      <w:r>
        <w:rPr>
          <w:rFonts w:ascii="Gadugi" w:hAnsi="Gadugi" w:eastAsia="Gadugi" w:cs="Gadugi"/>
        </w:rPr>
        <w:t>ᎤᏬᏢᏙᏗ</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ᏧᎾᏓᏅᏙ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ᏧᏅᏙ</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ᏉᏍᎦᏯ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ᎤᏍᏛᏁᎢ</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ᎤᏂᎬᏫᏳᏒᎢ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ᎤᏃᎯᏳᎲᏍᎩ</w:t>
      </w:r>
      <w:r>
        <w:rPr>
          <w:rFonts w:ascii="Times New Roman" w:hAnsi="Times New Roman" w:eastAsia="Times New Roman" w:cs="Times New Roman"/>
        </w:rPr>
        <w:t xml:space="preserve"> </w:t>
      </w:r>
      <w:r>
        <w:rPr>
          <w:rFonts w:ascii="Gadugi" w:hAnsi="Gadugi" w:eastAsia="Gadugi" w:cs="Gadugi"/>
        </w:rPr>
        <w:t>ᎤᏑᏰᏎᎢ</w:t>
      </w:r>
      <w:r>
        <w:rPr>
          <w:rFonts w:ascii="Times New Roman" w:hAnsi="Times New Roman" w:eastAsia="Times New Roman" w:cs="Times New Roman"/>
        </w:rPr>
        <w:t xml:space="preserve"> </w:t>
      </w:r>
      <w:r>
        <w:rPr>
          <w:rFonts w:ascii="Gadugi" w:hAnsi="Gadugi" w:eastAsia="Gadugi" w:cs="Gadugi"/>
        </w:rPr>
        <w:t>ᎬᏩᏅᏒ</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ᎤᎾᏠᏱᏍᏗ</w:t>
      </w:r>
      <w:r>
        <w:rPr>
          <w:rFonts w:ascii="Times New Roman" w:hAnsi="Times New Roman" w:eastAsia="Times New Roman" w:cs="Times New Roman"/>
        </w:rPr>
        <w:t xml:space="preserve"> </w:t>
      </w:r>
      <w:r>
        <w:rPr>
          <w:rFonts w:ascii="Gadugi" w:hAnsi="Gadugi" w:eastAsia="Gadugi" w:cs="Gadugi"/>
        </w:rPr>
        <w:t>ᎠᏓᏅᏙᏗ</w:t>
      </w:r>
      <w:r>
        <w:rPr>
          <w:rFonts w:ascii="Times New Roman" w:hAnsi="Times New Roman" w:eastAsia="Times New Roman" w:cs="Times New Roman"/>
        </w:rPr>
        <w:t xml:space="preserve"> </w:t>
      </w:r>
      <w:r>
        <w:rPr>
          <w:rFonts w:ascii="Gadugi" w:hAnsi="Gadugi" w:eastAsia="Gadugi" w:cs="Gadugi"/>
        </w:rPr>
        <w:t>ᎪᎵᏆ</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ᎠᏂᏍᎦᎾ</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ᎤᏓᏑᏯ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ᏗᏟᏌᏅ</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ᏧᏂᏲᎯᏎᎸ</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ᎪᎵᏆ</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ᏗᏟᏌᏅ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ᎠᎾᏙᎴᎰᏍᎩ</w:t>
      </w:r>
      <w:r>
        <w:rPr>
          <w:rFonts w:ascii="Times New Roman" w:hAnsi="Times New Roman" w:eastAsia="Times New Roman" w:cs="Times New Roman"/>
        </w:rPr>
        <w:t xml:space="preserve"> </w:t>
      </w:r>
      <w:r>
        <w:rPr>
          <w:rFonts w:ascii="Gadugi" w:hAnsi="Gadugi" w:eastAsia="Gadugi" w:cs="Gadugi"/>
        </w:rPr>
        <w:t>ᎠᏂᏍᎦᎾ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ᎡᏓᎻ</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ᎤᎾᎵᏍᎨᎢ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ᏄᏍᏛᎾ</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ᎢᏳᏛᏁᎸᎢ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ᎤᏁᏒ</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ᎺᎵ</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ᏅᎦᏍᎩ</w:t>
      </w:r>
      <w:r>
        <w:rPr>
          <w:rFonts w:ascii="Times New Roman" w:hAnsi="Times New Roman" w:eastAsia="Times New Roman" w:cs="Times New Roman"/>
        </w:rPr>
        <w:t xml:space="preserve"> </w:t>
      </w:r>
      <w:r>
        <w:rPr>
          <w:rFonts w:ascii="Gadugi" w:hAnsi="Gadugi" w:eastAsia="Gadugi" w:cs="Gadugi"/>
        </w:rPr>
        <w:t>ᏧᏕᘏᏙᎸ</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ᎤᏂᎪᏄᎸ</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ᎤᏁᏒ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ᎤᏃᏍᏛ</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ᎡᏓᎻ</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ᎡᏓᎻ</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ᏄᏛᏁᎲᎾ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ᎤᎵᏲᎵᏎᎵᏉ</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ᎪᎵᏆ</w:t>
      </w:r>
      <w:r>
        <w:rPr>
          <w:rFonts w:ascii="Times New Roman" w:hAnsi="Times New Roman" w:eastAsia="Times New Roman" w:cs="Times New Roman"/>
        </w:rPr>
        <w:t xml:space="preserve"> </w:t>
      </w:r>
      <w:r>
        <w:rPr>
          <w:rFonts w:ascii="Gadugi" w:hAnsi="Gadugi" w:eastAsia="Gadugi" w:cs="Gadugi"/>
        </w:rPr>
        <w:t>ᎠᏍᏓᏩᏛᏍᎩ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ᎤᏂᏍᎦᎾᎾ</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Ang “pagtago sa hayag na paningin” ng “pitong panahon” sa aklat ni Daniel ay naisakatuparan, hindi lamang sa pamamagitan ng mga salitang itinala ni Daniel, kundi lalo na sa pamamagitan ng mga nahulog na taong nagsalin ng King James Bible. Dalawang ulit na nahipo ng mga nahulog na tao ang aklat ni Daniel, at ang naisakatuparan ay magiging imposible para sa sinumang tao na gawin kung wala ang banal at mapagkalingang pangangasiwa ng Diyos.</w:t>
      </w:r>
    </w:p>
    <w:p>
      <w:pPr>
        <w:pStyle w:val="ArticleBody"/>
        <w:jc w:val="left"/>
      </w:pPr>
      <w:r>
        <w:rPr>
          <w:rFonts w:ascii="Times New Roman" w:hAnsi="Times New Roman" w:eastAsia="Times New Roman" w:cs="Times New Roman"/>
        </w:rPr>
        <w:t>Itiqiliqiri artículunkupi qallarinakuyku imaynata Divinidadwan runakaynin pakasqanku Leviticus iskay chunka suqtayoqpi kaq “qanchis kuti” nisqata rikch’arispa, Danielpa libronpi qhawaqpaq sut’ita kachkaptinpas, Diosqa ñawpaqmantapuni yachasqa, chaymantaqa hinallataq wakichisqa ima, chayqa kananpaq pruebayuq “mitk’achiq rumi” hina, huk ñiqin angelpa kuyukuyninpi kaqkunapaqpas, hinallataq kimsa ñiqin angelpa kuyukuyninpi kaqkunapaqpas.</w:t>
      </w:r>
    </w:p>
    <w:p>
      <w:pPr>
        <w:pStyle w:val="ArticleScripture"/>
        <w:jc w:val="left"/>
      </w:pPr>
      <w:r>
        <w:rPr>
          <w:rFonts w:ascii="Times New Roman" w:hAnsi="Times New Roman" w:eastAsia="Times New Roman" w:cs="Times New Roman"/>
        </w:rPr>
        <w:t>“Ania a Daniel ñan Yàlla joxoon, jagleel nañu ko ci seen njariñ bu gën a mag ngir fan yu mujj yii. Peeñ yi mu gisoon ca wetu Dexu Ulai ak Dexu Hiddekel, dex yu mag yi nekk ci réewum Shinar, léegi dañuy dugg ci yoonu mat, te lépp lu ñu waxoon ci kanam dina yegg léegi ci matal.”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یەکەم</dc:title>
  <dc:subject>Ulay ile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