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Gadugi" w:hAnsi="Gadugi" w:eastAsia="Gadugi" w:cs="Gadugi"/>
        </w:rPr>
        <w:t>ᎡᏂᎦᎵᏍᎬ</w:t>
      </w:r>
      <w:r>
        <w:rPr>
          <w:rFonts w:ascii="Arial" w:hAnsi="Arial" w:eastAsia="Arial" w:cs="Arial"/>
        </w:rPr>
        <w:t xml:space="preserve"> </w:t>
      </w:r>
      <w:r>
        <w:rPr>
          <w:rFonts w:ascii="Gadugi" w:hAnsi="Gadugi" w:eastAsia="Gadugi" w:cs="Gadugi"/>
        </w:rPr>
        <w:t>ᏕᏂᏯᎵᏃᎯ</w:t>
      </w:r>
      <w:r>
        <w:rPr>
          <w:rFonts w:ascii="Arial" w:hAnsi="Arial" w:eastAsia="Arial" w:cs="Arial"/>
        </w:rPr>
        <w:t xml:space="preserve"> - </w:t>
      </w:r>
      <w:r>
        <w:rPr>
          <w:rFonts w:ascii="Gadugi" w:hAnsi="Gadugi" w:eastAsia="Gadugi" w:cs="Gadugi"/>
        </w:rPr>
        <w:t>ᎯᏍᎩ</w:t>
      </w:r>
      <w:r>
        <w:rPr>
          <w:rFonts w:ascii="Arial" w:hAnsi="Arial" w:eastAsia="Arial" w:cs="Arial"/>
        </w:rPr>
        <w:t xml:space="preserve"> </w:t>
      </w:r>
      <w:r>
        <w:rPr>
          <w:rFonts w:ascii="Gadugi" w:hAnsi="Gadugi" w:eastAsia="Gadugi" w:cs="Gadugi"/>
        </w:rPr>
        <w:t>ᎢᎦᎵᏍᎬ</w:t>
      </w:r>
    </w:p>
    <w:p>
      <w:pPr>
        <w:pStyle w:val="ArticleSubtitle"/>
        <w:jc w:val="left"/>
      </w:pPr>
      <w:r>
        <w:rPr>
          <w:rFonts w:ascii="Segoe UI" w:hAnsi="Segoe UI" w:eastAsia="Segoe UI" w:cs="Segoe UI"/>
        </w:rPr>
        <w:t>سبعين</w:t>
      </w:r>
      <w:r>
        <w:rPr>
          <w:rFonts w:ascii="Arial" w:hAnsi="Arial" w:eastAsia="Arial" w:cs="Arial"/>
        </w:rPr>
        <w:t xml:space="preserve"> </w:t>
      </w:r>
      <w:r>
        <w:rPr>
          <w:rFonts w:ascii="Segoe UI" w:hAnsi="Segoe UI" w:eastAsia="Segoe UI" w:cs="Segoe UI"/>
        </w:rPr>
        <w:t>سنة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Йәһуда ахырку үч падишаһиниң биринчиси Йәһояким еди; вә у Бабиллиқлар тәрипидин мәғлуп қилинғанда, җәнубий падишалиқ үчүн йәтмиш йиллиқ қуллуқ башланди. Бу йәтмиш йил Бабилниң — Муқәддәс Китап пәйғәмбәрликидики тунҗи падишалиқниң — һөкүм сүридиған вақит мәзгилини көрситиду. Ишая китабиниң йигирмә үчинчи бабида, Тирниң паһишиси символлуқ йәтмиш йилға унтулуп қалиду; бу пәйғәмбәрлик җәһәттин бир падишаһниң күнлири дәп ениқ көрситилгән. Муқәддәс Китап пәйғәмбәрлигидә падишаһ бир падишалиқтур, вә Муқәддәс Китап пәйғәмбәрлигидики йәтмиш йилға тәң болған бирдин-бир падишалиқ Бабил еди.</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ᱴᱟᱭᱨ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ᱯᱟᱯᱟᱥᱤᱛᱤ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ᱛᱮᱞᱟᱭ</w:t>
      </w:r>
      <w:r>
        <w:rPr>
          <w:rFonts w:ascii="Times New Roman" w:hAnsi="Times New Roman" w:eastAsia="Times New Roman" w:cs="Times New Roman"/>
        </w:rPr>
        <w:t xml:space="preserve">, </w:t>
      </w:r>
      <w:r>
        <w:rPr>
          <w:rFonts w:ascii="Nirmala UI" w:hAnsi="Nirmala UI" w:eastAsia="Nirmala UI" w:cs="Nirmala UI"/>
        </w:rPr>
        <w:t>ᱵᱷᱩᱞᱟᱣ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ᱥᱟᱛᱛᱚᱨ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ᱟᱸᱜᱩᱪ</w:t>
      </w:r>
      <w:r>
        <w:rPr>
          <w:rFonts w:ascii="Times New Roman" w:hAnsi="Times New Roman" w:eastAsia="Times New Roman" w:cs="Times New Roman"/>
        </w:rPr>
        <w:t xml:space="preserve"> </w:t>
      </w:r>
      <w:r>
        <w:rPr>
          <w:rFonts w:ascii="Nirmala UI" w:hAnsi="Nirmala UI" w:eastAsia="Nirmala UI" w:cs="Nirmala UI"/>
        </w:rPr>
        <w:t>ᱟᱢᱟ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ᱚᱛᱮ</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ᱦᱚᱨᱠᱚᱨᱟ</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ᱟᱛᱢᱤᱠ</w:t>
      </w:r>
      <w:r>
        <w:rPr>
          <w:rFonts w:ascii="Times New Roman" w:hAnsi="Times New Roman" w:eastAsia="Times New Roman" w:cs="Times New Roman"/>
        </w:rPr>
        <w:t xml:space="preserve"> </w:t>
      </w:r>
      <w:r>
        <w:rPr>
          <w:rFonts w:ascii="Nirmala UI" w:hAnsi="Nirmala UI" w:eastAsia="Nirmala UI" w:cs="Nirmala UI"/>
        </w:rPr>
        <w:t>ᱦᱚᱨᱠᱚᱨᱟ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ᱵᱮᱠᱟᱹᱭᱫᱟ</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ᱢᱮᱥᱟ</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ᱥᱟᱛᱛᱚᱨ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ᱯᱟᱯᱟᱥᱤᱛᱤ</w:t>
      </w:r>
      <w:r>
        <w:rPr>
          <w:rFonts w:ascii="Times New Roman" w:hAnsi="Times New Roman" w:eastAsia="Times New Roman" w:cs="Times New Roman"/>
        </w:rPr>
        <w:t xml:space="preserve"> </w:t>
      </w:r>
      <w:r>
        <w:rPr>
          <w:rFonts w:ascii="Nirmala UI" w:hAnsi="Nirmala UI" w:eastAsia="Nirmala UI" w:cs="Nirmala UI"/>
        </w:rPr>
        <w:t>ᱡᱟᱛᱤ</w:t>
      </w:r>
      <w:r>
        <w:rPr>
          <w:rFonts w:ascii="Times New Roman" w:hAnsi="Times New Roman" w:eastAsia="Times New Roman" w:cs="Times New Roman"/>
        </w:rPr>
        <w:t xml:space="preserve"> </w:t>
      </w:r>
      <w:r>
        <w:rPr>
          <w:rFonts w:ascii="Nirmala UI" w:hAnsi="Nirmala UI" w:eastAsia="Nirmala UI" w:cs="Nirmala UI"/>
        </w:rPr>
        <w:t>ᱥᱚᱝᱜᱷ</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ᱛᱮᱞᱟᱭ</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ᱴᱟᱭᱨ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ᱥᱟᱛᱛᱚᱨ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ᱦᱚᱨᱠᱚᱨᱟ</w:t>
      </w:r>
      <w:r>
        <w:rPr>
          <w:rFonts w:ascii="Times New Roman" w:hAnsi="Times New Roman" w:eastAsia="Times New Roman" w:cs="Times New Roman"/>
        </w:rPr>
        <w:t xml:space="preserve"> </w:t>
      </w:r>
      <w:r>
        <w:rPr>
          <w:rFonts w:ascii="Nirmala UI" w:hAnsi="Nirmala UI" w:eastAsia="Nirmala UI" w:cs="Nirmala UI"/>
        </w:rPr>
        <w:t>ᱠᱟᱢᱤ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ᱮᱢᱚᱜᱼᱟ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ᱦᱤᱡᱩᱜᱼᱟ</w:t>
      </w:r>
      <w:r>
        <w:rPr>
          <w:rFonts w:ascii="Times New Roman" w:hAnsi="Times New Roman" w:eastAsia="Times New Roman" w:cs="Times New Roman"/>
        </w:rPr>
        <w:t xml:space="preserve">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ᱥᱟᱛᱛᱚᱨ</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ᱠᱟᱢᱤᱭᱟᱜ</w:t>
      </w:r>
      <w:r>
        <w:rPr>
          <w:rFonts w:ascii="Times New Roman" w:hAnsi="Times New Roman" w:eastAsia="Times New Roman" w:cs="Times New Roman"/>
        </w:rPr>
        <w:t xml:space="preserve"> </w:t>
      </w:r>
      <w:r>
        <w:rPr>
          <w:rFonts w:ascii="Nirmala UI" w:hAnsi="Nirmala UI" w:eastAsia="Nirmala UI" w:cs="Nirmala UI"/>
        </w:rPr>
        <w:t>ᱨᱟᱡ</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ᱥᱤᱝ</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ᱡᱟᱱᱣᱟᱨ</w:t>
      </w:r>
      <w:r>
        <w:rPr>
          <w:rFonts w:ascii="Times New Roman" w:hAnsi="Times New Roman" w:eastAsia="Times New Roman" w:cs="Times New Roman"/>
        </w:rPr>
        <w:t xml:space="preserve"> </w:t>
      </w:r>
      <w:r>
        <w:rPr>
          <w:rFonts w:ascii="Nirmala UI" w:hAnsi="Nirmala UI" w:eastAsia="Nirmala UI" w:cs="Nirmala UI"/>
        </w:rPr>
        <w:t>᱾</w:t>
      </w:r>
    </w:p>
    <w:p>
      <w:pPr>
        <w:pStyle w:val="ArticleBody"/>
        <w:jc w:val="left"/>
      </w:pPr>
      <w:r>
        <w:rPr>
          <w:rFonts w:ascii="Times New Roman" w:hAnsi="Times New Roman" w:eastAsia="Times New Roman" w:cs="Times New Roman"/>
        </w:rPr>
        <w:t>Danyeri sura imwe kusvika kushanu, dzinotsanangura nhoroondo yemakore makumi manomwe eBhabhironi, uye naizvozvo sura idzodzo dzinomiririra nhoroondo yenyanga mbiri dzemhuka yenyika. Sura yechina neyechishanu dzinozivisa madzimambo ekutanga neekupedzisira eBhabhironi, uye pamwe chete sura mbiri idzodzo dzinozivisa nhoroondo yemhuka yenyika nenyanga dzayo mbiri. Kutongwa kwenyanga mbiri idzodzo, pamwe chete nemhuka yenyika pachayo, kunomiririrwa nekutongwa kwamambo wokutanga namambo wokupedzisira. Kutongwa kwaNebhukadhinezari kwaiva kudzingwa kwenguva dze“nguva nomwe,” paakagara semhuka yesango kwemazuva zviuru zviviri namazana mashanu nemakumi maviri achirarama nouswa nedova. Kutongwa kwaBherishazari kwakanyorwa parusvingo, uye kwakafananidzwa nenhamba yezviuru zviviri namazana mashanu nemakumi maviri, nokudaro zvichiratidza kuti kutongwa kwemhuka yenyika nenyanga dzayo mbiri kunomiririrwa ne“nguva nomwe” dzaRevhitiko makumi maviri nenhanhatu. Izvi zvakavakirwa pauchapupu hwemadzimambo maviri, uye zvapupu zviviri izvi zvinomiririra wokutanga nowokupedzisira.</w:t>
      </w:r>
    </w:p>
    <w:p>
      <w:pPr>
        <w:pStyle w:val="ArticleBody"/>
        <w:jc w:val="left"/>
      </w:pPr>
      <w:r>
        <w:rPr>
          <w:rFonts w:ascii="Times New Roman" w:hAnsi="Times New Roman" w:eastAsia="Times New Roman" w:cs="Times New Roman"/>
        </w:rPr>
        <w:t>«Ҳафт замон» санги пешпо барои адвентизм аст, ва бинобар ин наметавонад шинохта шавад, ҳарчанд он ошкоро дар он ҷост — барои онҳое ки мехоҳанд бубинанд. Он рамзи доварии миллате (Бобил) аст, ки ҳафтод сол ҳукмронӣ кард, ва рамзи доварӣ барои подшоҳиест, ки ҳафтод соли рамзӣ ҳукм меронад. Вақте ки Вилям Миллер фаҳмиши худро дар бораи «ҳафт замон»-и Ибодат 26 пешниҳод намуд, ӯ бисту панҷ саду бист рӯзи зиндагии Набукаднесарро ҳамчун ҳайвон дар Дониёл боби 4 ҳамчун яке аз шоҳидони пешгӯёна барои тасдиқи «ҳафт замон»-и Ибодат 26 ба кор бурд. «Ҳафт замон» ҳам санги бунёд аст ва ҳам санги сари гӯша дар Закариё боби 4. Исо, Хоҳар Уайт, Ишаъё ва Петрус онро ҳамчун санге мешиносонанд, ки сари гӯша мегардад. Он таълимоти тоҷгузори пешгӯии Китоби Муқаддас аст, ҳарчанд барои онҳое ки худро паёмоварони фариштаи сеюм мешуморанд, дар асл қариб ноаён аст.</w:t>
      </w:r>
    </w:p>
    <w:p>
      <w:pPr>
        <w:pStyle w:val="ArticleBody"/>
        <w:jc w:val="left"/>
      </w:pPr>
      <w:r>
        <w:rPr>
          <w:rFonts w:ascii="Times New Roman" w:hAnsi="Times New Roman" w:eastAsia="Times New Roman" w:cs="Times New Roman"/>
        </w:rPr>
        <w:t>À mesure que nous commençons à examiner les six premiers chapitres du livre de Daniel, il importe de reconnaître que, dès le tout début, les « sept temps » y sont identifiés. Lorsque Jehoïaqim fut renversé par Babylone, la captivité de soixante-dix ans commença. Le livre des Chroniques explique pourquoi ils furent emmenés en captivité pendant soixante-dix ans.</w:t>
      </w:r>
    </w:p>
    <w:p>
      <w:pPr>
        <w:pStyle w:val="ArticleScripture"/>
        <w:jc w:val="left"/>
      </w:pPr>
      <w:r>
        <w:rPr>
          <w:rFonts w:ascii="Times New Roman" w:hAnsi="Times New Roman" w:eastAsia="Times New Roman" w:cs="Times New Roman"/>
        </w:rPr>
        <w:t>Sedeqiya, ta ngaihnâ leh pakhat a ni a, a lal tirh chuan; Jerusalem-ah kum sâwm leh pakhat a rorêl. Lalpa a Pathian mit hmuhah thil sual tak chu a ti a, Lalpa kam ata thu sawi Jeremia zâwlnei hmaah pawh a inhnêm lo va. Tin, Pathian hminga tihlâwm tûra Nebukadnezzara lalin a ti tawh chung pawhin amah lakah a hel bawk a; mahse a nghâwng a tihnghet a, Israelte Pathian Lalpa hnêna kîr tûrin a thinlung a tihsak hneh. Chu bâkah, puithiam hotute zawng zawng leh mipuite pawh hnam dangte ten an tih tenawmna zawng zawng ang zêlin nasa taka an bawhchhiat a, Jerusalem-a Lalpan a tihthianghlim a in chu an tihbawlhhlawh ta a. Tin, an puipate Pathian Lalpan a mite leh a chênna hmun chungah khawngaihna a neih vângin, a tirhkohte hmangin an hnênah thu a thawn fo va, zing takah tho chungin a thawn zêl bawk; mahse anni chuan Pathian tirhkohte chu an nuihsan a, a thu chu an hmuhsit a, a zâwlneite chu an tihduhdah a, Lalpa thinurna chu a mite chungah a tho chhuak a, damdâwi theihna rêng a awm tawh lo. Chutichuan, Kaldeite lal chu an chungah a hruai thleng a; an biak in thianghlimah an tlangvalte chu namsauvin a that a, tlangval emaw, nungak emaw, upa emaw, kum vânga kun emaw, tu mah a khawngaih lo va: an zawng zawng chu a kutah a hlan vek a. Tin, Pathian in bungrua zawng zawng, lian leh te, Lalpa in ro hlute, lal leh a hotute ro hlute—hêng zawng zawng hi Babilon-ah a hruai a. Tin, Pathian in chu an hâlral a, Jerusalem kulh bangte chu an chhe a, a lal in zawng zawng chu meiin an hâl a, a bungrua mâwi zawng zawng pawh an tihral vek a. Tin, namsau lak ata chhuak tlângte chu Babilon-ah a sal hruai a; Persia ram lalram rorêl a lo thlen hma chu amah leh a fate tâna chhiahhlawh an ni ta a. Hemi hi Jeremia hmanga Lalpa thu sawi chu a lo thleng tûrin a ni a; ram chuan a Sabbath-te a lo hlim theih nân: a thlalêr chhûng zawngin Sabbath a vawng a, kum sawmhnih li panga tling tûrin. Tichuan, Persia lal Kura kum khatnaah, Jeremia hmanga Lalpa thu sawi chu a lo thleng theih nân, Lalpan Persia lal Kura thlarau chu a kaihharh a; chutichuan a ram zawng zawngah thu a puang a, ziak pawhin a dah nghâl a, hetiang hian a ti: “Persia lal Kura hian a sawi e, Vân Pathian Lalpan leia lalram zawng zawng hi min pe tawh a; Juda rama Jerusalem-a amah tân in sak tûrin min tirh bawk. A mite zînga in zînga tu nge awm? Lalpa a Pathian chu amah nên awm rawh se, kai rawh se.” 2 Kronika 36:11–23.</w:t>
      </w:r>
    </w:p>
    <w:p>
      <w:pPr>
        <w:pStyle w:val="ArticleBody"/>
        <w:jc w:val="left"/>
      </w:pPr>
      <w:r>
        <w:rPr>
          <w:rFonts w:ascii="Times New Roman" w:hAnsi="Times New Roman" w:eastAsia="Times New Roman" w:cs="Times New Roman"/>
        </w:rPr>
        <w:t>کۆیلەتییەکەی حەفتا ساڵە بۆ ئەوە بوو کە وشەی ئیرمیا تەواو بکرێت، «هەتاوەکو خاکەکە شەممەکانی خۆی چێژ لێ وەرگرت، چونکە هەموو ئەو ماوەیەی وێران دابوو شەممەی دەگرت.» لە وشەی خودادا، جگە لەو ئایەتەی لە پارالیپۆمەنا کە ئێمە ئاماژەی پێ دەکەین، تەنها یەک دەق هەیە کە باس لەوە دەکات خاکەکە «چێژ لە» شەممەکانی خۆی وەرگرتبێت. ئەو دەقە لە پەرتووکی لاویان، بەشەکانی بیست و پێنج و بیست و شەشە. بەشی بیست و پێنج ڕێنمایی دەدات لەسەر چۆنیەتی ئەوەی ڕێگا بدرێت بە خاکەکە تاکو پشووی شەممەیی خۆی چێژ لێ وەرگرێت، و بەشی بیست و شەش نەفرەتی «حەوت جار» دیاری دەکات ئەگەر ئەو ڕاسپاردە پەیمانییانە پەیڕەو نەکرابن.</w:t>
      </w:r>
    </w:p>
    <w:p>
      <w:pPr>
        <w:pStyle w:val="ArticleBody"/>
        <w:jc w:val="left"/>
      </w:pPr>
      <w:r>
        <w:rPr>
          <w:rFonts w:ascii="Gadugi" w:hAnsi="Gadugi" w:eastAsia="Gadugi" w:cs="Gadugi"/>
        </w:rPr>
        <w:t>ᎢᎦᏴᎵᎪᎯᎩᎻ</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ᎤᏁᎳᏅ</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ᎤᏁᏉᎾᏗ</w:t>
      </w:r>
      <w:r>
        <w:rPr>
          <w:rFonts w:ascii="Times New Roman" w:hAnsi="Times New Roman" w:eastAsia="Times New Roman" w:cs="Times New Roman"/>
        </w:rPr>
        <w:t xml:space="preserve"> </w:t>
      </w:r>
      <w:r>
        <w:rPr>
          <w:rFonts w:ascii="Gadugi" w:hAnsi="Gadugi" w:eastAsia="Gadugi" w:cs="Gadugi"/>
        </w:rPr>
        <w:t>ᎤᏂᏴᎲᎢ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ᎤᏂᎵᏍᏔᏅᎯ</w:t>
      </w:r>
      <w:r>
        <w:rPr>
          <w:rFonts w:ascii="Times New Roman" w:hAnsi="Times New Roman" w:eastAsia="Times New Roman" w:cs="Times New Roman"/>
        </w:rPr>
        <w:t xml:space="preserve"> </w:t>
      </w:r>
      <w:r>
        <w:rPr>
          <w:rFonts w:ascii="Gadugi" w:hAnsi="Gadugi" w:eastAsia="Gadugi" w:cs="Gadugi"/>
        </w:rPr>
        <w:t>ᎠᏕᎳᏆ</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ᏓᏂᏧᏤᎲ</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ᎤᏪᎵ</w:t>
      </w:r>
      <w:r>
        <w:rPr>
          <w:rFonts w:ascii="Times New Roman" w:hAnsi="Times New Roman" w:eastAsia="Times New Roman" w:cs="Times New Roman"/>
        </w:rPr>
        <w:t xml:space="preserve"> </w:t>
      </w:r>
      <w:r>
        <w:rPr>
          <w:rFonts w:ascii="Gadugi" w:hAnsi="Gadugi" w:eastAsia="Gadugi" w:cs="Gadugi"/>
        </w:rPr>
        <w:t>ᏐᏈ</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ᎠᏯᏛ</w:t>
      </w:r>
      <w:r>
        <w:rPr>
          <w:rFonts w:ascii="Times New Roman" w:hAnsi="Times New Roman" w:eastAsia="Times New Roman" w:cs="Times New Roman"/>
        </w:rPr>
        <w:t xml:space="preserve"> </w:t>
      </w:r>
      <w:r>
        <w:rPr>
          <w:rFonts w:ascii="Gadugi" w:hAnsi="Gadugi" w:eastAsia="Gadugi" w:cs="Gadugi"/>
        </w:rPr>
        <w:t>ᎤᏪᎵᏍᎬᎢ</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ᎤᏎᎵᏔᏅ</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ᏓᏂᏧᏤᎲ</w:t>
      </w:r>
      <w:r>
        <w:rPr>
          <w:rFonts w:ascii="Times New Roman" w:hAnsi="Times New Roman" w:eastAsia="Times New Roman" w:cs="Times New Roman"/>
        </w:rPr>
        <w:t xml:space="preserve"> </w:t>
      </w:r>
      <w:r>
        <w:rPr>
          <w:rFonts w:ascii="Gadugi" w:hAnsi="Gadugi" w:eastAsia="Gadugi" w:cs="Gadugi"/>
        </w:rPr>
        <w:t>ᎠᎦᏔᎮ</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ᏧᏒᎯᏰᏍᏛ</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ᎤᏪᎵ</w:t>
      </w:r>
      <w:r>
        <w:rPr>
          <w:rFonts w:ascii="Times New Roman" w:hAnsi="Times New Roman" w:eastAsia="Times New Roman" w:cs="Times New Roman"/>
        </w:rPr>
        <w:t xml:space="preserve"> </w:t>
      </w:r>
      <w:r>
        <w:rPr>
          <w:rFonts w:ascii="Gadugi" w:hAnsi="Gadugi" w:eastAsia="Gadugi" w:cs="Gadugi"/>
        </w:rPr>
        <w:t>ᏐᏈ</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ᎠᏯᏛ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ᎤᏃᎮᎭ</w:t>
      </w:r>
      <w:r>
        <w:rPr>
          <w:rFonts w:ascii="Times New Roman" w:hAnsi="Times New Roman" w:eastAsia="Times New Roman" w:cs="Times New Roman"/>
        </w:rPr>
        <w:t xml:space="preserve">, </w:t>
      </w:r>
      <w:r>
        <w:rPr>
          <w:rFonts w:ascii="Gadugi" w:hAnsi="Gadugi" w:eastAsia="Gadugi" w:cs="Gadugi"/>
        </w:rPr>
        <w:t>ᏤᎵᎹᏯ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ᎦᎵᏆᏍᎪᎯ</w:t>
      </w:r>
      <w:r>
        <w:rPr>
          <w:rFonts w:ascii="Times New Roman" w:hAnsi="Times New Roman" w:eastAsia="Times New Roman" w:cs="Times New Roman"/>
        </w:rPr>
        <w:t xml:space="preserve"> </w:t>
      </w:r>
      <w:r>
        <w:rPr>
          <w:rFonts w:ascii="Gadugi" w:hAnsi="Gadugi" w:eastAsia="Gadugi" w:cs="Gadugi"/>
        </w:rPr>
        <w:t>ᏧᏕᏘᏴᎢ</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ᎤᎾᏝᎢ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ᎠᎦᏔᎮ</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ᏧᏕᏘᏴᎢ</w:t>
      </w:r>
      <w:r>
        <w:rPr>
          <w:rFonts w:ascii="Times New Roman" w:hAnsi="Times New Roman" w:eastAsia="Times New Roman" w:cs="Times New Roman"/>
        </w:rPr>
        <w:t xml:space="preserve"> </w:t>
      </w:r>
      <w:r>
        <w:rPr>
          <w:rFonts w:ascii="Gadugi" w:hAnsi="Gadugi" w:eastAsia="Gadugi" w:cs="Gadugi"/>
        </w:rPr>
        <w:t>ᎤᏁᎳᏅ</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ᏓᎨᏥᏆᏚᏛᎢ</w:t>
      </w:r>
      <w:r>
        <w:rPr>
          <w:rFonts w:ascii="Times New Roman" w:hAnsi="Times New Roman" w:eastAsia="Times New Roman" w:cs="Times New Roman"/>
        </w:rPr>
        <w:t xml:space="preserve"> </w:t>
      </w:r>
      <w:r>
        <w:rPr>
          <w:rFonts w:ascii="Gadugi" w:hAnsi="Gadugi" w:eastAsia="Gadugi" w:cs="Gadugi"/>
        </w:rPr>
        <w:t>ᏆᏇᎶᏂᎢ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Hukmronligining birinchi yilida men — Doniyor — kitoblardan, ya’ni Egamizning kalomi Yeremiyo payg‘ambarga kelib, Quddusning vayronaligi uchun yetmish yil ado bo‘lishini bildirgan yillarning sonini angladim. Doniyor 9:2.</w:t>
      </w:r>
    </w:p>
    <w:p>
      <w:pPr>
        <w:pStyle w:val="ArticleBody"/>
        <w:jc w:val="left"/>
      </w:pPr>
      <w:r>
        <w:rPr>
          <w:rFonts w:ascii="Times New Roman" w:hAnsi="Times New Roman" w:eastAsia="Times New Roman" w:cs="Times New Roman"/>
        </w:rPr>
        <w:t>Daniýel ýetmiş ýyly diňe Ýeremiýanyň kitaby boýunça däl, eýsem “kitaplar arkaly” düşündi. Onuň düşünen beýleki kitaby Musanyň ýazgylarydy, çünki ol öz doga-synda ýetmiş ýyllyk gullugyň “näletiniň” Musanyň “anty” bolandygyny aýdýar. Daniýeliň dokuzynjy babynda “ant” diýip terjime edilen söz, Lewiler ýigrimi altynjy bapda “ýedi esse” diýip terjime edilen şol bir sözdür. Ýahudanyň Babilonda ýetmiş ýyllyk ýesirligi, häzirki zaman teologlarynyň näme jedel etmegine garamazdan, “ýedi esse” näletiniň ýerine ýetmesidi. Bu gün ýaly aýdyňdyr, ýöne muny diňe görmäge taýýar bolsaň görersiň.</w:t>
      </w:r>
    </w:p>
    <w:p>
      <w:pPr>
        <w:pStyle w:val="ArticleScripture"/>
        <w:jc w:val="left"/>
      </w:pPr>
      <w:r>
        <w:rPr>
          <w:rFonts w:ascii="Times New Roman" w:hAnsi="Times New Roman" w:eastAsia="Times New Roman" w:cs="Times New Roman"/>
        </w:rPr>
        <w:t>ئەمجا یەهوە لە شاخی سینا بۆ موسا قسەی کرد و فەرمووی: «قسە لەگەڵ نەوەی ئیسرائیل بکە و پێیان بڵێ: کاتێک دەگەنە ئەو خاکەی کە من پێتاندەدەم، ئەوا خاکەکە شەممەیەک بۆ یەهوە دەپارێزێت. شەش ساڵ کێڵگەکەت دەچێنیت، و شەش ساڵ ڕەزەمەکەت پاکدەکەیتەوە و بەرهەمەکەی کۆدەکەیتەوە؛ بەڵام لە ساڵی حەوتەمدا شەممەیەکی پشووی تەواو بۆ خاکەکە دەبێت، شەممەیەک بۆ یەهوە: نە کێڵگەکەت دەچێنیت و نە ڕەزەمەکەت پاکدەکەیتەوە. ئەوەی لە دوای دروێنەکەت خۆبەخۆ ڕوودەدات، دروێنەوەی مەکە؛ هەروەها تڕۆی مێوی تاکە نەپاککراوەکەت کۆمەکەرەوە، چونکە ساڵێکی پشوودانە بۆ خاکەکەیە. شەممەی خاکەکە دەبێتە خواردن بۆتان؛ بۆ تۆ و بۆ خزمەتکارە نێرەکەت و خزمەتکارە مێیەکەت و کرێکارەکەت و نامۆیەکەت کە لەگەڵت نیشتەجێیە، هەروەها بۆ ئاژەڵەکانت و بۆ ئەو کێویانەی لە خاکەکەتدان، هەموو زیادەییەکەی دەبێتە خواردن. ئینجا حەوت شەممەی ساڵان بۆ خۆت دەژمێریت، حەوت جار حەوت ساڵ؛ و ماوەی حەوت شەممەی ساڵان بۆ تۆ دەبێتە چل و نۆ ساڵ. پاشان لە ڕۆژی دەهەمی مانگی حەوتەمدا فەرمان بدە کە کەڕەنای یۆبیل لێبدرێت؛ لە ڕۆژی کەففارەدا کەڕەنا لە سەرانسەری هەموو خاکەکەتان لێبدەن.» لاویان 25:1–9.</w:t>
      </w:r>
    </w:p>
    <w:p>
      <w:pPr>
        <w:pStyle w:val="ArticleBody"/>
        <w:jc w:val="left"/>
      </w:pP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ᎤᏟᏯᏍᏗ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ᎤᎬᏩᎵ</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ᎧᏃᎮᏍᎬ</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ᎤᏪᏓᎴᏗ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w:t>
      </w:r>
      <w:r>
        <w:rPr>
          <w:rFonts w:ascii="Gadugi" w:hAnsi="Gadugi" w:eastAsia="Gadugi" w:cs="Gadugi"/>
        </w:rPr>
        <w:t>ᎤᏟᏯᏍᏗ</w:t>
      </w:r>
      <w:r>
        <w:rPr>
          <w:rFonts w:ascii="Times New Roman" w:hAnsi="Times New Roman" w:eastAsia="Times New Roman" w:cs="Times New Roman"/>
        </w:rPr>
        <w:t xml:space="preserve"> </w:t>
      </w:r>
      <w:r>
        <w:rPr>
          <w:rFonts w:ascii="Gadugi" w:hAnsi="Gadugi" w:eastAsia="Gadugi" w:cs="Gadugi"/>
        </w:rPr>
        <w:t>ᎤᎵᏍᎩᏓ</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w:t>
      </w:r>
      <w:r>
        <w:rPr>
          <w:rFonts w:ascii="Gadugi" w:hAnsi="Gadugi" w:eastAsia="Gadugi" w:cs="Gadugi"/>
        </w:rPr>
        <w:t>ᏧᏕᎳᏆᏍᏗ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ᎠᏏᎵ</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ᎤᏪᏓᎴᏗ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ᎤᎵᏍᎪᎸ</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ᏧᏕᎳᏆᏍᏗ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ᎤᏓᎷᎸᏔᏅ</w:t>
      </w:r>
      <w:r>
        <w:rPr>
          <w:rFonts w:ascii="Times New Roman" w:hAnsi="Times New Roman" w:eastAsia="Times New Roman" w:cs="Times New Roman"/>
        </w:rPr>
        <w:t xml:space="preserve"> </w:t>
      </w:r>
      <w:r>
        <w:rPr>
          <w:rFonts w:ascii="Gadugi" w:hAnsi="Gadugi" w:eastAsia="Gadugi" w:cs="Gadugi"/>
        </w:rPr>
        <w:t>ᎠᎵᏍᎪᎸ</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w:t>
      </w:r>
      <w:r>
        <w:rPr>
          <w:rFonts w:ascii="Gadugi" w:hAnsi="Gadugi" w:eastAsia="Gadugi" w:cs="Gadugi"/>
        </w:rPr>
        <w:t>ᏧᏕᎳᏆᏍᏗ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ᎠᏓᎴᏅᏔᏅ</w:t>
      </w:r>
      <w:r>
        <w:rPr>
          <w:rFonts w:ascii="Times New Roman" w:hAnsi="Times New Roman" w:eastAsia="Times New Roman" w:cs="Times New Roman"/>
        </w:rPr>
        <w:t xml:space="preserve"> </w:t>
      </w:r>
      <w:r>
        <w:rPr>
          <w:rFonts w:ascii="Gadugi" w:hAnsi="Gadugi" w:eastAsia="Gadugi" w:cs="Gadugi"/>
        </w:rPr>
        <w:t>ᎤᏓᏴᎵᏎᎵ</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ᎤᎾᎵᏍᏈᏗ</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ᎬᏩᏓᏅᏚᎢᏍᏗ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ᎠᏓᎦᏔᎲ</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ᎬᏩᏓᏅᏚᎢᏍᏗ</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October 22, 1844,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ᎤᏓᎴᏅᏔᏅ</w:t>
      </w:r>
      <w:r>
        <w:rPr>
          <w:rFonts w:ascii="Times New Roman" w:hAnsi="Times New Roman" w:eastAsia="Times New Roman" w:cs="Times New Roman"/>
        </w:rPr>
        <w:t xml:space="preserve"> </w:t>
      </w:r>
      <w:r>
        <w:rPr>
          <w:rFonts w:ascii="Gadugi" w:hAnsi="Gadugi" w:eastAsia="Gadugi" w:cs="Gadugi"/>
        </w:rPr>
        <w:t>ᎤᏓᏴᎵᏎᎵ</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ᎤᏚᏁᎢᏍᏗ</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“seven times” </w:t>
      </w:r>
      <w:r>
        <w:rPr>
          <w:rFonts w:ascii="Gadugi" w:hAnsi="Gadugi" w:eastAsia="Gadugi" w:cs="Gadugi"/>
        </w:rPr>
        <w:t>ᎤᏟᏯᏍᏗ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ᎠᏥᏴᎯᏎᎵ</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“seven times”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Manasseh </w:t>
      </w:r>
      <w:r>
        <w:rPr>
          <w:rFonts w:ascii="Gadugi" w:hAnsi="Gadugi" w:eastAsia="Gadugi" w:cs="Gadugi"/>
        </w:rPr>
        <w:t>ᎠᏥᏴᏫᏎ</w:t>
      </w:r>
      <w:r>
        <w:rPr>
          <w:rFonts w:ascii="Times New Roman" w:hAnsi="Times New Roman" w:eastAsia="Times New Roman" w:cs="Times New Roman"/>
        </w:rPr>
        <w:t xml:space="preserve"> Babylon 677 BC, </w:t>
      </w:r>
      <w:r>
        <w:rPr>
          <w:rFonts w:ascii="Gadugi" w:hAnsi="Gadugi" w:eastAsia="Gadugi" w:cs="Gadugi"/>
        </w:rPr>
        <w:t>ᎤᏚᏓᎴᎩ</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ᎯᏍᎩᏧ</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ᏅᎯᏧ</w:t>
      </w:r>
      <w:r>
        <w:rPr>
          <w:rFonts w:ascii="Times New Roman" w:hAnsi="Times New Roman" w:eastAsia="Times New Roman" w:cs="Times New Roman"/>
        </w:rPr>
        <w:t xml:space="preserve"> </w:t>
      </w:r>
      <w:r>
        <w:rPr>
          <w:rFonts w:ascii="Gadugi" w:hAnsi="Gadugi" w:eastAsia="Gadugi" w:cs="Gadugi"/>
        </w:rPr>
        <w:t>ᏧᏕᎳᏆᏍᏗ</w:t>
      </w:r>
      <w:r>
        <w:rPr>
          <w:rFonts w:ascii="Times New Roman" w:hAnsi="Times New Roman" w:eastAsia="Times New Roman" w:cs="Times New Roman"/>
        </w:rPr>
        <w:t xml:space="preserve"> </w:t>
      </w:r>
      <w:r>
        <w:rPr>
          <w:rFonts w:ascii="Gadugi" w:hAnsi="Gadugi" w:eastAsia="Gadugi" w:cs="Gadugi"/>
        </w:rPr>
        <w:t>ᎠᏕᏘᏴᏛ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ᎤᎵᏍᏆᏛᎮ</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ᎬᏩᏓᏅᏚᎢᏍᏗ</w:t>
      </w:r>
      <w:r>
        <w:rPr>
          <w:rFonts w:ascii="Times New Roman" w:hAnsi="Times New Roman" w:eastAsia="Times New Roman" w:cs="Times New Roman"/>
        </w:rPr>
        <w:t xml:space="preserve">. </w:t>
      </w:r>
      <w:r>
        <w:rPr>
          <w:rFonts w:ascii="Gadugi" w:hAnsi="Gadugi" w:eastAsia="Gadugi" w:cs="Gadugi"/>
        </w:rPr>
        <w:t>ᎠᏓᏙᎴᎰᎯᏍᏗ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ᎤᏠᏱᎭ</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ᎤᎾᏚᎵᏍᎬᎾ</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ᎬᏩᎪᎢ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ᏑᏓᎵᏍᏗ</w:t>
      </w:r>
      <w:r>
        <w:rPr>
          <w:rFonts w:ascii="Times New Roman" w:hAnsi="Times New Roman" w:eastAsia="Times New Roman" w:cs="Times New Roman"/>
        </w:rPr>
        <w:t xml:space="preserve"> “seven times,”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ᎠᏕᏘᏴᏛ</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ដូចគ្នានេះផងដែរ</w:t>
      </w:r>
      <w:r>
        <w:rPr>
          <w:rFonts w:ascii="Times New Roman" w:hAnsi="Times New Roman" w:eastAsia="Times New Roman" w:cs="Times New Roman"/>
        </w:rPr>
        <w:t xml:space="preserve"> </w:t>
      </w:r>
      <w:r>
        <w:rPr>
          <w:rFonts w:ascii="Leelawadee UI" w:hAnsi="Leelawadee UI" w:eastAsia="Leelawadee UI" w:cs="Leelawadee UI"/>
        </w:rPr>
        <w:t>គឺសំខាន់ណាស់ក្នុងការមើលឃើញថា</w:t>
      </w:r>
      <w:r>
        <w:rPr>
          <w:rFonts w:ascii="Times New Roman" w:hAnsi="Times New Roman" w:eastAsia="Times New Roman" w:cs="Times New Roman"/>
        </w:rPr>
        <w:t xml:space="preserve"> </w:t>
      </w:r>
      <w:r>
        <w:rPr>
          <w:rFonts w:ascii="Leelawadee UI" w:hAnsi="Leelawadee UI" w:eastAsia="Leelawadee UI" w:cs="Leelawadee UI"/>
        </w:rPr>
        <w:t>នៅក្នុងសេចក្តីបង្គាប់នៃសញ្ញាសម្ពន្ធរបស់ខទាំងប្រាំបួនដំបូងនៃ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២៥</w:t>
      </w:r>
      <w:r>
        <w:rPr>
          <w:rFonts w:ascii="Times New Roman" w:hAnsi="Times New Roman" w:eastAsia="Times New Roman" w:cs="Times New Roman"/>
        </w:rPr>
        <w:t xml:space="preserve"> </w:t>
      </w:r>
      <w:r>
        <w:rPr>
          <w:rFonts w:ascii="Leelawadee UI" w:hAnsi="Leelawadee UI" w:eastAsia="Leelawadee UI" w:cs="Leelawadee UI"/>
        </w:rPr>
        <w:t>មានគំរូបង្ហាញដ៏ជ្រាលជ្រៅបំផុតអំពីគោលការណ៍</w:t>
      </w:r>
      <w:r>
        <w:rPr>
          <w:rFonts w:ascii="Times New Roman" w:hAnsi="Times New Roman" w:eastAsia="Times New Roman" w:cs="Times New Roman"/>
        </w:rPr>
        <w:t xml:space="preserve"> «</w:t>
      </w:r>
      <w:r>
        <w:rPr>
          <w:rFonts w:ascii="Leelawadee UI" w:hAnsi="Leelawadee UI" w:eastAsia="Leelawadee UI" w:cs="Leelawadee UI"/>
        </w:rPr>
        <w:t>មួយថ្ងៃស្មើនឹងមួយឆ្នាំ</w:t>
      </w:r>
      <w:r>
        <w:rPr>
          <w:rFonts w:ascii="Times New Roman" w:hAnsi="Times New Roman" w:eastAsia="Times New Roman" w:cs="Times New Roman"/>
        </w:rPr>
        <w:t xml:space="preserve">» </w:t>
      </w:r>
      <w:r>
        <w:rPr>
          <w:rFonts w:ascii="Leelawadee UI" w:hAnsi="Leelawadee UI" w:eastAsia="Leelawadee UI" w:cs="Leelawadee UI"/>
        </w:rPr>
        <w:t>នៅក្នុងព្រះបន្ទូលរបស់ព្រះ។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ម្ហូបលាយឡំនៃរឿងព្រេងដែលពួកអ្នកទេវវិទូយកមកបោះចេញ</w:t>
      </w:r>
      <w:r>
        <w:rPr>
          <w:rFonts w:ascii="Times New Roman" w:hAnsi="Times New Roman" w:eastAsia="Times New Roman" w:cs="Times New Roman"/>
        </w:rPr>
        <w:t xml:space="preserve"> </w:t>
      </w:r>
      <w:r>
        <w:rPr>
          <w:rFonts w:ascii="Leelawadee UI" w:hAnsi="Leelawadee UI" w:eastAsia="Leelawadee UI" w:cs="Leelawadee UI"/>
        </w:rPr>
        <w:t>ដើម្បីរក្សាហ្វូងចៀមឲ្យស្រវឹងជាប់ដោយស្រាបាប៊ីឡូន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ការជំនុំជម្រះនៃ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នៅក្នុងជំពូក</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គឺជាការយល់ខុសអំពីន័យភាសាហេប្រឺនៃពាក្យដែលត្រូវបានបកប្រែថា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អំណះអំណាងនោះមិនមែនជាសេចក្តីពិតទេ។</w:t>
      </w:r>
      <w:r>
        <w:rPr>
          <w:rFonts w:ascii="Times New Roman" w:hAnsi="Times New Roman" w:eastAsia="Times New Roman" w:cs="Times New Roman"/>
        </w:rPr>
        <w:t xml:space="preserve"> </w:t>
      </w:r>
      <w:r>
        <w:rPr>
          <w:rFonts w:ascii="Leelawadee UI" w:hAnsi="Leelawadee UI" w:eastAsia="Leelawadee UI" w:cs="Leelawadee UI"/>
        </w:rPr>
        <w:t>ន័យភាសាហេប្រឺនៃពាក្យនោះ</w:t>
      </w:r>
      <w:r>
        <w:rPr>
          <w:rFonts w:ascii="Times New Roman" w:hAnsi="Times New Roman" w:eastAsia="Times New Roman" w:cs="Times New Roman"/>
        </w:rPr>
        <w:t xml:space="preserve"> </w:t>
      </w:r>
      <w:r>
        <w:rPr>
          <w:rFonts w:ascii="Leelawadee UI" w:hAnsi="Leelawadee UI" w:eastAsia="Leelawadee UI" w:cs="Leelawadee UI"/>
        </w:rPr>
        <w:t>មានផ្ទុកយ៉ាងពេញលេញនៅក្នុងនិយមន័យរបស់វា</w:t>
      </w:r>
      <w:r>
        <w:rPr>
          <w:rFonts w:ascii="Times New Roman" w:hAnsi="Times New Roman" w:eastAsia="Times New Roman" w:cs="Times New Roman"/>
        </w:rPr>
        <w:t xml:space="preserve"> </w:t>
      </w:r>
      <w:r>
        <w:rPr>
          <w:rFonts w:ascii="Leelawadee UI" w:hAnsi="Leelawadee UI" w:eastAsia="Leelawadee UI" w:cs="Leelawadee UI"/>
        </w:rPr>
        <w:t>នូវមូលហេតុត្រឹមត្រូវសម្រាប់ការអនុវត្តវាក្នុងរបៀបជាចំនួន</w:t>
      </w:r>
      <w:r>
        <w:rPr>
          <w:rFonts w:ascii="Times New Roman" w:hAnsi="Times New Roman" w:eastAsia="Times New Roman" w:cs="Times New Roman"/>
        </w:rPr>
        <w:t xml:space="preserve"> </w:t>
      </w:r>
      <w:r>
        <w:rPr>
          <w:rFonts w:ascii="Leelawadee UI" w:hAnsi="Leelawadee UI" w:eastAsia="Leelawadee UI" w:cs="Leelawadee UI"/>
        </w:rPr>
        <w:t>ប៉ុន្តែអំណះអំណាងខ្វះខាតរបស់ពួកគេ</w:t>
      </w:r>
      <w:r>
        <w:rPr>
          <w:rFonts w:ascii="Times New Roman" w:hAnsi="Times New Roman" w:eastAsia="Times New Roman" w:cs="Times New Roman"/>
        </w:rPr>
        <w:t xml:space="preserve"> </w:t>
      </w:r>
      <w:r>
        <w:rPr>
          <w:rFonts w:ascii="Leelawadee UI" w:hAnsi="Leelawadee UI" w:eastAsia="Leelawadee UI" w:cs="Leelawadee UI"/>
        </w:rPr>
        <w:t>ដែលពួកគេលើកទ្រទ្រង់ដោយមូលដ្ឋានខុសឆ្គងមួយ</w:t>
      </w:r>
      <w:r>
        <w:rPr>
          <w:rFonts w:ascii="Times New Roman" w:hAnsi="Times New Roman" w:eastAsia="Times New Roman" w:cs="Times New Roman"/>
        </w:rPr>
        <w:t xml:space="preserve"> </w:t>
      </w:r>
      <w:r>
        <w:rPr>
          <w:rFonts w:ascii="Leelawadee UI" w:hAnsi="Leelawadee UI" w:eastAsia="Leelawadee UI" w:cs="Leelawadee UI"/>
        </w:rPr>
        <w:t>ដែលផ្អែកលើការអះអាងខ្លួនឯងអំពីជំនាញវេយ្យាករណ៍ភាសាហេប្រឺរបស់ពួកគេ</w:t>
      </w:r>
      <w:r>
        <w:rPr>
          <w:rFonts w:ascii="Times New Roman" w:hAnsi="Times New Roman" w:eastAsia="Times New Roman" w:cs="Times New Roman"/>
        </w:rPr>
        <w:t xml:space="preserve"> </w:t>
      </w:r>
      <w:r>
        <w:rPr>
          <w:rFonts w:ascii="Leelawadee UI" w:hAnsi="Leelawadee UI" w:eastAsia="Leelawadee UI" w:cs="Leelawadee UI"/>
        </w:rPr>
        <w:t>គ្រាន់តែជាអំណះអំណាងនៃការបំបែរទិសប៉ុណ្ណោះ។</w:t>
      </w:r>
    </w:p>
    <w:p>
      <w:pPr>
        <w:pStyle w:val="ArticleBody"/>
        <w:jc w:val="left"/>
      </w:pPr>
      <w:r>
        <w:rPr>
          <w:rFonts w:ascii="Times New Roman" w:hAnsi="Times New Roman" w:eastAsia="Times New Roman" w:cs="Times New Roman"/>
        </w:rPr>
        <w:t>Պատգամը, որ քսանվեցերորդ գլխում ներկայացված է որպես «յոթ ժամանակներ», ճանաչվում է հատվածի համատեքստով, ոչ թե ժամանակակից ինչ-որ աստվածաբանների կողմից եբրայերեն լեզուն խեղաթյուրելով։ Ուիլյամ Միլլերը իր եզրակացությունը կազմեց առանց եբրայերեն լեզվին որևէ հղում կատարելու, և ներշնչանքը հաստատեց, որ նրա ըմբռնումը ճիշտ էր։ Հրեշտակները առաջնորդեցին նրա ըմբռնումը՝ հիմնվելով այն գլխի համատեքստի վրա, որտեղ գտնվում է «յոթ ժամանակների» դատաստանը, ոչ թե եբրայերեն լեզվի վրա։</w:t>
      </w:r>
    </w:p>
    <w:p>
      <w:pPr>
        <w:pStyle w:val="ArticleBody"/>
        <w:jc w:val="left"/>
      </w:pPr>
      <w:r>
        <w:rPr>
          <w:rFonts w:ascii="Times New Roman" w:hAnsi="Times New Roman" w:eastAsia="Times New Roman" w:cs="Times New Roman"/>
        </w:rPr>
        <w:t>مەزمونی بەشی بیست و پێنج ئەوەیە کە ڕێنمایییەکانی پەیمان دیاری دەکرێن، و پاشان بەشی بیست و شەش بەرەکەتێکی بەڵێندراو بۆ پاراستنی ئەو ڕێنمایییە پەیمانییانە دابین دەکات، و دوای ئەوە ئەوە ناساندنەوە دەکات کە دانیال بە «نەفرەتی موسا» ناودەبات بۆ گوێنەدان بەو ڕێنمایییانە.</w:t>
      </w:r>
    </w:p>
    <w:p>
      <w:pPr>
        <w:pStyle w:val="ArticleBody"/>
        <w:jc w:val="left"/>
      </w:pPr>
      <w:r>
        <w:rPr>
          <w:rFonts w:ascii="Times New Roman" w:hAnsi="Times New Roman" w:eastAsia="Times New Roman" w:cs="Times New Roman"/>
        </w:rPr>
        <w:t>ئاخن نێوەڕۆکی بابەتەکە بریتییە لە بابەتی بنەمای یەک ڕۆژ بۆ یەک ساڵ لە پێشبینییەکانی کتێبی پیرۆزدا. ئەو ئایەتە سەرەتاییانەی لاویان بیست و پێنج بە ڕوونی دیاری دەکەن کە لە پێشبینییەکانی کتێبی پیرۆزدا یەک ڕۆژ نوێنەرایەتی یەک ساڵ دەکات. لە پەرتووکی دەرچووندا، موسا بە ئاشکرا پەیوەندیی نێوان پشوووی شەممەی ڕۆژی حەوتەم بۆ مرۆڤ و ئاژەڵ، و پشوووی شەممەی ساڵی حەوتەم بۆ زەوی دیاری دەکات.</w:t>
      </w:r>
    </w:p>
    <w:p>
      <w:pPr>
        <w:pStyle w:val="ArticleScripture"/>
        <w:jc w:val="left"/>
      </w:pPr>
      <w:r>
        <w:rPr>
          <w:rFonts w:ascii="Times New Roman" w:hAnsi="Times New Roman" w:eastAsia="Times New Roman" w:cs="Times New Roman"/>
        </w:rPr>
        <w:t>Ug miaka kʼáat yaan a pakʼik a luʼum, ka ta muchʼik u yichiloʼob; pero tiʼ u wukpʼéel jaʼab kʼáat a tsʼóokbes u meyaj, ka a pʼatikech maʼ u meyajtaʼal, yetel maʼ u pʼáatal u yóokʼol; tu yohel lelaʼ, utiʼal u kʼíinal le meyajiloʼob pobres tiʼ a kaajal ku janal; ka le baʼax ku pʼatikoboʼ, le baʼalcheʼoʼob tiʼ kaax ku janal. Bey xan kʼáat a beetik tiʼ a uvasnal, yetel tiʼ a olivonal. Wakpʼéel kʼiin kʼáat a beetik a meyaj, pero tiʼ u wukpʼéel kʼiin kʼáat a jeʼel; utiʼal a wáakax, yetel a burro, u jeʼeloʼob, ka le yáalal a xmaʼatan, yetel le extraño, u tsaʼikubaʼob u yóol. Éxodo 23:10–12.</w:t>
      </w:r>
    </w:p>
    <w:p>
      <w:pPr>
        <w:pStyle w:val="ArticleBody"/>
        <w:jc w:val="left"/>
      </w:pPr>
      <w:r>
        <w:rPr>
          <w:rFonts w:ascii="Times New Roman" w:hAnsi="Times New Roman" w:eastAsia="Times New Roman" w:cs="Times New Roman"/>
        </w:rPr>
        <w:t>Ian laarin awon ese meta wonni ni a le mo pe ojo isinmi fun eniyan ati eranko dọgba si odun isinmi fun ile. Ninu Lefitiku ori karunlelogun, ninu awon ese marun-un akoko, a ri eto girama kanna gangan bi ofin Isimi ti Eksodu ori ogun, ese kejo de ikekanla.</w:t>
      </w:r>
    </w:p>
    <w:p>
      <w:pPr>
        <w:pStyle w:val="ArticleScripture"/>
        <w:jc w:val="left"/>
      </w:pPr>
      <w:r>
        <w:rPr>
          <w:rFonts w:ascii="Times New Roman" w:hAnsi="Times New Roman" w:eastAsia="Times New Roman" w:cs="Times New Roman"/>
        </w:rPr>
        <w:t>RABBI Musa’ya Sina dağında dedi ki: İsrail övladlarına söylə və onlara de: Sizə verdiyim torpağa girdiyiniz zaman, torpaq da RƏBB üçün Şənbə saxlayacaq. Altı il tarlanı əkəcəksən, altı il üzüm bağını budayacaqsan və onun məhsulunu toplayacaqsan. Lakin yeddinci ildə torpaq üçün tam istirahət Şənbəsi olacaq, RƏBB üçün bir Şənbə olacaq; nə tarlanı əkəcəksən, nə də üzüm bağını budayacaqsan. Biçinindən öz-özünə bitəni biçməyəcəksən, budanmamış üzüm tənəyinin salxımlarını da yığmayacaqsan; çünki bu, torpaq üçün istirahət ilidir. Levililər 25:1–5.</w:t>
      </w:r>
    </w:p>
    <w:p>
      <w:pPr>
        <w:pStyle w:val="ArticleScripture"/>
        <w:jc w:val="left"/>
      </w:pPr>
      <w:r>
        <w:rPr>
          <w:rFonts w:ascii="Times New Roman" w:hAnsi="Times New Roman" w:eastAsia="Times New Roman" w:cs="Times New Roman"/>
        </w:rPr>
        <w:t>Waaso guyyaa Sanbataa yaadadhu, akka isa qulqulleessituuf. Guyyoota jaha hojjedhu, hojii kee hundumaas hojjedhu; guyyaan torbaffaan garuu Sanbata Waaqayyo gooftaa keetii ti; keessa isaatti hojii tokko illee hin hojjetin, ati yookaan ilmi kee, intalli kee, hojjetaan dhiiraa kee yookaan hojjettuun dubartii kee, horiin kee, yookaan keessummaan kee inni karra kee keessaa jiru. Sababni isaas, Waaqayyo guyyoota jahan keessatti samii fi lafa, galaana, waan isaan keessa jiru hundumaas uume; guyyaa torbaffaatti boqote; kanaafuu Waaqayyo guyyaa Sanbataa eebbise, qulqulleeffates. Ba’uu 20:8–11.</w:t>
      </w:r>
    </w:p>
    <w:p>
      <w:pPr>
        <w:pStyle w:val="ArticleBody"/>
        <w:jc w:val="left"/>
      </w:pPr>
      <w:r>
        <w:rPr>
          <w:rFonts w:ascii="Times New Roman" w:hAnsi="Times New Roman" w:eastAsia="Times New Roman" w:cs="Times New Roman"/>
        </w:rPr>
        <w:t>Միասին այդ երկու շաբաթապահության պատվիրանները սահմանում են Ղևտական գրքի քսանհինգերորդ և քսանվեցերորդ գլուխների համատեքստը։ Մեկտեղված՝ տող առ տող, նրանք վկայում են, որ «վեց օր աշխատես և քո ամբողջ գործը կատարես», և որ «վեց տարի քո արտը պիտի ցանես, և վեց տարի պիտի էտես քո այգին ու հավաքես դրա պտուղը»։ «Բայց յոթերորդ օրը քո Տեր Աստծու շաբաթն է», և «յոթերորդ տարին երկրի համար հանգստի շաբաթ պիտի լինի, շաբաթ՝ Տիրոջ համար»։</w:t>
      </w:r>
    </w:p>
    <w:p>
      <w:pPr>
        <w:pStyle w:val="ArticleBody"/>
        <w:jc w:val="left"/>
      </w:pPr>
      <w:r>
        <w:rPr>
          <w:rFonts w:ascii="Times New Roman" w:hAnsi="Times New Roman" w:eastAsia="Times New Roman" w:cs="Times New Roman"/>
        </w:rPr>
        <w:t>“urriqpa” nisqa simiman tikrasqa iskaynin simikuna, mayqenchus iskaynin sábadu kamachikuykunapi kashan—runaqpa sábadunchu icha allpaqpa sábadunchu—chaykunaqa kikillan hebreo simim, chaymi Levítico qhelqapa iskay chunka suqta kapítulonpi “qanchis kuti” nisqa simiman tikrasqa. Levítico qhelqapa iskay chunka phisqa, iskay chunka suqta kapítulokunapa contexto-ninqa churasqa kashan chay profético kamachikuy ukhupi, maypin p’unchawqa watata rikuchin Biblia profecíapi. Chay hina allin ancha reqsisqa kashanraq “ñawpaq rimaymanta profético kamachikuy”pas.</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ꯆꯥꯄꯇꯁꯤꯡ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ꯃꯍꯨꯠꯁꯤꯡ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ꯃꯍꯨꯠꯁꯤꯡ</w:t>
      </w:r>
      <w:r>
        <w:rPr>
          <w:rFonts w:ascii="Times New Roman" w:hAnsi="Times New Roman" w:eastAsia="Times New Roman" w:cs="Times New Roman"/>
        </w:rPr>
        <w:t xml:space="preserve"> </w:t>
      </w:r>
      <w:r>
        <w:rPr>
          <w:rFonts w:ascii="Nirmala UI" w:hAnsi="Nirmala UI" w:eastAsia="Nirmala UI" w:cs="Nirmala UI"/>
        </w:rPr>
        <w:t>ꯑꯣꯏꯔꯛꯄ</w:t>
      </w:r>
      <w:r>
        <w:rPr>
          <w:rFonts w:ascii="Times New Roman" w:hAnsi="Times New Roman" w:eastAsia="Times New Roman" w:cs="Times New Roman"/>
        </w:rPr>
        <w:t xml:space="preserve"> </w:t>
      </w:r>
      <w:r>
        <w:rPr>
          <w:rFonts w:ascii="Nirmala UI" w:hAnsi="Nirmala UI" w:eastAsia="Nirmala UI" w:cs="Nirmala UI"/>
        </w:rPr>
        <w:t>ꯂꯝꯆꯠꯅꯤ꯫</w:t>
      </w:r>
      <w:r>
        <w:rPr>
          <w:rFonts w:ascii="Times New Roman" w:hAnsi="Times New Roman" w:eastAsia="Times New Roman" w:cs="Times New Roman"/>
        </w:rPr>
        <w:t xml:space="preserve"> </w:t>
      </w:r>
      <w:r>
        <w:rPr>
          <w:rFonts w:ascii="Nirmala UI" w:hAnsi="Nirmala UI" w:eastAsia="Nirmala UI" w:cs="Nirmala UI"/>
        </w:rPr>
        <w:t>ꯋꯤꯜꯂꯤꯌꯝ</w:t>
      </w:r>
      <w:r>
        <w:rPr>
          <w:rFonts w:ascii="Times New Roman" w:hAnsi="Times New Roman" w:eastAsia="Times New Roman" w:cs="Times New Roman"/>
        </w:rPr>
        <w:t xml:space="preserve"> </w:t>
      </w:r>
      <w:r>
        <w:rPr>
          <w:rFonts w:ascii="Nirmala UI" w:hAnsi="Nirmala UI" w:eastAsia="Nirmala UI" w:cs="Nirmala UI"/>
        </w:rPr>
        <w:t>ꯃꯤꯜꯂꯔꯗ</w:t>
      </w:r>
      <w:r>
        <w:rPr>
          <w:rFonts w:ascii="Times New Roman" w:hAnsi="Times New Roman" w:eastAsia="Times New Roman" w:cs="Times New Roman"/>
        </w:rPr>
        <w:t xml:space="preserve"> </w:t>
      </w:r>
      <w:r>
        <w:rPr>
          <w:rFonts w:ascii="Nirmala UI" w:hAnsi="Nirmala UI" w:eastAsia="Nirmala UI" w:cs="Nirmala UI"/>
        </w:rPr>
        <w:t>ꯒꯦꯕ꯭ꯔꯤꯌꯦꯜ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ꯑꯦꯟꯖꯦꯜꯁꯤꯡꯅ</w:t>
      </w:r>
      <w:r>
        <w:rPr>
          <w:rFonts w:ascii="Times New Roman" w:hAnsi="Times New Roman" w:eastAsia="Times New Roman" w:cs="Times New Roman"/>
        </w:rPr>
        <w:t xml:space="preserve"> </w:t>
      </w:r>
      <w:r>
        <w:rPr>
          <w:rFonts w:ascii="Nirmala UI" w:hAnsi="Nirmala UI" w:eastAsia="Nirmala UI" w:cs="Nirmala UI"/>
        </w:rPr>
        <w:t>ꯂꯩꯔꯛꯄꯗꯒꯤ</w:t>
      </w:r>
      <w:r>
        <w:rPr>
          <w:rFonts w:ascii="Times New Roman" w:hAnsi="Times New Roman" w:eastAsia="Times New Roman" w:cs="Times New Roman"/>
        </w:rPr>
        <w:t xml:space="preserve">, </w:t>
      </w:r>
      <w:r>
        <w:rPr>
          <w:rFonts w:ascii="Nirmala UI" w:hAnsi="Nirmala UI" w:eastAsia="Nirmala UI" w:cs="Nirmala UI"/>
        </w:rPr>
        <w:t>ꯂꯦꯕꯤꯇꯤꯀꯁꯀꯤ</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ꯑꯅꯤꯃꯆꯥ</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ꯃꯇꯦꯛ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ꯈꯪꯍꯟꯕꯗ</w:t>
      </w:r>
      <w:r>
        <w:rPr>
          <w:rFonts w:ascii="Times New Roman" w:hAnsi="Times New Roman" w:eastAsia="Times New Roman" w:cs="Times New Roman"/>
        </w:rPr>
        <w:t xml:space="preserve"> </w:t>
      </w:r>
      <w:r>
        <w:rPr>
          <w:rFonts w:ascii="Nirmala UI" w:hAnsi="Nirmala UI" w:eastAsia="Nirmala UI" w:cs="Nirmala UI"/>
        </w:rPr>
        <w:t>ꯂꯩꯔꯛꯄꯅꯤ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ꯆꯥꯄꯇꯁꯤꯡ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ꯍꯟꯊ</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ꯂꯅꯥꯏ</w:t>
      </w:r>
      <w:r>
        <w:rPr>
          <w:rFonts w:ascii="Times New Roman" w:hAnsi="Times New Roman" w:eastAsia="Times New Roman" w:cs="Times New Roman"/>
        </w:rPr>
        <w:t xml:space="preserve"> </w:t>
      </w:r>
      <w:r>
        <w:rPr>
          <w:rFonts w:ascii="Nirmala UI" w:hAnsi="Nirmala UI" w:eastAsia="Nirmala UI" w:cs="Nirmala UI"/>
        </w:rPr>
        <w:t>ꯄꯥꯡꯅ</w:t>
      </w:r>
      <w:r>
        <w:rPr>
          <w:rFonts w:ascii="Times New Roman" w:hAnsi="Times New Roman" w:eastAsia="Times New Roman" w:cs="Times New Roman"/>
        </w:rPr>
        <w:t xml:space="preserve"> </w:t>
      </w:r>
      <w:r>
        <w:rPr>
          <w:rFonts w:ascii="Nirmala UI" w:hAnsi="Nirmala UI" w:eastAsia="Nirmala UI" w:cs="Nirmala UI"/>
        </w:rPr>
        <w:t>ꯃꯥꯟꯅꯔꯦ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ꯑꯅꯤꯃꯆꯥꯒꯤ</w:t>
      </w:r>
      <w:r>
        <w:rPr>
          <w:rFonts w:ascii="Times New Roman" w:hAnsi="Times New Roman" w:eastAsia="Times New Roman" w:cs="Times New Roman"/>
        </w:rPr>
        <w:t xml:space="preserve"> </w:t>
      </w:r>
      <w:r>
        <w:rPr>
          <w:rFonts w:ascii="Nirmala UI" w:hAnsi="Nirmala UI" w:eastAsia="Nirmala UI" w:cs="Nirmala UI"/>
        </w:rPr>
        <w:t>ꯍꯥꯡꯁꯤ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ꯃꯥꯜꯂꯤꯕ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ꯃꯉꯥꯒꯤ</w:t>
      </w:r>
      <w:r>
        <w:rPr>
          <w:rFonts w:ascii="Times New Roman" w:hAnsi="Times New Roman" w:eastAsia="Times New Roman" w:cs="Times New Roman"/>
        </w:rPr>
        <w:t xml:space="preserve"> </w:t>
      </w:r>
      <w:r>
        <w:rPr>
          <w:rFonts w:ascii="Nirmala UI" w:hAnsi="Nirmala UI" w:eastAsia="Nirmala UI" w:cs="Nirmala UI"/>
        </w:rPr>
        <w:t>ꯋꯔꯣꯜꯁꯤꯡꯗ</w:t>
      </w:r>
      <w:r>
        <w:rPr>
          <w:rFonts w:ascii="Times New Roman" w:hAnsi="Times New Roman" w:eastAsia="Times New Roman" w:cs="Times New Roman"/>
        </w:rPr>
        <w:t xml:space="preserve"> </w:t>
      </w:r>
      <w:r>
        <w:rPr>
          <w:rFonts w:ascii="Nirmala UI" w:hAnsi="Nirmala UI" w:eastAsia="Nirmala UI" w:cs="Nirmala UI"/>
        </w:rPr>
        <w:t>ꯄꯨꯊꯣꯛꯂꯛꯄ</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w:t>
      </w:r>
      <w:r>
        <w:rPr>
          <w:rFonts w:ascii="Nirmala UI" w:hAnsi="Nirmala UI" w:eastAsia="Nirmala UI" w:cs="Nirmala UI"/>
        </w:rPr>
        <w:t>ꯑꯃꯒꯤ</w:t>
      </w:r>
      <w:r>
        <w:rPr>
          <w:rFonts w:ascii="Times New Roman" w:hAnsi="Times New Roman" w:eastAsia="Times New Roman" w:cs="Times New Roman"/>
        </w:rPr>
        <w:t>-</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Chroniclesꞌ salaq qillqaqa imatataq Babiloniaqa chunka uray llaqtakunamanta Judá nisqa uran suyuqa apaqta qespichisqa kasqanta rikuchispa, nirqan allpaqa paypa samana sábado samayninta kusikunanpaq kasqanta. Diospa Siminpi huklla maypi allpaqa samayta kusikusqanmanta sutꞌi rimariy tarikun, chayqa Levítico qillqapa iskay chunka pichqa kaq, iskay chunka soqta kaq kapitulukunanpi kachkan. Qanchis chunka wata, Babiloniaqa Biblia profecíapi ñawpaq reino hina kamachisqan, manam sapaqlla pachamama animalqa Biblia profecíapi soqta kaq reino hina kamachinanpaq simbólico watakunata rikuchinchu, aswanpas qanchis chunka watakunaqa Moiséspa ñakay ñakꞌariyninpi “qanchis kuti” nisqaman chiqap rikhuriy kanku.</w:t>
      </w:r>
    </w:p>
    <w:p>
      <w:pPr>
        <w:pStyle w:val="ArticleBody"/>
        <w:jc w:val="left"/>
      </w:pPr>
      <w:r>
        <w:rPr>
          <w:rFonts w:ascii="Times New Roman" w:hAnsi="Times New Roman" w:eastAsia="Times New Roman" w:cs="Times New Roman"/>
        </w:rPr>
        <w:t>Awgɛ bere a yebefi ase asua nkɔmhyɛ ahorow a wɔda no adi wɔ Daniel nhoma no atiri asia a edi kan no mu no, ɛho hia paa sɛ yehu sɛ nnome a ɛwɔ “mmere ason” no mu, ne nhyira a ɛwɔ “mmere ason” no mu no nyinaa yɛ nneɛma a ɛka saa atiri no biara ho.</w:t>
      </w:r>
    </w:p>
    <w:p>
      <w:pPr>
        <w:pStyle w:val="ArticleBody"/>
        <w:jc w:val="left"/>
      </w:pPr>
      <w:r>
        <w:rPr>
          <w:rFonts w:ascii="Nirmala UI" w:hAnsi="Nirmala UI" w:eastAsia="Nirmala UI" w:cs="Nirmala UI"/>
        </w:rPr>
        <w:t>ꯃꯁꯛꯇꯥ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ꯍꯥꯏꯗꯨꯅ</w:t>
      </w:r>
      <w:r>
        <w:rPr>
          <w:rFonts w:ascii="Times New Roman" w:hAnsi="Times New Roman" w:eastAsia="Times New Roman" w:cs="Times New Roman"/>
        </w:rPr>
        <w:t xml:space="preserve"> </w:t>
      </w:r>
      <w:r>
        <w:rPr>
          <w:rFonts w:ascii="Nirmala UI" w:hAnsi="Nirmala UI" w:eastAsia="Nirmala UI" w:cs="Nirmala UI"/>
        </w:rPr>
        <w:t>ꯈꯪꯂꯛꯄ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ꯇꯔꯥꯅꯤ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ꯇꯔꯥꯅꯤꯒꯤ</w:t>
      </w:r>
      <w:r>
        <w:rPr>
          <w:rFonts w:ascii="Times New Roman" w:hAnsi="Times New Roman" w:eastAsia="Times New Roman" w:cs="Times New Roman"/>
        </w:rPr>
        <w:t xml:space="preserve"> </w:t>
      </w:r>
      <w:r>
        <w:rPr>
          <w:rFonts w:ascii="Nirmala UI" w:hAnsi="Nirmala UI" w:eastAsia="Nirmala UI" w:cs="Nirmala UI"/>
        </w:rPr>
        <w:t>ꯆꯥꯛꯇꯁꯤꯟ</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ꯆꯥꯝꯃꯥꯏꯒꯤ</w:t>
      </w:r>
      <w:r>
        <w:rPr>
          <w:rFonts w:ascii="Times New Roman" w:hAnsi="Times New Roman" w:eastAsia="Times New Roman" w:cs="Times New Roman"/>
        </w:rPr>
        <w:t xml:space="preserve"> </w:t>
      </w:r>
      <w:r>
        <w:rPr>
          <w:rFonts w:ascii="Nirmala UI" w:hAnsi="Nirmala UI" w:eastAsia="Nirmala UI" w:cs="Nirmala UI"/>
        </w:rPr>
        <w:t>ꯄꯦꯟꯒꯤ</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ꯇꯔꯥꯅꯤꯒꯤ</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ꯇꯔꯥꯅꯤꯒꯤ</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ꯇꯔꯦৎꯊꯨꯃꯗꯥ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ꯑꯇꯣꯟꯃꯦꯟꯇꯀꯤ</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ꯑꯩꯠꯇꯀꯤ</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ꯐꯣꯔꯇꯤꯟ</w:t>
      </w:r>
      <w:r>
        <w:rPr>
          <w:rFonts w:ascii="Times New Roman" w:hAnsi="Times New Roman" w:eastAsia="Times New Roman" w:cs="Times New Roman"/>
        </w:rPr>
        <w:t xml:space="preserve"> </w:t>
      </w:r>
      <w:r>
        <w:rPr>
          <w:rFonts w:ascii="Nirmala UI" w:hAnsi="Nirmala UI" w:eastAsia="Nirmala UI" w:cs="Nirmala UI"/>
        </w:rPr>
        <w:t>ꯕꯥꯔꯁꯇꯥ</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ꯍꯨꯝꯅꯤꯁꯨꯞ</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ꯄꯨꯟꯁꯤꯟꯅꯩ꯫</w:t>
      </w:r>
      <w:r>
        <w:rPr>
          <w:rFonts w:ascii="Times New Roman" w:hAnsi="Times New Roman" w:eastAsia="Times New Roman" w:cs="Times New Roman"/>
        </w:rPr>
        <w:t xml:space="preserve"> </w:t>
      </w:r>
      <w:r>
        <w:rPr>
          <w:rFonts w:ascii="Nirmala UI" w:hAnsi="Nirmala UI" w:eastAsia="Nirmala UI" w:cs="Nirmala UI"/>
        </w:rPr>
        <w:t>ꯃꯁꯛꯇꯥ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ꯅꯨꯡꯉꯥꯏ</w:t>
      </w:r>
      <w:r>
        <w:rPr>
          <w:rFonts w:ascii="Times New Roman" w:hAnsi="Times New Roman" w:eastAsia="Times New Roman" w:cs="Times New Roman"/>
        </w:rPr>
        <w:t xml:space="preserve"> </w:t>
      </w:r>
      <w:r>
        <w:rPr>
          <w:rFonts w:ascii="Nirmala UI" w:hAnsi="Nirmala UI" w:eastAsia="Nirmala UI" w:cs="Nirmala UI"/>
        </w:rPr>
        <w:t>ꯍꯥꯏꯗꯨꯅ</w:t>
      </w:r>
      <w:r>
        <w:rPr>
          <w:rFonts w:ascii="Times New Roman" w:hAnsi="Times New Roman" w:eastAsia="Times New Roman" w:cs="Times New Roman"/>
        </w:rPr>
        <w:t xml:space="preserve"> </w:t>
      </w:r>
      <w:r>
        <w:rPr>
          <w:rFonts w:ascii="Nirmala UI" w:hAnsi="Nirmala UI" w:eastAsia="Nirmala UI" w:cs="Nirmala UI"/>
        </w:rPr>
        <w:t>ꯈꯪꯂꯛꯄ</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ꯑꯍꯨꯝꯆꯥꯔꯣꯏ</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ꯁꯦꯕꯟ</w:t>
      </w:r>
      <w:r>
        <w:rPr>
          <w:rFonts w:ascii="Times New Roman" w:hAnsi="Times New Roman" w:eastAsia="Times New Roman" w:cs="Times New Roman"/>
        </w:rPr>
        <w:t xml:space="preserve"> </w:t>
      </w:r>
      <w:r>
        <w:rPr>
          <w:rFonts w:ascii="Nirmala UI" w:hAnsi="Nirmala UI" w:eastAsia="Nirmala UI" w:cs="Nirmala UI"/>
        </w:rPr>
        <w:t>ꯇꯥꯏꯝꯁ</w:t>
      </w:r>
      <w:r>
        <w:rPr>
          <w:rFonts w:ascii="Times New Roman" w:hAnsi="Times New Roman" w:eastAsia="Times New Roman" w:cs="Times New Roman"/>
        </w:rPr>
        <w:t xml:space="preserve">” </w:t>
      </w:r>
      <w:r>
        <w:rPr>
          <w:rFonts w:ascii="Nirmala UI" w:hAnsi="Nirmala UI" w:eastAsia="Nirmala UI" w:cs="Nirmala UI"/>
        </w:rPr>
        <w:t>ꯑꯗꯨꯒꯤꯗꯃꯛ</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ꯑꯍꯨꯝꯆꯥꯔꯣꯏ</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ꯄꯨꯡꯁꯤꯜꯂꯒ</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ꯆꯥꯔꯣꯏ</w:t>
      </w:r>
      <w:r>
        <w:rPr>
          <w:rFonts w:ascii="Times New Roman" w:hAnsi="Times New Roman" w:eastAsia="Times New Roman" w:cs="Times New Roman"/>
        </w:rPr>
        <w:t xml:space="preserve"> </w:t>
      </w:r>
      <w:r>
        <w:rPr>
          <w:rFonts w:ascii="Nirmala UI" w:hAnsi="Nirmala UI" w:eastAsia="Nirmala UI" w:cs="Nirmala UI"/>
        </w:rPr>
        <w:t>ꯇꯥꯅꯤꯗꯥ</w:t>
      </w:r>
      <w:r>
        <w:rPr>
          <w:rFonts w:ascii="Times New Roman" w:hAnsi="Times New Roman" w:eastAsia="Times New Roman" w:cs="Times New Roman"/>
        </w:rPr>
        <w:t xml:space="preserve"> </w:t>
      </w:r>
      <w:r>
        <w:rPr>
          <w:rFonts w:ascii="Nirmala UI" w:hAnsi="Nirmala UI" w:eastAsia="Nirmala UI" w:cs="Nirmala UI"/>
        </w:rPr>
        <w:t>ꯆꯥꯟꯅꯩ꯫</w:t>
      </w:r>
    </w:p>
    <w:p>
      <w:pPr>
        <w:pStyle w:val="ArticleBody"/>
        <w:jc w:val="left"/>
      </w:pPr>
      <w:r>
        <w:rPr>
          <w:rFonts w:ascii="Times New Roman" w:hAnsi="Times New Roman" w:eastAsia="Times New Roman" w:cs="Times New Roman"/>
        </w:rPr>
        <w:t>Ohitika Daniel bhau di libro ta intendi koni ba tinan numeru nebee Jeremias hatudu ona, nia hahú orasaun ida nebee koalia ba elementu hotu-hotu hosi resposta arrependimentu nian nebee identifika hanesan nesesáriu, karik dala ruma povu Maromak nian hakfodak ba realidade katak sira hanesan cativos iha rai inimigu nian. Iha rohan hosi orasaun Levítiku rua-nulu resin neen Daniel nian, Gabriel mosu atu fó ba Daniel komprensaun kona-ba visaun nebee nia “rona”, visaun kona-ba loron rua rihun tolu atus. Gabriel hahú hodi hatete ba Daniel katak semana hitu-nulu “determinadu” ba Daniel nia povu.</w:t>
      </w:r>
    </w:p>
    <w:p>
      <w:pPr>
        <w:pStyle w:val="ArticleScripture"/>
        <w:jc w:val="left"/>
      </w:pPr>
      <w:r>
        <w:rPr>
          <w:rFonts w:ascii="Times New Roman" w:hAnsi="Times New Roman" w:eastAsia="Times New Roman" w:cs="Times New Roman"/>
        </w:rPr>
        <w:t>Beelada toddobaatan way murteeffamaniiru sabakee kee magalaa kee qulqullittii kee irratti, irra-daddarbaa xumuruuf, cubbuuwwan dhuma itti gochuuf, jal’inatti araara gochuuf, qajeelummaa bara baraa galchuuf, mul’ataa fi raajii chaappessuuf, isa Hundumaa Caalaa Qulqulluu ta’e dibuuf. Daani’el 9:24.</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“determined”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ꯃꯔꯣꯜꯁꯤ</w:t>
      </w:r>
      <w:r>
        <w:rPr>
          <w:rFonts w:ascii="Times New Roman" w:hAnsi="Times New Roman" w:eastAsia="Times New Roman" w:cs="Times New Roman"/>
        </w:rPr>
        <w:t xml:space="preserve"> “cut off”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ꯁꯦꯕꯦꯟꯇꯤ</w:t>
      </w:r>
      <w:r>
        <w:rPr>
          <w:rFonts w:ascii="Times New Roman" w:hAnsi="Times New Roman" w:eastAsia="Times New Roman" w:cs="Times New Roman"/>
        </w:rPr>
        <w:t xml:space="preserve"> </w:t>
      </w:r>
      <w:r>
        <w:rPr>
          <w:rFonts w:ascii="Nirmala UI" w:hAnsi="Nirmala UI" w:eastAsia="Nirmala UI" w:cs="Nirmala UI"/>
        </w:rPr>
        <w:t>ꯋꯤꯛꯁꯤꯡ</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ꯗꯦꯁꯁꯤꯡꯗꯒꯤ</w:t>
      </w:r>
      <w:r>
        <w:rPr>
          <w:rFonts w:ascii="Times New Roman" w:hAnsi="Times New Roman" w:eastAsia="Times New Roman" w:cs="Times New Roman"/>
        </w:rPr>
        <w:t xml:space="preserve"> </w:t>
      </w:r>
      <w:r>
        <w:rPr>
          <w:rFonts w:ascii="Nirmala UI" w:hAnsi="Nirmala UI" w:eastAsia="Nirmala UI" w:cs="Nirmala UI"/>
        </w:rPr>
        <w:t>ꯀꯠꯂꯒꯥ</w:t>
      </w:r>
      <w:r>
        <w:rPr>
          <w:rFonts w:ascii="Times New Roman" w:hAnsi="Times New Roman" w:eastAsia="Times New Roman" w:cs="Times New Roman"/>
        </w:rPr>
        <w:t xml:space="preserve"> </w:t>
      </w:r>
      <w:r>
        <w:rPr>
          <w:rFonts w:ascii="Nirmala UI" w:hAnsi="Nirmala UI" w:eastAsia="Nirmala UI" w:cs="Nirmala UI"/>
        </w:rPr>
        <w:t>ꯂꯧꯊꯣꯛꯀꯗꯕꯅꯤ।</w:t>
      </w:r>
      <w:r>
        <w:rPr>
          <w:rFonts w:ascii="Times New Roman" w:hAnsi="Times New Roman" w:eastAsia="Times New Roman" w:cs="Times New Roman"/>
        </w:rPr>
        <w:t xml:space="preserve"> 457 BC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ꯗꯤꯀ꯭ꯔꯤꯗꯒꯤ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ꯋꯤꯛ</w:t>
      </w:r>
      <w:r>
        <w:rPr>
          <w:rFonts w:ascii="Times New Roman" w:hAnsi="Times New Roman" w:eastAsia="Times New Roman" w:cs="Times New Roman"/>
        </w:rPr>
        <w:t xml:space="preserve"> </w:t>
      </w:r>
      <w:r>
        <w:rPr>
          <w:rFonts w:ascii="Nirmala UI" w:hAnsi="Nirmala UI" w:eastAsia="Nirmala UI" w:cs="Nirmala UI"/>
        </w:rPr>
        <w:t>ꯁꯦꯕꯦꯟꯇꯤ</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ꯄ꯭ꯔꯣꯕꯦꯁꯅꯔꯤ</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ꯂꯧꯁꯤꯟꯒꯅꯤ।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ꯋꯤꯛ</w:t>
      </w:r>
      <w:r>
        <w:rPr>
          <w:rFonts w:ascii="Times New Roman" w:hAnsi="Times New Roman" w:eastAsia="Times New Roman" w:cs="Times New Roman"/>
        </w:rPr>
        <w:t xml:space="preserve"> </w:t>
      </w:r>
      <w:r>
        <w:rPr>
          <w:rFonts w:ascii="Nirmala UI" w:hAnsi="Nirmala UI" w:eastAsia="Nirmala UI" w:cs="Nirmala UI"/>
        </w:rPr>
        <w:t>ꯁꯦꯕꯦꯟꯇꯤ</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ꯅꯥꯏꯟꯇꯤ</w:t>
      </w:r>
      <w:r>
        <w:rPr>
          <w:rFonts w:ascii="Times New Roman" w:hAnsi="Times New Roman" w:eastAsia="Times New Roman" w:cs="Times New Roman"/>
        </w:rPr>
        <w:t xml:space="preserve"> </w:t>
      </w:r>
      <w:r>
        <w:rPr>
          <w:rFonts w:ascii="Nirmala UI" w:hAnsi="Nirmala UI" w:eastAsia="Nirmala UI" w:cs="Nirmala UI"/>
        </w:rPr>
        <w:t>ꯌꯤꯌꯔꯁꯅꯤ।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ꯗꯤꯀ꯭ꯔꯤꯗꯒꯤ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ꯐꯣꯔ</w:t>
      </w:r>
      <w:r>
        <w:rPr>
          <w:rFonts w:ascii="Times New Roman" w:hAnsi="Times New Roman" w:eastAsia="Times New Roman" w:cs="Times New Roman"/>
        </w:rPr>
        <w:t xml:space="preserve"> </w:t>
      </w:r>
      <w:r>
        <w:rPr>
          <w:rFonts w:ascii="Nirmala UI" w:hAnsi="Nirmala UI" w:eastAsia="Nirmala UI" w:cs="Nirmala UI"/>
        </w:rPr>
        <w:t>ꯍꯟꯗ꯭ꯔꯦꯗ</w:t>
      </w:r>
      <w:r>
        <w:rPr>
          <w:rFonts w:ascii="Times New Roman" w:hAnsi="Times New Roman" w:eastAsia="Times New Roman" w:cs="Times New Roman"/>
        </w:rPr>
        <w:t xml:space="preserve"> </w:t>
      </w:r>
      <w:r>
        <w:rPr>
          <w:rFonts w:ascii="Nirmala UI" w:hAnsi="Nirmala UI" w:eastAsia="Nirmala UI" w:cs="Nirmala UI"/>
        </w:rPr>
        <w:t>ꯑꯦꯟꯗ</w:t>
      </w:r>
      <w:r>
        <w:rPr>
          <w:rFonts w:ascii="Times New Roman" w:hAnsi="Times New Roman" w:eastAsia="Times New Roman" w:cs="Times New Roman"/>
        </w:rPr>
        <w:t xml:space="preserve"> </w:t>
      </w:r>
      <w:r>
        <w:rPr>
          <w:rFonts w:ascii="Nirmala UI" w:hAnsi="Nirmala UI" w:eastAsia="Nirmala UI" w:cs="Nirmala UI"/>
        </w:rPr>
        <w:t>ꯅꯥꯏꯟꯇꯤ</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ꯏꯁ꯭ꯔꯥꯏꯜꯅꯥ</w:t>
      </w:r>
      <w:r>
        <w:rPr>
          <w:rFonts w:ascii="Times New Roman" w:hAnsi="Times New Roman" w:eastAsia="Times New Roman" w:cs="Times New Roman"/>
        </w:rPr>
        <w:t xml:space="preserve"> Stephen </w:t>
      </w:r>
      <w:r>
        <w:rPr>
          <w:rFonts w:ascii="Nirmala UI" w:hAnsi="Nirmala UI" w:eastAsia="Nirmala UI" w:cs="Nirmala UI"/>
        </w:rPr>
        <w:t>ꯇꯣꯡꯗꯨꯅꯥ</w:t>
      </w:r>
      <w:r>
        <w:rPr>
          <w:rFonts w:ascii="Times New Roman" w:hAnsi="Times New Roman" w:eastAsia="Times New Roman" w:cs="Times New Roman"/>
        </w:rPr>
        <w:t xml:space="preserve"> 34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ꯏꯁ꯭ꯋꯔꯗꯒꯤ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ꯃꯥꯏꯅꯥ</w:t>
      </w:r>
      <w:r>
        <w:rPr>
          <w:rFonts w:ascii="Times New Roman" w:hAnsi="Times New Roman" w:eastAsia="Times New Roman" w:cs="Times New Roman"/>
        </w:rPr>
        <w:t xml:space="preserve"> </w:t>
      </w:r>
      <w:r>
        <w:rPr>
          <w:rFonts w:ascii="Nirmala UI" w:hAnsi="Nirmala UI" w:eastAsia="Nirmala UI" w:cs="Nirmala UI"/>
        </w:rPr>
        <w:t>ꯈꯥꯏꯗꯣꯛꯂꯒꯅꯤ।</w:t>
      </w:r>
    </w:p>
    <w:p>
      <w:pPr>
        <w:pStyle w:val="ArticleBody"/>
        <w:jc w:val="left"/>
      </w:pPr>
      <w:r>
        <w:rPr>
          <w:rFonts w:ascii="Times New Roman" w:hAnsi="Times New Roman" w:eastAsia="Times New Roman" w:cs="Times New Roman"/>
        </w:rPr>
        <w:t>Ɔsom mu akyere a edi mmaransɛm abiɛsa a ɛkyerɛ mfe ahannan aduɔkron no ahyɛase, a wɔde maa ahosohwim bere no, anim no, na ayɛ mfe aduɔson. Saa mfe aduɔson no, na ɛsɛ sɛ ɛma asase no nya homeda ahomegye a tete Israel anni so da. Asase no homeda ahomegye mfe aduɔson no bae esiane mfe ahannan aduɔkron (anaa mfe dapɛn aduɔson) a wɔde tew Mose ntam no so atua no nti.</w:t>
      </w:r>
    </w:p>
    <w:p>
      <w:pPr>
        <w:pStyle w:val="ArticleBody"/>
        <w:jc w:val="left"/>
      </w:pPr>
      <w:r>
        <w:rPr>
          <w:rFonts w:ascii="Times New Roman" w:hAnsi="Times New Roman" w:eastAsia="Times New Roman" w:cs="Times New Roman"/>
        </w:rPr>
        <w:t>لێڤیتیکوس پێنج و بیستدا پەیمان‌شکێنی و یاخی‌بوونی چوار سەد و نەوەد ساڵ، هۆکاری حەپسانی حەفتا ساڵ بوو بۆ ئەوەی خاکەکە پشووەکەی خۆی چێژ بکات. ئەو حەفتا ساڵەی حەبس بووە هۆی سێ فرمان، کە دیسان چوار سەد و نەوەد ساڵی دیکەی کاتی تاقیکردنەوەی بۆ ئیسرائیلی کۆن نیشان دا. کەواتە دەبینین دوو ماوەی تاقیکردنەوە هەیە، هەر یەکەیان چوار سەد و نەوەد ساڵن. ئەو سێ فرمانە نموونەی پەیامەکانی سێ فریشتەن، کە یەکەمینیان لە ساڵی 1798 هات، لە کۆتایی یەکەم تووڕەیی «حەوت جار» دژ بە شانشینی باکوور. سێیەم فریشتەش دوو هەزار و سێ سەد ساڵ دوای سێیەم فرمان، لە 22ی ئۆکتۆبەری 1844 هات، کە ئەوەش کاتی «دوایی کۆتایی تووڕەیی» بوو کە هات.</w:t>
      </w:r>
    </w:p>
    <w:p>
      <w:pPr>
        <w:pStyle w:val="ArticleBody"/>
        <w:jc w:val="left"/>
      </w:pPr>
      <w:r>
        <w:rPr>
          <w:rFonts w:ascii="Times New Roman" w:hAnsi="Times New Roman" w:eastAsia="Times New Roman" w:cs="Times New Roman"/>
        </w:rPr>
        <w:t>Pərwərdigariñ birinşi qahrınıñ ayaqlışı men soñğı qahrınıñ ayaqlışı arasındakı qırıq altı jıl ishinde İysa Millerit ğibadethanasınıñ negizin qaldı, al negiz tası “jeti ret” edi. Sol tas bastapqıda Adventizm üşin ya negiz tası (nemese qarsılısıp qulatatın tas), soñında bolsa Adventizm üşin ya töbe tası men ayaqtawşı tası (nemese qabır tası) bolıwı kerek edi. 1798-den 1844-ke deyingi tarixta üş perişteniñ xabarlamasınıñ keliwin beyneleytin üş jarlıq, sonday-aq Daniel kitábınıñ alğaşqı üş babın da beyneleydi.</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ꯃꯔꯝꯁꯤ</w:t>
      </w:r>
      <w:r>
        <w:rPr>
          <w:rFonts w:ascii="Times New Roman" w:hAnsi="Times New Roman" w:eastAsia="Times New Roman" w:cs="Times New Roman"/>
        </w:rPr>
        <w:t xml:space="preserve"> </w:t>
      </w:r>
      <w:r>
        <w:rPr>
          <w:rFonts w:ascii="Nirmala UI" w:hAnsi="Nirmala UI" w:eastAsia="Nirmala UI" w:cs="Nirmala UI"/>
        </w:rPr>
        <w:t>ꯇꯔꯨꯛꯀꯤ</w:t>
      </w:r>
      <w:r>
        <w:rPr>
          <w:rFonts w:ascii="Times New Roman" w:hAnsi="Times New Roman" w:eastAsia="Times New Roman" w:cs="Times New Roman"/>
        </w:rPr>
        <w:t xml:space="preserve"> </w:t>
      </w:r>
      <w:r>
        <w:rPr>
          <w:rFonts w:ascii="Nirmala UI" w:hAnsi="Nirmala UI" w:eastAsia="Nirmala UI" w:cs="Nirmala UI"/>
        </w:rPr>
        <w:t>ꯃꯆꯥꯁꯤꯡ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ꯈꯟꯖꯤꯟꯅꯕ</w:t>
      </w:r>
      <w:r>
        <w:rPr>
          <w:rFonts w:ascii="Times New Roman" w:hAnsi="Times New Roman" w:eastAsia="Times New Roman" w:cs="Times New Roman"/>
        </w:rPr>
        <w:t xml:space="preserve"> </w:t>
      </w:r>
      <w:r>
        <w:rPr>
          <w:rFonts w:ascii="Nirmala UI" w:hAnsi="Nirmala UI" w:eastAsia="Nirmala UI" w:cs="Nirmala UI"/>
        </w:rPr>
        <w:t>ꯍꯧꯖꯤꯡꯉꯥꯏ꯫</w:t>
      </w:r>
    </w:p>
    <w:p>
      <w:pPr>
        <w:pStyle w:val="ArticleScripture"/>
        <w:jc w:val="left"/>
      </w:pPr>
      <w:r>
        <w:rPr>
          <w:rFonts w:ascii="Times New Roman" w:hAnsi="Times New Roman" w:eastAsia="Times New Roman" w:cs="Times New Roman"/>
        </w:rPr>
        <w:t>«ډینیئل او وحی» کتابونه چې کله لا ښه وپېژندل شي، نو مؤمنان به په بشپړ ډول بېل دینی تجربه ولري... یو شی به خامخا د وحی له مطالعې څخه درک شي—دا چې د خدای او د هغه د قوم ترمنځ اړیکه نږدې او ټینګه ده.»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ᎡᏂᎦᎵᏍᎬ ᏕᏂᏯᎵᏃᎯ - ᎯᏍᎩ ᎢᎦᎵᏍᎬ</dc:title>
  <dc:subject>سبعين سنة</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