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Nane</w:t>
      </w:r>
    </w:p>
    <w:p>
      <w:pPr>
        <w:pStyle w:val="ArticleSubtitle"/>
        <w:jc w:val="left"/>
      </w:pPr>
      <w:r>
        <w:rPr>
          <w:rFonts w:ascii="Arial" w:hAnsi="Arial" w:eastAsia="Arial" w:cs="Arial"/>
        </w:rPr>
        <w:t>Ur proceso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Yəhudá padşahı Yehoyaqimin padşahlığının üçüncü ilində Babil padşahı Navuxodonosor Yerusəlimin üstünə gəlib onu mühasirəyə aldı. Rəbb Yəhudá padşahı Yehoyaqimi, həmçinin Allahın evinin qab-qacağının bir hissəsini onun əlinə verdi; o da onları Şinar ölkəsinə, öz allahının evinə apardı və qab-qacağı öz allahının xəzinə evinə qoydu. Daniel 1:1, 2.</w:t>
      </w:r>
    </w:p>
    <w:p>
      <w:pPr>
        <w:pStyle w:val="ArticleBody"/>
        <w:jc w:val="left"/>
      </w:pPr>
      <w:r>
        <w:rPr>
          <w:rFonts w:ascii="Gadugi" w:hAnsi="Gadugi" w:eastAsia="Gadugi" w:cs="Gadugi"/>
        </w:rPr>
        <w:t>ᎤᏂᎪᏪᎸᎢ</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ᎦᏃᎯᏳᎲᎢ</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ᎤᏂᎪᏪᎸᎢ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ᏗᎦᎵᏉᎩ</w:t>
      </w:r>
      <w:r>
        <w:rPr>
          <w:rFonts w:ascii="Times New Roman" w:hAnsi="Times New Roman" w:eastAsia="Times New Roman" w:cs="Times New Roman"/>
        </w:rPr>
        <w:t xml:space="preserve"> </w:t>
      </w:r>
      <w:r>
        <w:rPr>
          <w:rFonts w:ascii="Gadugi" w:hAnsi="Gadugi" w:eastAsia="Gadugi" w:cs="Gadugi"/>
        </w:rPr>
        <w:t>ᎤᏃᎴᎯᏍᏗ</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ᏓᎾᏚᎴᎲ</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ᎤᏂᎪᏪᎸᎢ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ᎦᏃᎯᏳᎲᎢ</w:t>
      </w:r>
      <w:r>
        <w:rPr>
          <w:rFonts w:ascii="Times New Roman" w:hAnsi="Times New Roman" w:eastAsia="Times New Roman" w:cs="Times New Roman"/>
        </w:rPr>
        <w:t xml:space="preserve"> </w:t>
      </w:r>
      <w:r>
        <w:rPr>
          <w:rFonts w:ascii="Gadugi" w:hAnsi="Gadugi" w:eastAsia="Gadugi" w:cs="Gadugi"/>
        </w:rPr>
        <w:t>ᎤᏂᎪᏪᎸᎢ</w:t>
      </w:r>
      <w:r>
        <w:rPr>
          <w:rFonts w:ascii="Times New Roman" w:hAnsi="Times New Roman" w:eastAsia="Times New Roman" w:cs="Times New Roman"/>
        </w:rPr>
        <w:t xml:space="preserve"> </w:t>
      </w:r>
      <w:r>
        <w:rPr>
          <w:rFonts w:ascii="Gadugi" w:hAnsi="Gadugi" w:eastAsia="Gadugi" w:cs="Gadugi"/>
        </w:rPr>
        <w:t>ᎤᏂᏁᎢᏍᏔᏅ</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ᎦᏃᎯᏳᎲ</w:t>
      </w:r>
      <w:r>
        <w:rPr>
          <w:rFonts w:ascii="Times New Roman" w:hAnsi="Times New Roman" w:eastAsia="Times New Roman" w:cs="Times New Roman"/>
        </w:rPr>
        <w:t xml:space="preserve"> </w:t>
      </w:r>
      <w:r>
        <w:rPr>
          <w:rFonts w:ascii="Gadugi" w:hAnsi="Gadugi" w:eastAsia="Gadugi" w:cs="Gadugi"/>
        </w:rPr>
        <w:t>ᎤᏃᎴᎯᏍᏗ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ᎤᎵᏍᎪᎸᏙᏗ</w:t>
      </w:r>
      <w:r>
        <w:rPr>
          <w:rFonts w:ascii="Times New Roman" w:hAnsi="Times New Roman" w:eastAsia="Times New Roman" w:cs="Times New Roman"/>
        </w:rPr>
        <w:t xml:space="preserve"> </w:t>
      </w:r>
      <w:r>
        <w:rPr>
          <w:rFonts w:ascii="Gadugi" w:hAnsi="Gadugi" w:eastAsia="Gadugi" w:cs="Gadugi"/>
        </w:rPr>
        <w:t>ᎤᏃᎴᎯᏍᏗ</w:t>
      </w:r>
      <w:r>
        <w:rPr>
          <w:rFonts w:ascii="Times New Roman" w:hAnsi="Times New Roman" w:eastAsia="Times New Roman" w:cs="Times New Roman"/>
        </w:rPr>
        <w:t xml:space="preserve"> </w:t>
      </w:r>
      <w:r>
        <w:rPr>
          <w:rFonts w:ascii="Gadugi" w:hAnsi="Gadugi" w:eastAsia="Gadugi" w:cs="Gadugi"/>
        </w:rPr>
        <w:t>ᎥᏳᏍᏗ</w:t>
      </w:r>
      <w:r>
        <w:rPr>
          <w:rFonts w:ascii="Times New Roman" w:hAnsi="Times New Roman" w:eastAsia="Times New Roman" w:cs="Times New Roman"/>
        </w:rPr>
        <w:t xml:space="preserve"> </w:t>
      </w:r>
      <w:r>
        <w:rPr>
          <w:rFonts w:ascii="Gadugi" w:hAnsi="Gadugi" w:eastAsia="Gadugi" w:cs="Gadugi"/>
        </w:rPr>
        <w:t>ᎤᏍᏚᎢᏛ</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ᏗᏓᏚᎪᏓᏁᎸᎢ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ᎠᏍᏆᎦᎵᏍᏔᏂᎸᎢ</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pɛlɛlɛnnitumi ŋu Revelation baŋwun la ni, ni nyɛhɛnti dii sie mɛn, ka ŋmɔ ya laŋlaŋ ni tɛhɛri nɛɛbɛɛ yeli, ɔ ni yɛli yɛri; ka dinyi ayin la, yɛri la ŋmɔɔri ka fɔri ka Lion of the tribe of Judah, ka yɛri yɛri la dinyi ayin la bɛ nyɛhɛnti baŋwun ni mɔ la fɛɛri ka pɛlɛpɛlɛ.</w:t>
      </w:r>
    </w:p>
    <w:p>
      <w:pPr>
        <w:pStyle w:val="ArticleBody"/>
        <w:jc w:val="left"/>
      </w:pPr>
      <w:r>
        <w:rPr>
          <w:rFonts w:ascii="Times New Roman" w:hAnsi="Times New Roman" w:eastAsia="Times New Roman" w:cs="Times New Roman"/>
        </w:rPr>
        <w:t>Версэ, кэрэ адэгааб хъущтэу къэбзэгъэпсэлъэгъамрэ, ау гупсысэ хабзэмрэ традицэмрэ къыхэкӀуагъэу пӀым къыщагъэбжьылӀагъэхэмрэ, ары къыщытхыгъэу версэ къэп; нобэ мэр ары Ягъуэхэр лъэпкъым и Лъынэу къадэгъэпцӀыжьыжьыгъэх, а версэхэмрэ нобэ я пэрфектнэу къэхъукӀэр къагъэлъэгъуэжьыжьыгъэхэ.</w:t>
      </w:r>
    </w:p>
    <w:p>
      <w:pPr>
        <w:pStyle w:val="ArticleBody"/>
        <w:jc w:val="left"/>
      </w:pP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യേശുക്രിസ്തുവിന്റെ</w:t>
      </w:r>
      <w:r>
        <w:rPr>
          <w:rFonts w:ascii="Times New Roman" w:hAnsi="Times New Roman" w:eastAsia="Times New Roman" w:cs="Times New Roman"/>
        </w:rPr>
        <w:t xml:space="preserve"> </w:t>
      </w:r>
      <w:r>
        <w:rPr>
          <w:rFonts w:ascii="Nirmala UI" w:hAnsi="Nirmala UI" w:eastAsia="Nirmala UI" w:cs="Nirmala UI"/>
        </w:rPr>
        <w:t>വെളിപ്പാടിനെ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പുസ്തകങ്ങളിൽ</w:t>
      </w:r>
      <w:r>
        <w:rPr>
          <w:rFonts w:ascii="Times New Roman" w:hAnsi="Times New Roman" w:eastAsia="Times New Roman" w:cs="Times New Roman"/>
        </w:rPr>
        <w:t xml:space="preserve"> </w:t>
      </w:r>
      <w:r>
        <w:rPr>
          <w:rFonts w:ascii="Nirmala UI" w:hAnsi="Nirmala UI" w:eastAsia="Nirmala UI" w:cs="Nirmala UI"/>
        </w:rPr>
        <w:t>ആദ്യത്തേതു</w:t>
      </w:r>
      <w:r>
        <w:rPr>
          <w:rFonts w:ascii="Times New Roman" w:hAnsi="Times New Roman" w:eastAsia="Times New Roman" w:cs="Times New Roman"/>
        </w:rPr>
        <w:t xml:space="preserve"> </w:t>
      </w:r>
      <w:r>
        <w:rPr>
          <w:rFonts w:ascii="Nirmala UI" w:hAnsi="Nirmala UI" w:eastAsia="Nirmala UI" w:cs="Nirmala UI"/>
        </w:rPr>
        <w:t>മാത്രമാണ്</w:t>
      </w:r>
      <w:r>
        <w:rPr>
          <w:rFonts w:ascii="Times New Roman" w:hAnsi="Times New Roman" w:eastAsia="Times New Roman" w:cs="Times New Roman"/>
        </w:rPr>
        <w:t>.</w:t>
      </w:r>
    </w:p>
    <w:p>
      <w:pPr>
        <w:pStyle w:val="ArticleBody"/>
        <w:jc w:val="left"/>
      </w:pPr>
      <w:r>
        <w:rPr>
          <w:rFonts w:ascii="Myanmar Text" w:hAnsi="Myanmar Text" w:eastAsia="Myanmar Text" w:cs="Myanmar Text"/>
        </w:rPr>
        <w:t>ယေဟောယာကိမ်သည်</w:t>
      </w:r>
      <w:r>
        <w:rPr>
          <w:rFonts w:ascii="Times New Roman" w:hAnsi="Times New Roman" w:eastAsia="Times New Roman" w:cs="Times New Roman"/>
        </w:rPr>
        <w:t xml:space="preserve"> </w:t>
      </w:r>
      <w:r>
        <w:rPr>
          <w:rFonts w:ascii="Myanmar Text" w:hAnsi="Myanmar Text" w:eastAsia="Myanmar Text" w:cs="Myanmar Text"/>
        </w:rPr>
        <w:t>ပြုပြင်ပြောင်းလဲရေးလှုပ်ရှားမှုတစ်ရပ်အတွင်း</w:t>
      </w:r>
      <w:r>
        <w:rPr>
          <w:rFonts w:ascii="Times New Roman" w:hAnsi="Times New Roman" w:eastAsia="Times New Roman" w:cs="Times New Roman"/>
        </w:rPr>
        <w:t xml:space="preserve"> </w:t>
      </w:r>
      <w:r>
        <w:rPr>
          <w:rFonts w:ascii="Myanmar Text" w:hAnsi="Myanmar Text" w:eastAsia="Myanmar Text" w:cs="Myanmar Text"/>
        </w:rPr>
        <w:t>ပထမသတင်းစကားအား</w:t>
      </w:r>
      <w:r>
        <w:rPr>
          <w:rFonts w:ascii="Times New Roman" w:hAnsi="Times New Roman" w:eastAsia="Times New Roman" w:cs="Times New Roman"/>
        </w:rPr>
        <w:t xml:space="preserve"> </w:t>
      </w:r>
      <w:r>
        <w:rPr>
          <w:rFonts w:ascii="Myanmar Text" w:hAnsi="Myanmar Text" w:eastAsia="Myanmar Text" w:cs="Myanmar Text"/>
        </w:rPr>
        <w:t>တန်ခိုးအာဏာပေးခြင်း၏</w:t>
      </w:r>
      <w:r>
        <w:rPr>
          <w:rFonts w:ascii="Times New Roman" w:hAnsi="Times New Roman" w:eastAsia="Times New Roman" w:cs="Times New Roman"/>
        </w:rPr>
        <w:t xml:space="preserve"> </w:t>
      </w:r>
      <w:r>
        <w:rPr>
          <w:rFonts w:ascii="Myanmar Text" w:hAnsi="Myanmar Text" w:eastAsia="Myanmar Text" w:cs="Myanmar Text"/>
        </w:rPr>
        <w:t>သင်္ကေတဖြစ်သည်။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အမည်ပြောင်းလဲခြင်းသည်</w:t>
      </w:r>
      <w:r>
        <w:rPr>
          <w:rFonts w:ascii="Times New Roman" w:hAnsi="Times New Roman" w:eastAsia="Times New Roman" w:cs="Times New Roman"/>
        </w:rPr>
        <w:t xml:space="preserve"> </w:t>
      </w:r>
      <w:r>
        <w:rPr>
          <w:rFonts w:ascii="Myanmar Text" w:hAnsi="Myanmar Text" w:eastAsia="Myanmar Text" w:cs="Myanmar Text"/>
        </w:rPr>
        <w:t>ပဋိညာဉ်ဆက်ဆံရေးတစ်ရပ်၏</w:t>
      </w:r>
      <w:r>
        <w:rPr>
          <w:rFonts w:ascii="Times New Roman" w:hAnsi="Times New Roman" w:eastAsia="Times New Roman" w:cs="Times New Roman"/>
        </w:rPr>
        <w:t xml:space="preserve"> </w:t>
      </w:r>
      <w:r>
        <w:rPr>
          <w:rFonts w:ascii="Myanmar Text" w:hAnsi="Myanmar Text" w:eastAsia="Myanmar Text" w:cs="Myanmar Text"/>
        </w:rPr>
        <w:t>အစပြုခြင်းကို</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ဖော်ညွှန်းသောကြောင့်၊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သင်္ကေတလည်းဖြစ်သည်။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ပဋိညာဉ်လူမျိုးမဟုတ်ခဲ့သော</w:t>
      </w:r>
      <w:r>
        <w:rPr>
          <w:rFonts w:ascii="Times New Roman" w:hAnsi="Times New Roman" w:eastAsia="Times New Roman" w:cs="Times New Roman"/>
        </w:rPr>
        <w:t xml:space="preserve"> </w:t>
      </w:r>
      <w:r>
        <w:rPr>
          <w:rFonts w:ascii="Myanmar Text" w:hAnsi="Myanmar Text" w:eastAsia="Myanmar Text" w:cs="Myanmar Text"/>
        </w:rPr>
        <w:t>လူမျိုးတစ်စုနှင့်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ဝင်ရောက်တည်ထောင်တော်မူသော</w:t>
      </w:r>
      <w:r>
        <w:rPr>
          <w:rFonts w:ascii="Times New Roman" w:hAnsi="Times New Roman" w:eastAsia="Times New Roman" w:cs="Times New Roman"/>
        </w:rPr>
        <w:t xml:space="preserve"> </w:t>
      </w:r>
      <w:r>
        <w:rPr>
          <w:rFonts w:ascii="Myanmar Text" w:hAnsi="Myanmar Text" w:eastAsia="Myanmar Text" w:cs="Myanmar Text"/>
        </w:rPr>
        <w:t>ပဋိညာဉ်ဆက်ဆံရေးသည်</w:t>
      </w:r>
      <w:r>
        <w:rPr>
          <w:rFonts w:ascii="Times New Roman" w:hAnsi="Times New Roman" w:eastAsia="Times New Roman" w:cs="Times New Roman"/>
        </w:rPr>
        <w:t xml:space="preserve"> </w:t>
      </w:r>
      <w:r>
        <w:rPr>
          <w:rFonts w:ascii="Myanmar Text" w:hAnsi="Myanmar Text" w:eastAsia="Myanmar Text" w:cs="Myanmar Text"/>
        </w:rPr>
        <w:t>ပထမသတင်းစကား</w:t>
      </w:r>
      <w:r>
        <w:rPr>
          <w:rFonts w:ascii="Times New Roman" w:hAnsi="Times New Roman" w:eastAsia="Times New Roman" w:cs="Times New Roman"/>
        </w:rPr>
        <w:t xml:space="preserve"> </w:t>
      </w:r>
      <w:r>
        <w:rPr>
          <w:rFonts w:ascii="Myanmar Text" w:hAnsi="Myanmar Text" w:eastAsia="Myanmar Text" w:cs="Myanmar Text"/>
        </w:rPr>
        <w:t>တန်ခိုးအာဏာရရှိချိန်၌</w:t>
      </w:r>
      <w:r>
        <w:rPr>
          <w:rFonts w:ascii="Times New Roman" w:hAnsi="Times New Roman" w:eastAsia="Times New Roman" w:cs="Times New Roman"/>
        </w:rPr>
        <w:t xml:space="preserve"> </w:t>
      </w:r>
      <w:r>
        <w:rPr>
          <w:rFonts w:ascii="Myanmar Text" w:hAnsi="Myanmar Text" w:eastAsia="Myanmar Text" w:cs="Myanmar Text"/>
        </w:rPr>
        <w:t>စတင်သည်။</w:t>
      </w:r>
    </w:p>
    <w:p>
      <w:pPr>
        <w:pStyle w:val="ArticleScripture"/>
        <w:jc w:val="left"/>
      </w:pPr>
      <w:r>
        <w:rPr>
          <w:rFonts w:ascii="Times New Roman" w:hAnsi="Times New Roman" w:eastAsia="Times New Roman" w:cs="Times New Roman"/>
        </w:rPr>
        <w:t>As tẃrêk bɛrɛw nan mɛyɛ mluŋ, na sɔpɔm ɗi nyɛ tẃrêk lɛ ŋgɔ nyɛ Màlìm gbíì; as tẃrêk bɛrɛw nan kàt yàà sùgùm, na sɔpɔm ɗi yàà sùgùm. 1 Pita 2:10.</w:t>
      </w:r>
    </w:p>
    <w:p>
      <w:pPr>
        <w:pStyle w:val="ArticleBody"/>
        <w:jc w:val="left"/>
      </w:pP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ބަދަލުކުރުން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ކިޔެވެންތަކެއްގެ</w:t>
      </w:r>
      <w:r>
        <w:rPr>
          <w:rFonts w:ascii="Times New Roman" w:hAnsi="Times New Roman" w:eastAsia="Times New Roman" w:cs="Times New Roman"/>
        </w:rPr>
        <w:t xml:space="preserve"> </w:t>
      </w:r>
      <w:r>
        <w:rPr>
          <w:rFonts w:ascii="MV Boli" w:hAnsi="MV Boli" w:eastAsia="MV Boli" w:cs="MV Boli"/>
        </w:rPr>
        <w:t>ގުޅުމެއް</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ރަމްޒެއް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ސާބިތުވެފައިވަނީ</w:t>
      </w:r>
      <w:r>
        <w:rPr>
          <w:rFonts w:ascii="Times New Roman" w:hAnsi="Times New Roman" w:eastAsia="Times New Roman" w:cs="Times New Roman"/>
        </w:rPr>
        <w:t xml:space="preserve"> </w:t>
      </w:r>
      <w:r>
        <w:rPr>
          <w:rFonts w:ascii="MV Boli" w:hAnsi="MV Boli" w:eastAsia="MV Boli" w:cs="MV Boli"/>
        </w:rPr>
        <w:t>އަބްރާމްގެ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އަބްރާހާމް</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ބަދަލުވިއްޔާއި</w:t>
      </w:r>
      <w:r>
        <w:rPr>
          <w:rFonts w:ascii="Times New Roman" w:hAnsi="Times New Roman" w:eastAsia="Times New Roman" w:cs="Times New Roman"/>
        </w:rPr>
        <w:t xml:space="preserve">، </w:t>
      </w:r>
      <w:r>
        <w:rPr>
          <w:rFonts w:ascii="MV Boli" w:hAnsi="MV Boli" w:eastAsia="MV Boli" w:cs="MV Boli"/>
        </w:rPr>
        <w:t>ސާރައީގެ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ސާރާ</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ޔާޤޫބުގެ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އިސްރާއީލް</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ސާއުލްގެ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ޕޯލް</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ބަދަލުވިއްޔާއެވެ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ރަމްޒަށް</w:t>
      </w:r>
      <w:r>
        <w:rPr>
          <w:rFonts w:ascii="Times New Roman" w:hAnsi="Times New Roman" w:eastAsia="Times New Roman" w:cs="Times New Roman"/>
        </w:rPr>
        <w:t xml:space="preserve"> </w:t>
      </w:r>
      <w:r>
        <w:rPr>
          <w:rFonts w:ascii="MV Boli" w:hAnsi="MV Boli" w:eastAsia="MV Boli" w:cs="MV Boli"/>
        </w:rPr>
        <w:t>ހެކިދޭ</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ޝާހިދުން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ހުރިޔަސް</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ފޮތުގެ</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ބެލްޓެޝައްޒަރު</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ބަދަލުކުރެވުނެވެ</w:t>
      </w:r>
      <w:r>
        <w:rPr>
          <w:rFonts w:ascii="Times New Roman" w:hAnsi="Times New Roman" w:eastAsia="Times New Roman" w:cs="Times New Roman"/>
        </w:rPr>
        <w:t xml:space="preserve">، </w:t>
      </w:r>
      <w:r>
        <w:rPr>
          <w:rFonts w:ascii="MV Boli" w:hAnsi="MV Boli" w:eastAsia="MV Boli" w:cs="MV Boli"/>
        </w:rPr>
        <w:t>ހަނަންޔާގެ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ޝަދްރަކް</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މީޝާއޭލްގެ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މީޝަކް</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އަޒަރިޔާގެ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އަބެދްނެގޯ</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Куиыы Сиэххэрдэ кэмигэр кэлиһиилээх кыахха киирэрэ, ол кэмнэ биир үөскээх кэлиһиилээх норуотуну аан дойдуур. Иоаким аан дойдуруллар кэлиһиилээх норуотуну көрдөрөр, ону сэргэ Даниил, Ханания, Мисаил уонна Азария онтон талыллар кэлиһиилээх норуотуну көрдөрөллөр. Киниһигэр норуот кэлиһиигэ киирдэхтэрин кэнниттэн, кэлиһии усулуобуйаларын тутуһуохтара дуо суох дуо диэн тургутуллар. Бу тургутуу аһыыр дьайыытынан бэлиэтэнэр.</w:t>
      </w:r>
    </w:p>
    <w:p>
      <w:pPr>
        <w:pStyle w:val="ArticleBody"/>
        <w:jc w:val="left"/>
      </w:pP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ꯏꯚ</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ꯆꯥꯕꯒꯤ</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ꯇꯦꯛꯁꯇꯇꯨ</w:t>
      </w:r>
      <w:r>
        <w:rPr>
          <w:rFonts w:ascii="Times New Roman" w:hAnsi="Times New Roman" w:eastAsia="Times New Roman" w:cs="Times New Roman"/>
        </w:rPr>
        <w:t xml:space="preserve"> </w:t>
      </w:r>
      <w:r>
        <w:rPr>
          <w:rFonts w:ascii="Nirmala UI" w:hAnsi="Nirmala UI" w:eastAsia="Nirmala UI" w:cs="Nirmala UI"/>
        </w:rPr>
        <w:t>ꯃꯥꯡꯊꯛꯈꯤ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ꯈꯟꯗꯕ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ꯑꯃꯥꯁꯤꯡꯒ</w:t>
      </w:r>
      <w:r>
        <w:rPr>
          <w:rFonts w:ascii="Times New Roman" w:hAnsi="Times New Roman" w:eastAsia="Times New Roman" w:cs="Times New Roman"/>
        </w:rPr>
        <w:t xml:space="preserve"> </w:t>
      </w:r>
      <w:r>
        <w:rPr>
          <w:rFonts w:ascii="Nirmala UI" w:hAnsi="Nirmala UI" w:eastAsia="Nirmala UI" w:cs="Nirmala UI"/>
        </w:rPr>
        <w:t>ꯑꯩꯍꯥꯛꯅ</w:t>
      </w:r>
      <w:r>
        <w:rPr>
          <w:rFonts w:ascii="Times New Roman" w:hAnsi="Times New Roman" w:eastAsia="Times New Roman" w:cs="Times New Roman"/>
        </w:rPr>
        <w:t xml:space="preserve"> </w:t>
      </w:r>
      <w:r>
        <w:rPr>
          <w:rFonts w:ascii="Nirmala UI" w:hAnsi="Nirmala UI" w:eastAsia="Nirmala UI" w:cs="Nirmala UI"/>
        </w:rPr>
        <w:t>ꯀꯣꯕꯅꯦꯟꯇ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ꯃꯅꯥꯁꯤꯡꯗꯒꯤ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ꯆꯥꯎꯗꯨꯅ</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ꯏꯁ꯭ꯔꯥꯌꯦꯜ</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ꯍꯥꯟꯖꯔꯛꯈꯤ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ꯃꯍꯥꯛꯀꯣꯏꯅ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ꯃꯉꯣꯟꯒꯤ</w:t>
      </w:r>
      <w:r>
        <w:rPr>
          <w:rFonts w:ascii="Times New Roman" w:hAnsi="Times New Roman" w:eastAsia="Times New Roman" w:cs="Times New Roman"/>
        </w:rPr>
        <w:t xml:space="preserve"> </w:t>
      </w:r>
      <w:r>
        <w:rPr>
          <w:rFonts w:ascii="Nirmala UI" w:hAnsi="Nirmala UI" w:eastAsia="Nirmala UI" w:cs="Nirmala UI"/>
        </w:rPr>
        <w:t>ꯄ꯭ꯔꯣꯁꯦꯁ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ꯔꯦꯐꯔꯦꯟꯁ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ꯁꯥꯈꯤ</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ꯇꯦꯛꯁꯇ</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ꯆꯥꯂꯤꯁ</w:t>
      </w:r>
      <w:r>
        <w:rPr>
          <w:rFonts w:ascii="Times New Roman" w:hAnsi="Times New Roman" w:eastAsia="Times New Roman" w:cs="Times New Roman"/>
        </w:rPr>
        <w:t xml:space="preserve">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ꯂꯥꯝꯍꯥꯟꯕꯗꯥ</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ꯑꯁꯤꯒꯤꯗꯃꯛ</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ꯖꯣꯁꯨꯑ</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ꯀꯦꯂꯦꯕꯒ</w:t>
      </w:r>
      <w:r>
        <w:rPr>
          <w:rFonts w:ascii="Times New Roman" w:hAnsi="Times New Roman" w:eastAsia="Times New Roman" w:cs="Times New Roman"/>
        </w:rPr>
        <w:t xml:space="preserve"> </w:t>
      </w:r>
      <w:r>
        <w:rPr>
          <w:rFonts w:ascii="Nirmala UI" w:hAnsi="Nirmala UI" w:eastAsia="Nirmala UI" w:cs="Nirmala UI"/>
        </w:rPr>
        <w:t>ꯀꯣꯕꯅꯦꯟꯇꯗꯨ</w:t>
      </w:r>
      <w:r>
        <w:rPr>
          <w:rFonts w:ascii="Times New Roman" w:hAnsi="Times New Roman" w:eastAsia="Times New Roman" w:cs="Times New Roman"/>
        </w:rPr>
        <w:t xml:space="preserve"> </w:t>
      </w:r>
      <w:r>
        <w:rPr>
          <w:rFonts w:ascii="Nirmala UI" w:hAnsi="Nirmala UI" w:eastAsia="Nirmala UI" w:cs="Nirmala UI"/>
        </w:rPr>
        <w:t>ꯆꯠꯈꯤ</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ꯅꯣꯡꯄꯣꯛ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ꯈꯟꯗꯕ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ꯑꯃꯥꯁꯤꯡꯒ</w:t>
      </w:r>
      <w:r>
        <w:rPr>
          <w:rFonts w:ascii="Times New Roman" w:hAnsi="Times New Roman" w:eastAsia="Times New Roman" w:cs="Times New Roman"/>
        </w:rPr>
        <w:t xml:space="preserve"> </w:t>
      </w:r>
      <w:r>
        <w:rPr>
          <w:rFonts w:ascii="Nirmala UI" w:hAnsi="Nirmala UI" w:eastAsia="Nirmala UI" w:cs="Nirmala UI"/>
        </w:rPr>
        <w:t>ꯀꯣꯕꯅꯦꯟꯇ</w:t>
      </w:r>
      <w:r>
        <w:rPr>
          <w:rFonts w:ascii="Times New Roman" w:hAnsi="Times New Roman" w:eastAsia="Times New Roman" w:cs="Times New Roman"/>
        </w:rPr>
        <w:t xml:space="preserve"> </w:t>
      </w:r>
      <w:r>
        <w:rPr>
          <w:rFonts w:ascii="Nirmala UI" w:hAnsi="Nirmala UI" w:eastAsia="Nirmala UI" w:cs="Nirmala UI"/>
        </w:rPr>
        <w:t>ꯆꯠꯂꯕꯗꯥ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ꯑꯃꯥꯁꯤꯡꯕꯨ</w:t>
      </w:r>
      <w:r>
        <w:rPr>
          <w:rFonts w:ascii="Times New Roman" w:hAnsi="Times New Roman" w:eastAsia="Times New Roman" w:cs="Times New Roman"/>
        </w:rPr>
        <w:t xml:space="preserve"> </w:t>
      </w:r>
      <w:r>
        <w:rPr>
          <w:rFonts w:ascii="Nirmala UI" w:hAnsi="Nirmala UI" w:eastAsia="Nirmala UI" w:cs="Nirmala UI"/>
        </w:rPr>
        <w:t>ꯊꯣꯡꯒꯥꯜ</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ꯁꯥꯈꯤ</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ꯑꯩꯍꯣꯏꯒꯤ</w:t>
      </w:r>
      <w:r>
        <w:rPr>
          <w:rFonts w:ascii="Times New Roman" w:hAnsi="Times New Roman" w:eastAsia="Times New Roman" w:cs="Times New Roman"/>
        </w:rPr>
        <w:t xml:space="preserve"> </w:t>
      </w:r>
      <w:r>
        <w:rPr>
          <w:rFonts w:ascii="Nirmala UI" w:hAnsi="Nirmala UI" w:eastAsia="Nirmala UI" w:cs="Nirmala UI"/>
        </w:rPr>
        <w:t>ꯑꯥꯇ꯭ꯃꯥꯅꯤꯡꯒꯤ</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ꯑꯍꯧꯕꯅꯤ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ꯃꯉꯣꯟꯒꯤ</w:t>
      </w:r>
      <w:r>
        <w:rPr>
          <w:rFonts w:ascii="Times New Roman" w:hAnsi="Times New Roman" w:eastAsia="Times New Roman" w:cs="Times New Roman"/>
        </w:rPr>
        <w:t xml:space="preserve"> </w:t>
      </w:r>
      <w:r>
        <w:rPr>
          <w:rFonts w:ascii="Nirmala UI" w:hAnsi="Nirmala UI" w:eastAsia="Nirmala UI" w:cs="Nirmala UI"/>
        </w:rPr>
        <w:t>ꯄ꯭ꯔꯣꯁꯦꯁ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ꯑꯥꯇ꯭ꯃꯥꯅꯤꯡꯒꯤ</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ꯃꯉꯣꯟꯒꯤ</w:t>
      </w:r>
      <w:r>
        <w:rPr>
          <w:rFonts w:ascii="Times New Roman" w:hAnsi="Times New Roman" w:eastAsia="Times New Roman" w:cs="Times New Roman"/>
        </w:rPr>
        <w:t xml:space="preserve"> </w:t>
      </w:r>
      <w:r>
        <w:rPr>
          <w:rFonts w:ascii="Nirmala UI" w:hAnsi="Nirmala UI" w:eastAsia="Nirmala UI" w:cs="Nirmala UI"/>
        </w:rPr>
        <w:t>ꯄ꯭ꯔꯣꯁꯦꯁ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ꯅꯣꯡꯃꯥꯗꯒꯤ</w:t>
      </w:r>
      <w:r>
        <w:rPr>
          <w:rFonts w:ascii="Times New Roman" w:hAnsi="Times New Roman" w:eastAsia="Times New Roman" w:cs="Times New Roman"/>
        </w:rPr>
        <w:t xml:space="preserve"> </w:t>
      </w:r>
      <w:r>
        <w:rPr>
          <w:rFonts w:ascii="Nirmala UI" w:hAnsi="Nirmala UI" w:eastAsia="Nirmala UI" w:cs="Nirmala UI"/>
        </w:rPr>
        <w:t>ꯍꯥꯎꯔꯀꯄ</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ꯑꯈꯟꯕ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ꯏꯄꯥꯎ</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ꯀꯣꯕꯅꯦꯟꯇꯀꯤ</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ꯃꯉꯣꯟꯒꯤ</w:t>
      </w:r>
      <w:r>
        <w:rPr>
          <w:rFonts w:ascii="Times New Roman" w:hAnsi="Times New Roman" w:eastAsia="Times New Roman" w:cs="Times New Roman"/>
        </w:rPr>
        <w:t xml:space="preserve"> </w:t>
      </w:r>
      <w:r>
        <w:rPr>
          <w:rFonts w:ascii="Nirmala UI" w:hAnsi="Nirmala UI" w:eastAsia="Nirmala UI" w:cs="Nirmala UI"/>
        </w:rPr>
        <w:t>ꯄ꯭ꯔꯣꯁꯦꯁꯇꯥ</w:t>
      </w:r>
      <w:r>
        <w:rPr>
          <w:rFonts w:ascii="Times New Roman" w:hAnsi="Times New Roman" w:eastAsia="Times New Roman" w:cs="Times New Roman"/>
        </w:rPr>
        <w:t xml:space="preserve"> </w:t>
      </w:r>
      <w:r>
        <w:rPr>
          <w:rFonts w:ascii="Nirmala UI" w:hAnsi="Nirmala UI" w:eastAsia="Nirmala UI" w:cs="Nirmala UI"/>
        </w:rPr>
        <w:t>ꯃꯅꯥꯅ</w:t>
      </w:r>
      <w:r>
        <w:rPr>
          <w:rFonts w:ascii="Times New Roman" w:hAnsi="Times New Roman" w:eastAsia="Times New Roman" w:cs="Times New Roman"/>
        </w:rPr>
        <w:t xml:space="preserve"> </w:t>
      </w:r>
      <w:r>
        <w:rPr>
          <w:rFonts w:ascii="Nirmala UI" w:hAnsi="Nirmala UI" w:eastAsia="Nirmala UI" w:cs="Nirmala UI"/>
        </w:rPr>
        <w:t>ꯇꯥꯏꯞ</w:t>
      </w:r>
      <w:r>
        <w:rPr>
          <w:rFonts w:ascii="Times New Roman" w:hAnsi="Times New Roman" w:eastAsia="Times New Roman" w:cs="Times New Roman"/>
        </w:rPr>
        <w:t xml:space="preserve"> </w:t>
      </w:r>
      <w:r>
        <w:rPr>
          <w:rFonts w:ascii="Nirmala UI" w:hAnsi="Nirmala UI" w:eastAsia="Nirmala UI" w:cs="Nirmala UI"/>
        </w:rPr>
        <w:t>ꯇꯧꯔꯛꯈꯤ।</w:t>
      </w:r>
    </w:p>
    <w:p>
      <w:pPr>
        <w:pStyle w:val="ArticleBody"/>
        <w:jc w:val="left"/>
      </w:pPr>
      <w:r>
        <w:rPr>
          <w:rFonts w:ascii="Nirmala UI" w:hAnsi="Nirmala UI" w:eastAsia="Nirmala UI" w:cs="Nirmala UI"/>
        </w:rPr>
        <w:t>इम्तिहान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आसमानी</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कराई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फ़रमाया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अह्दी</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गोश्त</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लाज़िम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ख़िदमत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बनिस्बत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पेशकश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ज़्यादा</w:t>
      </w:r>
      <w:r>
        <w:rPr>
          <w:rFonts w:ascii="Times New Roman" w:hAnsi="Times New Roman" w:eastAsia="Times New Roman" w:cs="Times New Roman"/>
        </w:rPr>
        <w:t xml:space="preserve"> </w:t>
      </w:r>
      <w:r>
        <w:rPr>
          <w:rFonts w:ascii="Nirmala UI" w:hAnsi="Nirmala UI" w:eastAsia="Nirmala UI" w:cs="Nirmala UI"/>
        </w:rPr>
        <w:t>शागिर्द</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ख़िदमत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इख़्तिलाफ़</w:t>
      </w:r>
      <w:r>
        <w:rPr>
          <w:rFonts w:ascii="Times New Roman" w:hAnsi="Times New Roman" w:eastAsia="Times New Roman" w:cs="Times New Roman"/>
        </w:rPr>
        <w:t xml:space="preserve"> </w:t>
      </w:r>
      <w:r>
        <w:rPr>
          <w:rFonts w:ascii="Nirmala UI" w:hAnsi="Nirmala UI" w:eastAsia="Nirmala UI" w:cs="Nirmala UI"/>
        </w:rPr>
        <w:t>अह्दी</w:t>
      </w:r>
      <w:r>
        <w:rPr>
          <w:rFonts w:ascii="Times New Roman" w:hAnsi="Times New Roman" w:eastAsia="Times New Roman" w:cs="Times New Roman"/>
        </w:rPr>
        <w:t xml:space="preserve"> </w:t>
      </w:r>
      <w:r>
        <w:rPr>
          <w:rFonts w:ascii="Nirmala UI" w:hAnsi="Nirmala UI" w:eastAsia="Nirmala UI" w:cs="Nirmala UI"/>
        </w:rPr>
        <w:t>इम्तिहान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w:t>
      </w:r>
      <w:r>
        <w:rPr>
          <w:rFonts w:ascii="Times New Roman" w:hAnsi="Times New Roman" w:eastAsia="Times New Roman" w:cs="Times New Roman"/>
        </w:rPr>
        <w:t>-</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Sister White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वाक़िए</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Desire of Ages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तफ़्सील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तब्सिरा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उनवान</w:t>
      </w:r>
      <w:r>
        <w:rPr>
          <w:rFonts w:ascii="Times New Roman" w:hAnsi="Times New Roman" w:eastAsia="Times New Roman" w:cs="Times New Roman"/>
        </w:rPr>
        <w:t xml:space="preserve"> “The Crisis in Galilee” </w:t>
      </w:r>
      <w:r>
        <w:rPr>
          <w:rFonts w:ascii="Nirmala UI" w:hAnsi="Nirmala UI" w:eastAsia="Nirmala UI" w:cs="Nirmala UI"/>
        </w:rPr>
        <w:t>है।</w:t>
      </w:r>
      <w:r>
        <w:rPr>
          <w:rFonts w:ascii="Times New Roman" w:hAnsi="Times New Roman" w:eastAsia="Times New Roman" w:cs="Times New Roman"/>
        </w:rPr>
        <w:t xml:space="preserve"> Galilee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मतलब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क़ब्ज़ा</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बयान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शागिर्द</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गवाहाने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गोश्त</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दरकार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नबूवी</w:t>
      </w:r>
      <w:r>
        <w:rPr>
          <w:rFonts w:ascii="Times New Roman" w:hAnsi="Times New Roman" w:eastAsia="Times New Roman" w:cs="Times New Roman"/>
        </w:rPr>
        <w:t xml:space="preserve"> </w:t>
      </w:r>
      <w:r>
        <w:rPr>
          <w:rFonts w:ascii="Nirmala UI" w:hAnsi="Nirmala UI" w:eastAsia="Nirmala UI" w:cs="Nirmala UI"/>
        </w:rPr>
        <w:t>मनहज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नबूवी</w:t>
      </w:r>
      <w:r>
        <w:rPr>
          <w:rFonts w:ascii="Times New Roman" w:hAnsi="Times New Roman" w:eastAsia="Times New Roman" w:cs="Times New Roman"/>
        </w:rPr>
        <w:t xml:space="preserve"> </w:t>
      </w:r>
      <w:r>
        <w:rPr>
          <w:rFonts w:ascii="Nirmala UI" w:hAnsi="Nirmala UI" w:eastAsia="Nirmala UI" w:cs="Nirmala UI"/>
        </w:rPr>
        <w:t>तसव्वुरात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रिवाजों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रिवायतों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चिमटे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क़दीम</w:t>
      </w:r>
      <w:r>
        <w:rPr>
          <w:rFonts w:ascii="Times New Roman" w:hAnsi="Times New Roman" w:eastAsia="Times New Roman" w:cs="Times New Roman"/>
        </w:rPr>
        <w:t xml:space="preserve"> </w:t>
      </w:r>
      <w:r>
        <w:rPr>
          <w:rFonts w:ascii="Nirmala UI" w:hAnsi="Nirmala UI" w:eastAsia="Nirmala UI" w:cs="Nirmala UI"/>
        </w:rPr>
        <w:t>इस्राईल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w:t>
      </w:r>
      <w:r>
        <w:rPr>
          <w:rFonts w:ascii="Nirmala UI" w:hAnsi="Nirmala UI" w:eastAsia="Nirmala UI" w:cs="Nirmala UI"/>
        </w:rPr>
        <w:t>मुक़द्दस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w:t>
      </w:r>
      <w:r>
        <w:rPr>
          <w:rFonts w:ascii="Nirmala UI" w:hAnsi="Nirmala UI" w:eastAsia="Nirmala UI" w:cs="Nirmala UI"/>
        </w:rPr>
        <w:t>फ़हमियों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मुजव्वज़ा</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फ़राहम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ख़याल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अल्फ़ाज़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बजाय</w:t>
      </w:r>
      <w:r>
        <w:rPr>
          <w:rFonts w:ascii="Times New Roman" w:hAnsi="Times New Roman" w:eastAsia="Times New Roman" w:cs="Times New Roman"/>
        </w:rPr>
        <w:t xml:space="preserve"> </w:t>
      </w:r>
      <w:r>
        <w:rPr>
          <w:rFonts w:ascii="Nirmala UI" w:hAnsi="Nirmala UI" w:eastAsia="Nirmala UI" w:cs="Nirmala UI"/>
        </w:rPr>
        <w:t>लफ़्ज़ी</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काफ़ी</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निशानदही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(Galilee)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(John 6:66),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चले।</w:t>
      </w:r>
    </w:p>
    <w:p>
      <w:pPr>
        <w:pStyle w:val="ArticleBody"/>
        <w:jc w:val="left"/>
      </w:pPr>
      <w:r>
        <w:rPr>
          <w:rFonts w:ascii="Times New Roman" w:hAnsi="Times New Roman" w:eastAsia="Times New Roman" w:cs="Times New Roman"/>
        </w:rPr>
        <w:t>كَمَا فِي عَمَلِيَّةِ الاِخْتِبَارِ الْعَهْدِيَّةِ الأُولَى وَكَذَلِكَ الأَخِيرَةِ لِإِسْرَائِيلَ الْقَدِيمِ، نَجِدُ أَنَّهُ حِينَ يَدْخُلُ اللهُ فِي عَلاقَةِ عَهْدٍ مَعَ شَعْبٍ مُخْتَارٍ، يَكُونُ فِي الْوَقْتِ نَفْسِهِ مُجْتَازًا عَنْ شَعْبِ الْعَهْدِ السَّابِقِ. وَنَجِدُ أَيْضًا أَنَّهُ يَخْتَبِرُ أُولَئِكَ الشَّعْبَ، لاَ بِاخْتِبَارٍ وَاحِدٍ مُنْفَرِدٍ، بَلْ بِعَمَلِيَّةِ اخْتِبَارٍ. وَنَرَى أَيْضًا أَنَّ عَمَلِيَّةَ الاِخْتِبَارِ تُمَثَّلُ بِشَيْءٍ يُؤْكَلُ. وَنَجِدُ أَيْضًا أَنَّ الطَّعَامَ يُمَثِّلُ كَلِمَةَ اللهِ، وَأَنَّ الاِخْتِبَارَ يَنْطَوِي عَلَى اخْتِيَارٍ بَيْنَ نَوْعَيْنِ مِنَ الطَّعَامِ لِلأَكْلِ. أَنَأْكُلُ مِنْ كُلِّ شَجَرَةٍ قَالَ اللهُ إِنَّنَا نَسْتَطِيعُ أَنْ نَأْكُلَ مِنْهَا، أَمْ نَأْكُلُ مِنَ الشَّجَرَةِ الَّتِي مُنِعْنَا مِنَ الأَكْلِ مِنْهَا؟ وَنَجِدُ أَيْضًا أَنَّ اخْتِيَارَ مَا نَأْكُلُ يَشْمَلُ اخْتِبَارَ الْكَيْفِيَّةِ الَّتِي نَأْكُلُ بِهَا الطَّعَامَ الْمُقَدَّمَ.</w:t>
      </w:r>
    </w:p>
    <w:p>
      <w:pPr>
        <w:pStyle w:val="ArticleBody"/>
        <w:jc w:val="left"/>
      </w:pP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यहोयाकीम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यहोयाकीम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बंधुआई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परंपराओं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w:t>
      </w:r>
      <w:r>
        <w:rPr>
          <w:rFonts w:ascii="Nirmala UI" w:hAnsi="Nirmala UI" w:eastAsia="Nirmala UI" w:cs="Nirmala UI"/>
        </w:rPr>
        <w:t>रिवाजों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1844-жылдын жазы келгенде, сынак жараяны Жехояким жана протестанттар үчүн «бурулуш чекитине» жеткен эле, жана рухий Ысрайыл үчүн болгон биринчи сынак жараянындагыдай эле, алар «бурулуп», Ыйса менен мындан ары жүрүшкөн жок. Ал тарыхта Даниел, Ханания, Мишаел жана Азария Миллерчилерди символдоштурат; алар оозунда таттуу, бирок курсагында ачуу болуп калган кичинекей китепти жегенди тандашкан.</w:t>
      </w:r>
    </w:p>
    <w:p>
      <w:pPr>
        <w:pStyle w:val="ArticleBody"/>
        <w:jc w:val="left"/>
      </w:pPr>
      <w:r>
        <w:rPr>
          <w:rFonts w:ascii="Times New Roman" w:hAnsi="Times New Roman" w:eastAsia="Times New Roman" w:cs="Times New Roman"/>
        </w:rPr>
        <w:t>Min anin Adam yan Eve, ninkuntas chusku klasik testigokuna kaykuna, pruebapas mikuy ruraypi rikuchisqa kasqanta. Sapaq profetiko testigokunatapas kanchik, llapallankupas qallariypa hinaspa tukuypa señalta apamunku. Manápa pruebanmanta testigokunaqa ñawpaq testigom; Hanaq Pankapa pruebanqa iskayninta kachkan: hukninmantaqa espíritu Israelpaq ñawpaq prueban, hukninmantaqa ñawpa Israelpaq qhipa testigonpas. Huchuy libropa pruebanqa ñawpaqpas hinaspa qhipapas kachkan. Chayqa espíritu Israelpa puriyninpa tukukuyninmi, chunkaq wasipi iglesiaq hina purisqanmanta, hinaspa Diospa qhipa denominado llaqtan kananpaq akllasqakunamanta ñawpaqninmi. Milleritakunaqa Diospa denominado llaqtanpa qallariynin karqanku, paykunataq protestantismopa cheqaq waqran hina reqsisqa kananpaq karqanku. Achka testigokunam kanku chay pruebay rikurichiy procesoq, mayqinchus qallarin ñawpaq mensajeta kallpachasqa kaptin.</w:t>
      </w:r>
    </w:p>
    <w:p>
      <w:pPr>
        <w:pStyle w:val="ArticleBody"/>
        <w:jc w:val="left"/>
      </w:pPr>
      <w:r>
        <w:rPr>
          <w:rFonts w:ascii="Times New Roman" w:hAnsi="Times New Roman" w:eastAsia="Times New Roman" w:cs="Times New Roman"/>
        </w:rPr>
        <w:t>In those processes of testing there arrives a “turning point”, where nearly all of the disciples turn away. At Joshua and Caleb’s testimony all Israel turned away and sought to return to Egypt. At the church in Galilee, the majority of disciples turned away. Because Jesus is the Alpha and Omega, the “turning point” that is represented at the end of the testing process is also illustrated at the beginning of the testing process. When the manna was first provided for ancient Israel, there were those that immediately turned away from the instructions. At Christ’s baptism He turned away and went into the wilderness. Sister White uses the symbol of a turning point in a very informative fashion.</w:t>
      </w:r>
    </w:p>
    <w:p>
      <w:pPr>
        <w:pStyle w:val="ArticleScripture"/>
        <w:jc w:val="left"/>
      </w:pPr>
      <w:r>
        <w:rPr>
          <w:rFonts w:ascii="Times New Roman" w:hAnsi="Times New Roman" w:eastAsia="Times New Roman" w:cs="Times New Roman"/>
        </w:rPr>
        <w:t>“Ҽышқәа рымҩахыҵҭа иҟало аамҭақәа ыҟоуп ажәларқәа рҭоурыхҿгьы, аныхаҿгьы. Анцәа Иԥҟараҿы, ари еиԥш иҟоу еиуеиԥшым ауадаҩратә аамҭақәа анааилак, уи аамҭа азы адырыԥшага ҟаҵахоит. Уи аднакылозар, адоуҳатә ԥхьаҟа ацара ҟалоит; иара аӡахзар, адоуҳатә ҭыԥахарагьы, аилагарагьы анаҩсан иааиуеит. Иаҳақәиҭу Иажәаҿы иаартны иҳарбеит Аевангелие иажәыларатә аус шымҩаԥгаз ажәытә аамҭақәа рзы, насгьы ишымҩаԥгахо ԥхьаҟатәи аамҭақәа рҿы, ахыркәшаратә ақәԥара аҟынӡа, анда сатанатә амчрақәа рҵыхәтәантәи, иџьашьахәу рныҟәгашьа мҩаԥырго. Уи Ажәа аҟынтәи еилаҳкаауеит, иахьа уажәраанӡа аус зуа амчрақәа шыҟоу, урҭ акыр зҵазкуа аҵыхәтәантәи ақәԥара—абзиабараи ацәгьеи рыбжьара, алашьцара аҳ и Сатанеи, Абзазара Аҳ и Христоси рыбжьара—алагарахь инанагараны ишыҟоу. Аха Анцәа бзиа избо, Иареи иршәо ауаа рзы иааиуа ақәҿиара шиашоу, Уи Аҳра ажәҩанқәа рҿы ишьақәыргылоу ауроуп. Bible Echo, August 26, 1895.”</w:t>
      </w:r>
    </w:p>
    <w:p>
      <w:pPr>
        <w:pStyle w:val="ArticleBody"/>
        <w:jc w:val="left"/>
      </w:pPr>
      <w:r>
        <w:rPr>
          <w:rFonts w:ascii="Times New Roman" w:hAnsi="Times New Roman" w:eastAsia="Times New Roman" w:cs="Times New Roman"/>
        </w:rPr>
        <w:t>عندما أُعطي المنُّ أولًا لإسرائيل القديمة، أُعطي النور لذلك التاريخ. وعند معمودية المسيح، أُعطي النور لذلك التاريخ. وفي 11 أغسطس 1840، أُعطي النور لذلك التاريخ. وكل واحد من تلك المنعطفات الحاسمة يَسِمُ بدايةَ عمليةِ امتحانٍ تنتهي في النهاية عند منعطفٍ حاسمٍ آخر، حين ينصرف شعبُ العهد السابق ولا يعودون يسلكون مع المسيح بعد ذلك.</w:t>
      </w:r>
    </w:p>
    <w:p>
      <w:pPr>
        <w:pStyle w:val="ArticleBody"/>
        <w:jc w:val="left"/>
      </w:pPr>
      <w:r>
        <w:rPr>
          <w:rFonts w:ascii="Nirmala UI" w:hAnsi="Nirmala UI" w:eastAsia="Nirmala UI" w:cs="Nirmala UI"/>
        </w:rPr>
        <w:t>మునుపటి</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నూతన</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వివిధ</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ప్రక్రియలు</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కాలాన్ని</w:t>
      </w:r>
      <w:r>
        <w:rPr>
          <w:rFonts w:ascii="Times New Roman" w:hAnsi="Times New Roman" w:eastAsia="Times New Roman" w:cs="Times New Roman"/>
        </w:rPr>
        <w:t xml:space="preserve"> </w:t>
      </w:r>
      <w:r>
        <w:rPr>
          <w:rFonts w:ascii="Nirmala UI" w:hAnsi="Nirmala UI" w:eastAsia="Nirmala UI" w:cs="Nirmala UI"/>
        </w:rPr>
        <w:t>సూచిస్తున్నందున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ప్రక్రియకు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ముగింపులు</w:t>
      </w:r>
      <w:r>
        <w:rPr>
          <w:rFonts w:ascii="Times New Roman" w:hAnsi="Times New Roman" w:eastAsia="Times New Roman" w:cs="Times New Roman"/>
        </w:rPr>
        <w:t xml:space="preserve"> </w:t>
      </w:r>
      <w:r>
        <w:rPr>
          <w:rFonts w:ascii="Nirmala UI" w:hAnsi="Nirmala UI" w:eastAsia="Nirmala UI" w:cs="Nirmala UI"/>
        </w:rPr>
        <w:t>ఉన్నాయి</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ప్రక్రియ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w:t>
      </w:r>
      <w:r>
        <w:rPr>
          <w:rFonts w:ascii="Nirmala UI" w:hAnsi="Nirmala UI" w:eastAsia="Nirmala UI" w:cs="Nirmala UI"/>
        </w:rPr>
        <w:t>అందువల్ల</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ప్రొటెస్టెంట్లకు</w:t>
      </w:r>
      <w:r>
        <w:rPr>
          <w:rFonts w:ascii="Times New Roman" w:hAnsi="Times New Roman" w:eastAsia="Times New Roman" w:cs="Times New Roman"/>
        </w:rPr>
        <w:t xml:space="preserve"> </w:t>
      </w:r>
      <w:r>
        <w:rPr>
          <w:rFonts w:ascii="Nirmala UI" w:hAnsi="Nirmala UI" w:eastAsia="Nirmala UI" w:cs="Nirmala UI"/>
        </w:rPr>
        <w:t>తుది</w:t>
      </w:r>
      <w:r>
        <w:rPr>
          <w:rFonts w:ascii="Times New Roman" w:hAnsi="Times New Roman" w:eastAsia="Times New Roman" w:cs="Times New Roman"/>
        </w:rPr>
        <w:t xml:space="preserve"> </w:t>
      </w:r>
      <w:r>
        <w:rPr>
          <w:rFonts w:ascii="Nirmala UI" w:hAnsi="Nirmala UI" w:eastAsia="Nirmala UI" w:cs="Nirmala UI"/>
        </w:rPr>
        <w:t>మలుపు</w:t>
      </w:r>
      <w:r>
        <w:rPr>
          <w:rFonts w:ascii="Times New Roman" w:hAnsi="Times New Roman" w:eastAsia="Times New Roman" w:cs="Times New Roman"/>
        </w:rPr>
        <w:t xml:space="preserve">, 1844 </w:t>
      </w:r>
      <w:r>
        <w:rPr>
          <w:rFonts w:ascii="Nirmala UI" w:hAnsi="Nirmala UI" w:eastAsia="Nirmala UI" w:cs="Nirmala UI"/>
        </w:rPr>
        <w:t>వసంతకాలంలో</w:t>
      </w:r>
      <w:r>
        <w:rPr>
          <w:rFonts w:ascii="Times New Roman" w:hAnsi="Times New Roman" w:eastAsia="Times New Roman" w:cs="Times New Roman"/>
        </w:rPr>
        <w:t xml:space="preserve"> </w:t>
      </w:r>
      <w:r>
        <w:rPr>
          <w:rFonts w:ascii="Nirmala UI" w:hAnsi="Nirmala UI" w:eastAsia="Nirmala UI" w:cs="Nirmala UI"/>
        </w:rPr>
        <w:t>సంభవించింది</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ప్రక్రియ</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(1844 </w:t>
      </w:r>
      <w:r>
        <w:rPr>
          <w:rFonts w:ascii="Nirmala UI" w:hAnsi="Nirmala UI" w:eastAsia="Nirmala UI" w:cs="Nirmala UI"/>
        </w:rPr>
        <w:t>శరదృతువులో</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మలుపు</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మునుపటి</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మలుపు</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సంభవించింది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Ɪndu yisus Kristosduk tariquğan, sinaw egingneki bis yuznaŋaŋan: kiliwluq katiŋaŋi taygaŋan iŋan, qaisuŋan taygaŋan; qaili qaytaŋan kiliwluq katiŋaŋi taygaŋan, aniqsriŋan taygaŋan.</w:t>
      </w:r>
    </w:p>
    <w:p>
      <w:pPr>
        <w:pStyle w:val="ArticleScripture"/>
        <w:jc w:val="left"/>
      </w:pPr>
      <w:r>
        <w:rPr>
          <w:rFonts w:ascii="Times New Roman" w:hAnsi="Times New Roman" w:eastAsia="Times New Roman" w:cs="Times New Roman"/>
        </w:rPr>
        <w:t>“Иисус Оронун нийтийн үйлчлэлээ эхлэхдээ Сүмийг түүний ариун бус доромжлолт бузарлалаас цэвэрлэсэн. Түүний үйлчлэлийн сүүлчийн үйлсийн дотор Сүмийг хоёр дахь удаагаа цэвэрлэсэн явдал байв. Үүнтэй адил, дэлхийд анхааруулга хүргэх эцсийн ажилд сүмүүдэд хандан хоёр ялгаатай дуудлага өгөгддөг. Хоёр дахь тэнгэрэлчийн мэдээ нь: ‘Агуу хот Вавилон унасан, унасан; учир нь тэр өөрийн садар самууны хилэнгийн дарсаар бүх үндэстнийг уулгасан’ (Илчлэлт 14:8) хэмээн өгүүлдэг. Харин гурав дахь тэнгэрэлчийн мэдээний чанга хашхираанд тэнгэрээс нэгэн дуу хоолой сонсогдон: ‘Миний ард түмэн, түүний дотроос гарцгаа; ингэснээр та нар түүний нүглүүдэд оролцогч болохгүй бөгөөд түүний гай гамшгуудаас хүлээн авахгүй. Учир нь түүний нүглүүд тэнгэрт хүрсэн бөгөөд Бурхан түүний гэм бурууг санасан’ (Илчлэлт 18:4, 5) гэж хэлдэг.” Selected Messages, book 2, 118.</w:t>
      </w:r>
    </w:p>
    <w:p>
      <w:pPr>
        <w:pStyle w:val="ArticleBody"/>
        <w:jc w:val="left"/>
      </w:pPr>
      <w:r>
        <w:rPr>
          <w:rFonts w:ascii="Times New Roman" w:hAnsi="Times New Roman" w:eastAsia="Times New Roman" w:cs="Times New Roman"/>
        </w:rPr>
        <w:t>Крист озэн хоёр удаагийн ариун сүмийн цэвэрлэгээний шалгалтын үйл явц нь Эш Үзүүлэгчийн Сүнсний бичвэрүүд дэх Малахи гуравдугаар бүлэгтэй нийцдэг.</w:t>
      </w:r>
    </w:p>
    <w:p>
      <w:pPr>
        <w:pStyle w:val="ArticleScripture"/>
        <w:jc w:val="left"/>
      </w:pPr>
      <w:r>
        <w:rPr>
          <w:rFonts w:ascii="Times New Roman" w:hAnsi="Times New Roman" w:eastAsia="Times New Roman" w:cs="Times New Roman"/>
        </w:rPr>
        <w:t>«Адунеитәи аахәарҭа адунеи аахәаҩцәагьы ааӡаҩцәагьы рҟынтәи ианырыцқьоз, Иисус Ишмиссиа ишиашаз адиӡахра азыҳәан аҳәамҭа ҟаиҵеит — агәыр аҟнытә агәнаҳа иеиҭаз ахараргаратә цәашьра аицқьара, адгьылтә гәазыҳәарақәа, ахала-хьааԥшратә мчагәгәаԥхарақәа, аԥсы хьшәашәара зышьҭызҵо ацәгьоу аӡ</w:t>
      </w:r>
      <w:r>
        <w:rPr>
          <w:rFonts w:ascii="Microsoft YaHei" w:hAnsi="Microsoft YaHei" w:eastAsia="Microsoft YaHei" w:cs="Microsoft YaHei"/>
        </w:rPr>
        <w:t>习</w:t>
      </w:r>
      <w:r>
        <w:rPr>
          <w:rFonts w:ascii="Times New Roman" w:hAnsi="Times New Roman" w:eastAsia="Times New Roman" w:cs="Times New Roman"/>
        </w:rPr>
        <w:t>қәа рҟынтәи. Малахи 3:1–3 иқәыԥшуп». The Desire of Ages, 161.</w:t>
      </w:r>
    </w:p>
    <w:p>
      <w:pPr>
        <w:pStyle w:val="ArticleBody"/>
        <w:jc w:val="left"/>
      </w:pPr>
      <w:r>
        <w:rPr>
          <w:rFonts w:ascii="Times New Roman" w:hAnsi="Times New Roman" w:eastAsia="Times New Roman" w:cs="Times New Roman"/>
        </w:rPr>
        <w:t>Yuxquẽ nhandejára retãgua ñemopotĩha ohechauka pe jehechaha rehegua proceso, ojehechauka jey jevy hag̃ua heta línea profética ndive. Opaite ñe’ẽjoaju, oñepyrũva Adán ha Eva guive pe historia Millerita peve, ohechauka pe cien cuarenta y cuatro mil ñemopotĩha.</w:t>
      </w:r>
    </w:p>
    <w:p>
      <w:pPr>
        <w:pStyle w:val="ArticleScripture"/>
        <w:jc w:val="left"/>
      </w:pPr>
      <w:r>
        <w:rPr>
          <w:rFonts w:ascii="Times New Roman" w:hAnsi="Times New Roman" w:eastAsia="Times New Roman" w:cs="Times New Roman"/>
        </w:rPr>
        <w:t>«Әй дунейиниң тарихиниң ахирқи күнлиридә, Худаниң Өзиниң әмирлиригә әмәл қилидиған хәлқи билән болған әһдиси йеңи баштин тиклиниду.» Review and Herald, 1914-жили 26-февраль.</w:t>
      </w:r>
    </w:p>
    <w:p>
      <w:pPr>
        <w:pStyle w:val="ArticleBody"/>
        <w:jc w:val="left"/>
      </w:pPr>
      <w:r>
        <w:rPr>
          <w:rFonts w:ascii="Times New Roman" w:hAnsi="Times New Roman" w:eastAsia="Times New Roman" w:cs="Times New Roman"/>
        </w:rPr>
        <w:t>يه процессы-и поксозии саду чилу чаҳор ҳазор нахустин ишора дар китоби Дониёл аст, ки худ аввалин китоб аз он ду китоб мебошад, ки якҷо Ваҳйи Исои Масеҳро намояндагӣ мекунанд, ва он андаке пеш аз баста шудани муҳлати имтиҳони инсонӣ кушода мешавад. Процесси поксозии саду чилу чаҳор ҳазор ҳамчунин ҳамчун процесси мӯҳргузорӣ муаррифӣ шудааст. Вақте ки паёми аввалини процесси поксозӣ ва мӯҳргузории саду чилу чаҳор ҳазор 11 сентябри соли 2001 оғоз ёфт, он барои калисо ва барои ҷаҳон нуқтаи гардиш буд. Дар боби ҳаждаҳуми китоби Ваҳй, он фариштае, ки ҷаҳонро бо ҷалоли худ равшан месозад, он вақт расид. Аммо дар Ваҳй 18 фаришта чунин нишон дода нашудааст, ки дар дасташ чизе барои хӯрдан дошта бошад — вале он ҷо ҳаст. Китобчаи хурд он ҷост. Онро ба осонӣ метавонанд бишиносанд касоне, ки интихоб мекунанд он методологияеро бихӯранд, ки аз ҷониби пайғамбар Ишаъё ҳамчун «хат бар хат» ифода шудааст.</w:t>
      </w:r>
    </w:p>
    <w:p>
      <w:pPr>
        <w:pStyle w:val="ArticleBody"/>
        <w:jc w:val="left"/>
      </w:pPr>
      <w:r>
        <w:rPr>
          <w:rFonts w:ascii="Times New Roman" w:hAnsi="Times New Roman" w:eastAsia="Times New Roman" w:cs="Times New Roman"/>
        </w:rPr>
        <w:t>“Հատագիծ առ հատագիծ” դնելով՝ մենք հասկանում ենք, որ երբ Քրիստոսը իջավ 2001 թվականի սեպտեմբերի 11-ին, Նա նաև ուներ «մի փոքրիկ գիրք», որը ներկայացվել էր որպես «մաննա», «երկնքի հաց» և «փոքրիկ գիրք»։ Բայց 2001 թվականի սեպտեմբերի 11-ին նախկին ընտրյալ ժողովուրդը, որ ներկայացված էր Հովակիմով, ընտրեց կառչած մնալ ադվենտիզմի սովորույթներին և ավանդություններին, և ապա սկսեց իր երթը դեպի Բաբելոնի գերությունը, որը ամբողջական կլինի կիրակնօրյա օրենքի ժամանակ։</w:t>
      </w:r>
    </w:p>
    <w:p>
      <w:pPr>
        <w:pStyle w:val="ArticleScripture"/>
        <w:jc w:val="left"/>
      </w:pPr>
      <w:r>
        <w:rPr>
          <w:rFonts w:ascii="Times New Roman" w:hAnsi="Times New Roman" w:eastAsia="Times New Roman" w:cs="Times New Roman"/>
        </w:rPr>
        <w:t>“Kunakka angukami rimata, satzi siwa nyanga yaku alatji wangkapai munu New York uwiḻya purlkara kuḻuḻpaṟa waṉaṟingu? Nyaakuṟu ngayulu wiya alatji wangkanytja. Ngayulu alatji wangkangu, ngayulu nyakula nyara purlkara nyumba tjuṯa nyinanyi alatji pakaṟi, storey kutjara kutjara munu kutjara maṟu, ‘Munta nyanga alatji puḻka nyinaku nyaa ngaranyi, Katuṯja puṟunypa pakaltjinga munu manta puḻka alatji uritjingalku! Ka nyara Wangkatjara Revelation 18:1–3 nyinanyi, nyara wangka tjuṯa mapalku utini.’ Revelation kaṯi 18 panya winki manta nyangatja katu nyinara alatji wangkara monaṟi, nyaa alatji pitjama. Palu ngayulu wiya kurunpa-nyinanytja nyuntuṟa nyinanyi New York-ku nyaa pitjama; ngayulu kulini kutju, kutjupa aṟa nyara purlkara nyumba tjuṯa nyinanyi nyara, God-ku puḻka pawa turning and overturning-kutu aḻaṟa wiyaringkuku. Nyara kurunpa ngayuku ungkunytjitja-kutu ngayulu kulini munu ngurangka tjuṯangka waṟkarinyi, destruction nyinanyi munu pitjama. Mayatja-ku wangkapai kutju, palya kutju, munu pawa puḻka nganaṉa pampuntja kutju, ka nyanga massive structures tjuṯa punkalku. Scenes tjuṯa utiku, ka nganaṉa nyinanyi munu nyakula nguḻu puḻka alatji; palu nyara fearfulness panya nganaṉa kulintja wiya.” Review and Herald, July 5, 1906.</w:t>
      </w:r>
    </w:p>
    <w:p>
      <w:pPr>
        <w:pStyle w:val="ArticleBody"/>
        <w:jc w:val="left"/>
      </w:pPr>
      <w:r>
        <w:rPr>
          <w:rFonts w:ascii="Times New Roman" w:hAnsi="Times New Roman" w:eastAsia="Times New Roman" w:cs="Times New Roman"/>
        </w:rPr>
        <w:t>Cuanduj “grandis edifisius” di “Nueva York” fue “derrocadus por el volteo i trastorno del poder de Dios,” li 11 de septiembre de 2001, la lus del ángel de Apocalipsis dieciocho plenó tota la tierra, purke un punto de giro había venid en la historia de la bestia terrenal de Apocalipsis trece.</w:t>
      </w:r>
    </w:p>
    <w:p>
      <w:pPr>
        <w:pStyle w:val="ArticleScripture"/>
        <w:jc w:val="left"/>
      </w:pPr>
      <w:r>
        <w:rPr>
          <w:rFonts w:ascii="Times New Roman" w:hAnsi="Times New Roman" w:eastAsia="Times New Roman" w:cs="Times New Roman"/>
        </w:rPr>
        <w:t>«Дәүләтләр вә чиркав тарихи дә бәзи дәврләр барки, улар бурулуш нуқтилиридур. Худаниң инайәтлик тәдбири астида, бу хил һәрбир кризис йәткәндә, шу вақитқа мунасип нур берилиду. Әгәр у қобул қилинса, роһий илгириләш болиду; әгәр у рәт қилинса, униңға әгишип роһий чекиниш вә кемә һаләкити келиду.» Bible Echo, August 26, 1895.</w:t>
      </w:r>
    </w:p>
    <w:p>
      <w:pPr>
        <w:pStyle w:val="ArticleBody"/>
        <w:jc w:val="left"/>
      </w:pPr>
      <w:r>
        <w:rPr>
          <w:rFonts w:ascii="Times New Roman" w:hAnsi="Times New Roman" w:eastAsia="Times New Roman" w:cs="Times New Roman"/>
        </w:rPr>
        <w:t>Na paan nu silaw ti anghel iti Apocalipsis disiotso idi Septiembre 11, 2001, dagidiay nangawat iti silaw ket nagdur-asda iti espiritu, ket dagidiay nangilaksid iti silaw ket nagkedkedda iti espiritu, ket nangrugida iti di-panagtulnog a panagbiagda agingga iti maudi a punto ti panagsukirda, ti linteg ti Domingo, a sadiay agnanayon a dadaelen da ti pammati ken pahayagda a kas mensahero ti maikatlo nga anghel. Dagidiay adda idiay Galilea a nagsubli ken saandanen a nakikadua ken Cristo iti Juan 6:66, ket agturturongda iti pannakaitallikod manipud iti silaw a dimteng idi immuna iti pannakabawtisarna, isu a sadiay napabileg ti umuna a mensahe iti dayta a pakasaritaan ti pannakasubok. Iti Daniel kapitulo uno, dua a klase dagiti agdaydayaw ti naipakita iti pakasaritaan idi napabileg ti umuna a mensahe. Ni Jehoiakim ket itakderanna dagidiay mangdadael iti pammati, ket da Daniel, Hananiah, Mishael ken Azariah ket itakderanda dagiti matalek.</w:t>
      </w:r>
    </w:p>
    <w:p>
      <w:pPr>
        <w:pStyle w:val="ArticleScripture"/>
        <w:jc w:val="left"/>
      </w:pPr>
      <w:r>
        <w:rPr>
          <w:rFonts w:ascii="Times New Roman" w:hAnsi="Times New Roman" w:eastAsia="Times New Roman" w:cs="Times New Roman"/>
        </w:rPr>
        <w:t>یەھۇدا پادىشاھى يەھوياقىمنىڭ پادىشاھلىق قىلغان ئۈچىنچى يىلىدا، بابىل پادىشاھى نەبۇقەدنەسەر يېرۇسالېمغا كېلىپ، ئۇنى قورشىۋالدى. پەرۋەردىگار يەھۇدا پادىشاھى يەھوياقىمنى، خۇدانىڭ ئۆيىدىكى قاچىلارنىڭ بىر قىسمى بىلەن بىللە، ئۇنىڭ قولىغا تاپشۇردى؛ ئۇ بولسا بۇلارنى شىنعار زېمىنىغا، ئۆز ئىلاھىنىڭ ئۆيىگە ئېلىپ باردى؛ ۋە قاچىلارنى ئۆز ئىلاھىنىڭ خەزىنىخانىسىغا قويدى. پادىشاھ ئاشپېنازغا، يەنى ئۆز خوجىلار بېشىغا، ئىسرائىل ئوغۇللىرىدىن، پادىشاھ نەسلىدىن ۋە ئەمىرلەردىن بولغان بەزىلەرنى كەلتۈرۈشنى بۇيرۇدى؛ بەدىنىدە ھېچقانداق نۇقسانى يوق، كۆرۈنۈشى چىرايلىق، ھەر خىل دانالىقتا ماھىر، بىلىمدە ئۇستا، ئىلىم-پەندىن چۈشەنچىسى بار، پادىشاھ ئوردىسىدا خىزمەتتە تۇرۇشقا لايىق قابىلىيىتى بار بولغان ياشلارنى؛ شۇنداقلا ئۇلارغا كالدىيلارنىڭ ئەدەبىياتى بىلەن تىلىنى ئۆگىتىشنى بۇيرۇدى. پادىشاھ ئۇلار ئۈچۈن پادىشاھنىڭ تامىقىدىن ۋە ئۆزى ئىچىدىغان شاراپتىن كۈندىلىك نىسىۋە تەيىنلىدى؛ شۇنداق قىلىپ ئۇلارنى ئۈچ يىل باقتۇردى، ئاخىرىدا ئۇلار پادىشاھ ئالدىدا تۇرالايدىغان بولسۇن دەپ. بۇلارنىڭ ئىچىدە يەھۇدا ئوغۇللىرىدىن دانىيال، ھەنانيا، مىشائىل ۋە ئەزەرىيا بار ئىدى. خوجىلار بېشى ئۇلارغا ناملار بەردى: دانىيالغا بەلتەشەززەر، ھەنانياگە شەدراق، مىشائىلغا مېشاق، ئەزەرىياغا ئابېدنېگو دەپ ئات قويدى. لېكىن دانىيال كۆڭلىدە پادىشاھنىڭ تاماق نىسىۋىسى بىلەن ياكى ئۇ ئىچىدىغان شاراپ بىلەن ئۆزىنى ناپاك قىلماسلىققا قەتئىي نىيەت قىلدى؛ شۇڭا ئۇ ئۆزىنى ناپاك قىلماسلىقى ئۈچۈن خوجىلار بېشىدىن ئىجازەت سورىدى. دانىيال 1:1-8.</w:t>
      </w:r>
    </w:p>
    <w:p>
      <w:pPr>
        <w:pStyle w:val="ArticleBody"/>
        <w:jc w:val="left"/>
      </w:pPr>
      <w:r>
        <w:rPr>
          <w:rFonts w:ascii="Times New Roman" w:hAnsi="Times New Roman" w:eastAsia="Times New Roman" w:cs="Times New Roman"/>
        </w:rPr>
        <w:t>دانیال، حنانیا، میشائیل و عزریا از فرزندان یهودا بودند. آنان اخته شدند و بدین‌سان نمایانگر نسل نهایی ادونتیسم بودند. نبوکدنصر، همانند بسیاری از پادشاهان باستان، آن چهار جوان یهودی را خصی کرد تا هرگونه نگرانی‌ای را که ممکن بود پادشاه هنگام خدمت ایشان به‌عنوان بردگان و معاشرتشان با همسران و کنیزان پادشاه داشته باشد، برطرف سازد.</w:t>
      </w:r>
    </w:p>
    <w:p>
      <w:pPr>
        <w:pStyle w:val="ArticleBody"/>
        <w:jc w:val="left"/>
      </w:pPr>
      <w:r>
        <w:rPr>
          <w:rFonts w:ascii="Times New Roman" w:hAnsi="Times New Roman" w:eastAsia="Times New Roman" w:cs="Times New Roman"/>
        </w:rPr>
        <w:t>Nok oikivochitoka, omatli tonali itech Adventismo, pampa ayocmo oncas seyoc línea de Judá ipan inin nahui. Nahui yehua se símbolo tlen quimati nochi tlalticpac, huan yeca quinechcahua in tonali tlamiantli de los Adventistas del Séptimo Día itech nochi tlalticpac, tlen quixmatiseh September 11, 2001, quen se cumplimiento de la Palabra profética de Dios.</w:t>
      </w:r>
    </w:p>
    <w:p>
      <w:pPr>
        <w:pStyle w:val="ArticleBody"/>
        <w:jc w:val="left"/>
      </w:pPr>
      <w:r>
        <w:rPr>
          <w:rFonts w:ascii="Times New Roman" w:hAnsi="Times New Roman" w:eastAsia="Times New Roman" w:cs="Times New Roman"/>
        </w:rPr>
        <w:t>Вьыг Божье пророческэй Слово гукӀэу къыхэщтэ ахэр — Жьыр къыдэкӀуэу щыIэ псор плӀыжьыкӀэ плӀыжьыкӀэ фIэщIыгъуэ зэхуаку щыIэу къахэщтэу къызэрыхуащ. Ауэ я пророческэ мырасыр я адэхэм я бунтрэ къызэпыдэкӀуащ, 1863 илъэсым. А бунт и къызэщIэбжьапIэр къэгъэсэныр щхьэщыкIуэу гугъущ, сытым икӀуэншэ а псори бунт и щIэдзапIэу зыри тIэкIуэ-тIэкIуэ зэхэкIуэу къызэращыщ нэщIыр нэс зэхуэмыдэкIауэ, быдэ Iуэхугъуэхэмрэ хабзэхэмрэкIэ къэгъэпщкIуащ. Къэгъэсэныр гугъу щыIэми, ар къыщыгъэлъэгъуэн хуейщ, и щапхъэр къызэрагъэпэжын хуейщ, Даниил къызэрищIыри, Даниил и тхылъ и девятэу щIэкIым. Ар къищIащ, хьэкъуагъэр Божье пророческэй Словом и щIэб къыхэщыжьыгъуэу къыщигъуэтыжауэ.</w:t>
      </w:r>
    </w:p>
    <w:p>
      <w:pPr>
        <w:pStyle w:val="ArticleBody"/>
        <w:jc w:val="left"/>
      </w:pPr>
      <w:r>
        <w:rPr>
          <w:rFonts w:ascii="Times New Roman" w:hAnsi="Times New Roman" w:eastAsia="Times New Roman" w:cs="Times New Roman"/>
        </w:rPr>
        <w:t>ئەو یاغیبوونەی کە دانیال و سێ پیاوی بەڕێز ڕاستەوخۆ لێی هاتبوون، ئەو ڕەتکردنەوەی باوکیان بوو کە لە جیاوازی خۆی لە کاریگەرییە گەلەکپرستانەکانی دەورووبەریان دابمەزرێت. لە ساڵی 1863دا، ئەدوەنتیزمی لاودیکیە بۆ ڕێبازە کتێبی پیرۆزەکەی پرۆتستانتیزمی ئاپۆستات و کاتۆلیکایەتی گەڕایەوە، بۆ ئەوەی پشتگیری لە ڕەتکردنەوەی ناساندنی میلەر بۆ “حەوت کات”ی لاویان بیست و شەش بکات. ئەو یاغیبوونە، بۆ دانیال و سێ پیاوی بەڕێز، بە پاشا حەزەقیاه نیشاندرابوو.</w:t>
      </w:r>
    </w:p>
    <w:p>
      <w:pPr>
        <w:pStyle w:val="ArticleBody"/>
        <w:jc w:val="left"/>
      </w:pPr>
      <w:r>
        <w:rPr>
          <w:rFonts w:ascii="Ebrima" w:hAnsi="Ebrima" w:eastAsia="Ebrima" w:cs="Ebrima"/>
        </w:rPr>
        <w:t>ሕዝቅያስ</w:t>
      </w:r>
      <w:r>
        <w:rPr>
          <w:rFonts w:ascii="Times New Roman" w:hAnsi="Times New Roman" w:eastAsia="Times New Roman" w:cs="Times New Roman"/>
        </w:rPr>
        <w:t xml:space="preserve"> </w:t>
      </w:r>
      <w:r>
        <w:rPr>
          <w:rFonts w:ascii="Ebrima" w:hAnsi="Ebrima" w:eastAsia="Ebrima" w:cs="Ebrima"/>
        </w:rPr>
        <w:t>እንዳይሞት</w:t>
      </w:r>
      <w:r>
        <w:rPr>
          <w:rFonts w:ascii="Times New Roman" w:hAnsi="Times New Roman" w:eastAsia="Times New Roman" w:cs="Times New Roman"/>
        </w:rPr>
        <w:t xml:space="preserve"> </w:t>
      </w:r>
      <w:r>
        <w:rPr>
          <w:rFonts w:ascii="Ebrima" w:hAnsi="Ebrima" w:eastAsia="Ebrima" w:cs="Ebrima"/>
        </w:rPr>
        <w:t>ለጌታ</w:t>
      </w:r>
      <w:r>
        <w:rPr>
          <w:rFonts w:ascii="Times New Roman" w:hAnsi="Times New Roman" w:eastAsia="Times New Roman" w:cs="Times New Roman"/>
        </w:rPr>
        <w:t xml:space="preserve"> </w:t>
      </w:r>
      <w:r>
        <w:rPr>
          <w:rFonts w:ascii="Ebrima" w:hAnsi="Ebrima" w:eastAsia="Ebrima" w:cs="Ebrima"/>
        </w:rPr>
        <w:t>ተማፀነ፣</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ተጨማሪ</w:t>
      </w:r>
      <w:r>
        <w:rPr>
          <w:rFonts w:ascii="Times New Roman" w:hAnsi="Times New Roman" w:eastAsia="Times New Roman" w:cs="Times New Roman"/>
        </w:rPr>
        <w:t xml:space="preserve"> 15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በሰጠው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ጸሎቱ</w:t>
      </w:r>
      <w:r>
        <w:rPr>
          <w:rFonts w:ascii="Times New Roman" w:hAnsi="Times New Roman" w:eastAsia="Times New Roman" w:cs="Times New Roman"/>
        </w:rPr>
        <w:t xml:space="preserve"> </w:t>
      </w:r>
      <w:r>
        <w:rPr>
          <w:rFonts w:ascii="Ebrima" w:hAnsi="Ebrima" w:eastAsia="Ebrima" w:cs="Ebrima"/>
        </w:rPr>
        <w:t>ተመለሰለት።</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በማድረጉም</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ምናሴን</w:t>
      </w:r>
      <w:r>
        <w:rPr>
          <w:rFonts w:ascii="Times New Roman" w:hAnsi="Times New Roman" w:eastAsia="Times New Roman" w:cs="Times New Roman"/>
        </w:rPr>
        <w:t xml:space="preserve"> </w:t>
      </w:r>
      <w:r>
        <w:rPr>
          <w:rFonts w:ascii="Ebrima" w:hAnsi="Ebrima" w:eastAsia="Ebrima" w:cs="Ebrima"/>
        </w:rPr>
        <w:t>ወለደ፤</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የይሁዳን</w:t>
      </w:r>
      <w:r>
        <w:rPr>
          <w:rFonts w:ascii="Times New Roman" w:hAnsi="Times New Roman" w:eastAsia="Times New Roman" w:cs="Times New Roman"/>
        </w:rPr>
        <w:t xml:space="preserve"> </w:t>
      </w:r>
      <w:r>
        <w:rPr>
          <w:rFonts w:ascii="Ebrima" w:hAnsi="Ebrima" w:eastAsia="Ebrima" w:cs="Ebrima"/>
        </w:rPr>
        <w:t>በተራ</w:t>
      </w:r>
      <w:r>
        <w:rPr>
          <w:rFonts w:ascii="Times New Roman" w:hAnsi="Times New Roman" w:eastAsia="Times New Roman" w:cs="Times New Roman"/>
        </w:rPr>
        <w:t xml:space="preserve"> </w:t>
      </w:r>
      <w:r>
        <w:rPr>
          <w:rFonts w:ascii="Ebrima" w:hAnsi="Ebrima" w:eastAsia="Ebrima" w:cs="Ebrima"/>
        </w:rPr>
        <w:t>በሚገፋ</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መንሣትና</w:t>
      </w:r>
      <w:r>
        <w:rPr>
          <w:rFonts w:ascii="Times New Roman" w:hAnsi="Times New Roman" w:eastAsia="Times New Roman" w:cs="Times New Roman"/>
        </w:rPr>
        <w:t xml:space="preserve"> </w:t>
      </w:r>
      <w:r>
        <w:rPr>
          <w:rFonts w:ascii="Ebrima" w:hAnsi="Ebrima" w:eastAsia="Ebrima" w:cs="Ebrima"/>
        </w:rPr>
        <w:t>ባርነት</w:t>
      </w:r>
      <w:r>
        <w:rPr>
          <w:rFonts w:ascii="Times New Roman" w:hAnsi="Times New Roman" w:eastAsia="Times New Roman" w:cs="Times New Roman"/>
        </w:rPr>
        <w:t xml:space="preserve"> </w:t>
      </w:r>
      <w:r>
        <w:rPr>
          <w:rFonts w:ascii="Ebrima" w:hAnsi="Ebrima" w:eastAsia="Ebrima" w:cs="Ebrima"/>
        </w:rPr>
        <w:t>መግባት</w:t>
      </w:r>
      <w:r>
        <w:rPr>
          <w:rFonts w:ascii="Times New Roman" w:hAnsi="Times New Roman" w:eastAsia="Times New Roman" w:cs="Times New Roman"/>
        </w:rPr>
        <w:t xml:space="preserve"> </w:t>
      </w:r>
      <w:r>
        <w:rPr>
          <w:rFonts w:ascii="Ebrima" w:hAnsi="Ebrima" w:eastAsia="Ebrima" w:cs="Ebrima"/>
        </w:rPr>
        <w:t>የሚያመለክተውም</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1856</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የላኦዴቅያ</w:t>
      </w:r>
      <w:r>
        <w:rPr>
          <w:rFonts w:ascii="Times New Roman" w:hAnsi="Times New Roman" w:eastAsia="Times New Roman" w:cs="Times New Roman"/>
        </w:rPr>
        <w:t xml:space="preserve"> </w:t>
      </w:r>
      <w:r>
        <w:rPr>
          <w:rFonts w:ascii="Ebrima" w:hAnsi="Ebrima" w:eastAsia="Ebrima" w:cs="Ebrima"/>
        </w:rPr>
        <w:t>አድቬንቲዝምን</w:t>
      </w:r>
      <w:r>
        <w:rPr>
          <w:rFonts w:ascii="Times New Roman" w:hAnsi="Times New Roman" w:eastAsia="Times New Roman" w:cs="Times New Roman"/>
        </w:rPr>
        <w:t xml:space="preserve"> </w:t>
      </w:r>
      <w:r>
        <w:rPr>
          <w:rFonts w:ascii="Ebrima" w:hAnsi="Ebrima" w:eastAsia="Ebrima" w:cs="Ebrima"/>
        </w:rPr>
        <w:t>በር</w:t>
      </w:r>
      <w:r>
        <w:rPr>
          <w:rFonts w:ascii="Times New Roman" w:hAnsi="Times New Roman" w:eastAsia="Times New Roman" w:cs="Times New Roman"/>
        </w:rPr>
        <w:t xml:space="preserve"> </w:t>
      </w:r>
      <w:r>
        <w:rPr>
          <w:rFonts w:ascii="Ebrima" w:hAnsi="Ebrima" w:eastAsia="Ebrima" w:cs="Ebrima"/>
        </w:rPr>
        <w:t>ለመንኳኳት</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ለራሳቸው</w:t>
      </w:r>
      <w:r>
        <w:rPr>
          <w:rFonts w:ascii="Times New Roman" w:hAnsi="Times New Roman" w:eastAsia="Times New Roman" w:cs="Times New Roman"/>
        </w:rPr>
        <w:t xml:space="preserve"> </w:t>
      </w:r>
      <w:r>
        <w:rPr>
          <w:rFonts w:ascii="Ebrima" w:hAnsi="Ebrima" w:eastAsia="Ebrima" w:cs="Ebrima"/>
        </w:rPr>
        <w:t>ሞተው</w:t>
      </w:r>
      <w:r>
        <w:rPr>
          <w:rFonts w:ascii="Times New Roman" w:hAnsi="Times New Roman" w:eastAsia="Times New Roman" w:cs="Times New Roman"/>
        </w:rPr>
        <w:t xml:space="preserve"> </w:t>
      </w:r>
      <w:r>
        <w:rPr>
          <w:rFonts w:ascii="Ebrima" w:hAnsi="Ebrima" w:eastAsia="Ebrima" w:cs="Ebrima"/>
        </w:rPr>
        <w:t>ከመኖር</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ለመኖር</w:t>
      </w:r>
      <w:r>
        <w:rPr>
          <w:rFonts w:ascii="Times New Roman" w:hAnsi="Times New Roman" w:eastAsia="Times New Roman" w:cs="Times New Roman"/>
        </w:rPr>
        <w:t xml:space="preserve"> </w:t>
      </w:r>
      <w:r>
        <w:rPr>
          <w:rFonts w:ascii="Ebrima" w:hAnsi="Ebrima" w:eastAsia="Ebrima" w:cs="Ebrima"/>
        </w:rPr>
        <w:t>መረጡ።</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ኢያሪኮን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ሠሩ፣</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በመጨረሻ</w:t>
      </w:r>
      <w:r>
        <w:rPr>
          <w:rFonts w:ascii="Times New Roman" w:hAnsi="Times New Roman" w:eastAsia="Times New Roman" w:cs="Times New Roman"/>
        </w:rPr>
        <w:t xml:space="preserve"> </w:t>
      </w:r>
      <w:r>
        <w:rPr>
          <w:rFonts w:ascii="Ebrima" w:hAnsi="Ebrima" w:eastAsia="Ebrima" w:cs="Ebrima"/>
        </w:rPr>
        <w:t>መስከረም</w:t>
      </w:r>
      <w:r>
        <w:rPr>
          <w:rFonts w:ascii="Times New Roman" w:hAnsi="Times New Roman" w:eastAsia="Times New Roman" w:cs="Times New Roman"/>
        </w:rPr>
        <w:t xml:space="preserve"> 11 </w:t>
      </w:r>
      <w:r>
        <w:rPr>
          <w:rFonts w:ascii="Ebrima" w:hAnsi="Ebrima" w:eastAsia="Ebrima" w:cs="Ebrima"/>
        </w:rPr>
        <w:t>ቀን</w:t>
      </w:r>
      <w:r>
        <w:rPr>
          <w:rFonts w:ascii="Times New Roman" w:hAnsi="Times New Roman" w:eastAsia="Times New Roman" w:cs="Times New Roman"/>
        </w:rPr>
        <w:t xml:space="preserve"> 2001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የመንፈሳዊ</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ባርነት</w:t>
      </w:r>
      <w:r>
        <w:rPr>
          <w:rFonts w:ascii="Times New Roman" w:hAnsi="Times New Roman" w:eastAsia="Times New Roman" w:cs="Times New Roman"/>
        </w:rPr>
        <w:t xml:space="preserve"> </w:t>
      </w:r>
      <w:r>
        <w:rPr>
          <w:rFonts w:ascii="Ebrima" w:hAnsi="Ebrima" w:eastAsia="Ebrima" w:cs="Ebrima"/>
        </w:rPr>
        <w:t>የሚያስገባቸውን</w:t>
      </w:r>
      <w:r>
        <w:rPr>
          <w:rFonts w:ascii="Times New Roman" w:hAnsi="Times New Roman" w:eastAsia="Times New Roman" w:cs="Times New Roman"/>
        </w:rPr>
        <w:t xml:space="preserve"> </w:t>
      </w:r>
      <w:r>
        <w:rPr>
          <w:rFonts w:ascii="Ebrima" w:hAnsi="Ebrima" w:eastAsia="Ebrima" w:cs="Ebrima"/>
        </w:rPr>
        <w:t>ባለሶስት</w:t>
      </w:r>
      <w:r>
        <w:rPr>
          <w:rFonts w:ascii="Times New Roman" w:hAnsi="Times New Roman" w:eastAsia="Times New Roman" w:cs="Times New Roman"/>
        </w:rPr>
        <w:t>-</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ጉዞ</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እንዳያስተውሉ</w:t>
      </w:r>
      <w:r>
        <w:rPr>
          <w:rFonts w:ascii="Times New Roman" w:hAnsi="Times New Roman" w:eastAsia="Times New Roman" w:cs="Times New Roman"/>
        </w:rPr>
        <w:t xml:space="preserve"> </w:t>
      </w:r>
      <w:r>
        <w:rPr>
          <w:rFonts w:ascii="Ebrima" w:hAnsi="Ebrima" w:eastAsia="Ebrima" w:cs="Ebrima"/>
        </w:rPr>
        <w:t>ያደረገውን፣</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የሚጠናቀቀውን፣</w:t>
      </w:r>
      <w:r>
        <w:rPr>
          <w:rFonts w:ascii="Times New Roman" w:hAnsi="Times New Roman" w:eastAsia="Times New Roman" w:cs="Times New Roman"/>
        </w:rPr>
        <w:t xml:space="preserve"> </w:t>
      </w:r>
      <w:r>
        <w:rPr>
          <w:rFonts w:ascii="Ebrima" w:hAnsi="Ebrima" w:eastAsia="Ebrima" w:cs="Ebrima"/>
        </w:rPr>
        <w:t>እየጨመረ</w:t>
      </w:r>
      <w:r>
        <w:rPr>
          <w:rFonts w:ascii="Times New Roman" w:hAnsi="Times New Roman" w:eastAsia="Times New Roman" w:cs="Times New Roman"/>
        </w:rPr>
        <w:t xml:space="preserve"> </w:t>
      </w:r>
      <w:r>
        <w:rPr>
          <w:rFonts w:ascii="Ebrima" w:hAnsi="Ebrima" w:eastAsia="Ebrima" w:cs="Ebrima"/>
        </w:rPr>
        <w:t>የሚሄድ</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ጀመሩ።</w:t>
      </w:r>
    </w:p>
    <w:p>
      <w:pPr>
        <w:pStyle w:val="ArticleBody"/>
        <w:jc w:val="left"/>
      </w:pPr>
      <w:r>
        <w:rPr>
          <w:rFonts w:ascii="Times New Roman" w:hAnsi="Times New Roman" w:eastAsia="Times New Roman" w:cs="Times New Roman"/>
        </w:rPr>
        <w:t>Para el rey Ezequías, 1863 llegó cuando le fue concedida su oración para vivir. El Señor dio una señal de que su oración había sido aceptada. Dios confirmó la oración al mover el sol, y los babilonios vieron la actividad de Dios en los cielos, aunque no sabían lo que significaba. Entonces los babilonios vinieron a Jerusalén para averiguar acerca del Dios que tenía poder para controlar el sol. En lugar de glorificar al Dios del Cielo, el rey Ezequías, en vez de morir al yo, escogió glorificar su templo y su ciudad en lugar del Dios que había escogido poner Su nombre en aquel templo y en aquella ciudad.</w:t>
      </w:r>
    </w:p>
    <w:p>
      <w:pPr>
        <w:pStyle w:val="ArticleBody"/>
        <w:jc w:val="left"/>
      </w:pPr>
      <w:r>
        <w:rPr>
          <w:rFonts w:ascii="Times New Roman" w:hAnsi="Times New Roman" w:eastAsia="Times New Roman" w:cs="Times New Roman"/>
        </w:rPr>
        <w:t>Amaqwetha lawazisa isiprofeto sokuba abantwana bomlibo wakhe baya kuba ngamakhoboka namathenwa eBhabheli. Abo bantwana yayinguDaniyeli, uHananiya, uMishayeli noAzariya, yaye bamele isizukulwana sokugqibela ngokwasemoyeni saloo maSeventh-day Adventist aqonda umhla we-11 kuSeptemba, 2001 njengendawo yokuguquka kwimbali yeentlanga zehlabathi neyeBandla, xa kunikelwa ukukhanya okuza kuvavanya nokutywina ikhulu elinamashumi amane anesine amawaka.</w:t>
      </w:r>
    </w:p>
    <w:p>
      <w:pPr>
        <w:pStyle w:val="ArticleScripture"/>
        <w:jc w:val="left"/>
      </w:pP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दिननमेँ</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बेमार</w:t>
      </w:r>
      <w:r>
        <w:rPr>
          <w:rFonts w:ascii="Times New Roman" w:hAnsi="Times New Roman" w:eastAsia="Times New Roman" w:cs="Times New Roman"/>
        </w:rPr>
        <w:t xml:space="preserve"> </w:t>
      </w:r>
      <w:r>
        <w:rPr>
          <w:rFonts w:ascii="Nirmala UI" w:hAnsi="Nirmala UI" w:eastAsia="Nirmala UI" w:cs="Nirmala UI"/>
        </w:rPr>
        <w:t>भेलाह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गेलाह।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आमोजक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घरक</w:t>
      </w:r>
      <w:r>
        <w:rPr>
          <w:rFonts w:ascii="Times New Roman" w:hAnsi="Times New Roman" w:eastAsia="Times New Roman" w:cs="Times New Roman"/>
        </w:rPr>
        <w:t xml:space="preserve"> </w:t>
      </w:r>
      <w:r>
        <w:rPr>
          <w:rFonts w:ascii="Nirmala UI" w:hAnsi="Nirmala UI" w:eastAsia="Nirmala UI" w:cs="Nirmala UI"/>
        </w:rPr>
        <w:t>प्रबन्ध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लिअ</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मरब</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रहब।</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प्रभुसँ</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सत्यतामेँ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निष्कलंक</w:t>
      </w:r>
      <w:r>
        <w:rPr>
          <w:rFonts w:ascii="Times New Roman" w:hAnsi="Times New Roman" w:eastAsia="Times New Roman" w:cs="Times New Roman"/>
        </w:rPr>
        <w:t xml:space="preserve"> </w:t>
      </w:r>
      <w:r>
        <w:rPr>
          <w:rFonts w:ascii="Nirmala UI" w:hAnsi="Nirmala UI" w:eastAsia="Nirmala UI" w:cs="Nirmala UI"/>
        </w:rPr>
        <w:t>हृदयसँ</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रहलहुँ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दृष्टिमेँ</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रोइलाह।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आँगनसँ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रहथि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अगुआ</w:t>
      </w:r>
      <w:r>
        <w:rPr>
          <w:rFonts w:ascii="Times New Roman" w:hAnsi="Times New Roman" w:eastAsia="Times New Roman" w:cs="Times New Roman"/>
        </w:rPr>
        <w:t xml:space="preserve"> </w:t>
      </w:r>
      <w:r>
        <w:rPr>
          <w:rFonts w:ascii="Nirmala UI" w:hAnsi="Nirmala UI" w:eastAsia="Nirmala UI" w:cs="Nirmala UI"/>
        </w:rPr>
        <w:t>हिजकियाहसँ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दाऊदक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नोर</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भवनमेँ</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आयुमेँ</w:t>
      </w:r>
      <w:r>
        <w:rPr>
          <w:rFonts w:ascii="Times New Roman" w:hAnsi="Times New Roman" w:eastAsia="Times New Roman" w:cs="Times New Roman"/>
        </w:rPr>
        <w:t xml:space="preserve"> </w:t>
      </w:r>
      <w:r>
        <w:rPr>
          <w:rFonts w:ascii="Nirmala UI" w:hAnsi="Nirmala UI" w:eastAsia="Nirmala UI" w:cs="Nirmala UI"/>
        </w:rPr>
        <w:t>पन्द्रह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अश्शूरक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हाथसँ</w:t>
      </w:r>
      <w:r>
        <w:rPr>
          <w:rFonts w:ascii="Times New Roman" w:hAnsi="Times New Roman" w:eastAsia="Times New Roman" w:cs="Times New Roman"/>
        </w:rPr>
        <w:t xml:space="preserve"> </w:t>
      </w:r>
      <w:r>
        <w:rPr>
          <w:rFonts w:ascii="Nirmala UI" w:hAnsi="Nirmala UI" w:eastAsia="Nirmala UI" w:cs="Nirmala UI"/>
        </w:rPr>
        <w:t>बचाएब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दाऊदक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अंजीरक</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लेप</w:t>
      </w:r>
      <w:r>
        <w:rPr>
          <w:rFonts w:ascii="Times New Roman" w:hAnsi="Times New Roman" w:eastAsia="Times New Roman" w:cs="Times New Roman"/>
        </w:rPr>
        <w:t xml:space="preserve"> </w:t>
      </w:r>
      <w:r>
        <w:rPr>
          <w:rFonts w:ascii="Nirmala UI" w:hAnsi="Nirmala UI" w:eastAsia="Nirmala UI" w:cs="Nirmala UI"/>
        </w:rPr>
        <w:t>लिअ।</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फोड़ापर</w:t>
      </w:r>
      <w:r>
        <w:rPr>
          <w:rFonts w:ascii="Times New Roman" w:hAnsi="Times New Roman" w:eastAsia="Times New Roman" w:cs="Times New Roman"/>
        </w:rPr>
        <w:t xml:space="preserve"> </w:t>
      </w:r>
      <w:r>
        <w:rPr>
          <w:rFonts w:ascii="Nirmala UI" w:hAnsi="Nirmala UI" w:eastAsia="Nirmala UI" w:cs="Nirmala UI"/>
        </w:rPr>
        <w:t>रखलक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यशायाहसँ</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करताह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भवनमेँ</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ओरसँ</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बातकेँ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करताह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w:t>
      </w:r>
      <w:r>
        <w:rPr>
          <w:rFonts w:ascii="Nirmala UI" w:hAnsi="Nirmala UI" w:eastAsia="Nirmala UI" w:cs="Nirmala UI"/>
        </w:rPr>
        <w:t>छाँहक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कएलनि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अहाजक</w:t>
      </w:r>
      <w:r>
        <w:rPr>
          <w:rFonts w:ascii="Times New Roman" w:hAnsi="Times New Roman" w:eastAsia="Times New Roman" w:cs="Times New Roman"/>
        </w:rPr>
        <w:t xml:space="preserve"> </w:t>
      </w:r>
      <w:r>
        <w:rPr>
          <w:rFonts w:ascii="Nirmala UI" w:hAnsi="Nirmala UI" w:eastAsia="Nirmala UI" w:cs="Nirmala UI"/>
        </w:rPr>
        <w:t>धूपघड़ीपर</w:t>
      </w:r>
      <w:r>
        <w:rPr>
          <w:rFonts w:ascii="Times New Roman" w:hAnsi="Times New Roman" w:eastAsia="Times New Roman" w:cs="Times New Roman"/>
        </w:rPr>
        <w:t xml:space="preserve"> </w:t>
      </w:r>
      <w:r>
        <w:rPr>
          <w:rFonts w:ascii="Nirmala UI" w:hAnsi="Nirmala UI" w:eastAsia="Nirmala UI" w:cs="Nirmala UI"/>
        </w:rPr>
        <w:t>जतेक</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तकरा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घुमा</w:t>
      </w:r>
      <w:r>
        <w:rPr>
          <w:rFonts w:ascii="Times New Roman" w:hAnsi="Times New Roman" w:eastAsia="Times New Roman" w:cs="Times New Roman"/>
        </w:rPr>
        <w:t xml:space="preserve"> </w:t>
      </w:r>
      <w:r>
        <w:rPr>
          <w:rFonts w:ascii="Nirmala UI" w:hAnsi="Nirmala UI" w:eastAsia="Nirmala UI" w:cs="Nirmala UI"/>
        </w:rPr>
        <w:t>देलनि।</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बलदानक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बेरोदकबलदान</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चिट्ठी</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उपहार</w:t>
      </w:r>
      <w:r>
        <w:rPr>
          <w:rFonts w:ascii="Times New Roman" w:hAnsi="Times New Roman" w:eastAsia="Times New Roman" w:cs="Times New Roman"/>
        </w:rPr>
        <w:t xml:space="preserve"> </w:t>
      </w:r>
      <w:r>
        <w:rPr>
          <w:rFonts w:ascii="Nirmala UI" w:hAnsi="Nirmala UI" w:eastAsia="Nirmala UI" w:cs="Nirmala UI"/>
        </w:rPr>
        <w:t>पठौलनि</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बेमार</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वस्तुक</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सुगन्ध</w:t>
      </w:r>
      <w:r>
        <w:rPr>
          <w:rFonts w:ascii="Times New Roman" w:hAnsi="Times New Roman" w:eastAsia="Times New Roman" w:cs="Times New Roman"/>
        </w:rPr>
        <w:t>-</w:t>
      </w:r>
      <w:r>
        <w:rPr>
          <w:rFonts w:ascii="Nirmala UI" w:hAnsi="Nirmala UI" w:eastAsia="Nirmala UI" w:cs="Nirmala UI"/>
        </w:rPr>
        <w:t>द्रव्य</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शस्त्रागारक</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भण्डारमेँ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भेटल</w:t>
      </w:r>
      <w:r>
        <w:rPr>
          <w:rFonts w:ascii="Times New Roman" w:hAnsi="Times New Roman" w:eastAsia="Times New Roman" w:cs="Times New Roman"/>
        </w:rPr>
        <w:t>—</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घरमेँ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राज्यसीमामेँ</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किछुओ</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हिजकियाहक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लोकसभ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कहलनि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कतयसँ</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देशसँ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बाबुलसँ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पुछलथिन</w:t>
      </w:r>
      <w:r>
        <w:rPr>
          <w:rFonts w:ascii="Times New Roman" w:hAnsi="Times New Roman" w:eastAsia="Times New Roman" w:cs="Times New Roman"/>
        </w:rPr>
        <w:t>,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घरमेँ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घरमेँ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भण्डारमेँ</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किछुओ</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हिजकियाहसँ</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घरमेँ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पूर्वजसभ</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संचय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जाएल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किछुओ</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बचत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पुत्रसभमेसँ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अहाँसँ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ताहिमेसँ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राजमहलमेँ</w:t>
      </w:r>
      <w:r>
        <w:rPr>
          <w:rFonts w:ascii="Times New Roman" w:hAnsi="Times New Roman" w:eastAsia="Times New Roman" w:cs="Times New Roman"/>
        </w:rPr>
        <w:t xml:space="preserve"> </w:t>
      </w:r>
      <w:r>
        <w:rPr>
          <w:rFonts w:ascii="Nirmala UI" w:hAnsi="Nirmala UI" w:eastAsia="Nirmala UI" w:cs="Nirmala UI"/>
        </w:rPr>
        <w:t>नपुंसक</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यशायाहसँ</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कहलथिन</w:t>
      </w:r>
      <w:r>
        <w:rPr>
          <w:rFonts w:ascii="Times New Roman" w:hAnsi="Times New Roman" w:eastAsia="Times New Roman" w:cs="Times New Roman"/>
        </w:rPr>
        <w:t>,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हिजकियाहक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पोखरि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बनौलनि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नगरमेँ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आनलनि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राजासभक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लिखल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हिजकियाह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पूर्वजसभक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सुतलाह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स्थानपर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मनश्शे</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भेलाह।</w:t>
      </w:r>
      <w:r>
        <w:rPr>
          <w:rFonts w:ascii="Times New Roman" w:hAnsi="Times New Roman" w:eastAsia="Times New Roman" w:cs="Times New Roman"/>
        </w:rPr>
        <w:t xml:space="preserve"> 2 </w:t>
      </w:r>
      <w:r>
        <w:rPr>
          <w:rFonts w:ascii="Nirmala UI" w:hAnsi="Nirmala UI" w:eastAsia="Nirmala UI" w:cs="Nirmala UI"/>
        </w:rPr>
        <w:t>राजा</w:t>
      </w:r>
      <w:r>
        <w:rPr>
          <w:rFonts w:ascii="Times New Roman" w:hAnsi="Times New Roman" w:eastAsia="Times New Roman" w:cs="Times New Roman"/>
        </w:rPr>
        <w:t xml:space="preserve"> 20:1–21.</w:t>
      </w:r>
    </w:p>
    <w:p>
      <w:pPr>
        <w:pStyle w:val="ArticleBody"/>
        <w:jc w:val="left"/>
      </w:pPr>
      <w:r>
        <w:rPr>
          <w:rFonts w:ascii="Times New Roman" w:hAnsi="Times New Roman" w:eastAsia="Times New Roman" w:cs="Times New Roman"/>
        </w:rPr>
        <w:t>گیلەن ئایەت دەير:</w:t>
      </w:r>
    </w:p>
    <w:p>
      <w:pPr>
        <w:pStyle w:val="ArticleScripture"/>
        <w:jc w:val="left"/>
      </w:pPr>
      <w:r>
        <w:rPr>
          <w:rFonts w:ascii="Times New Roman" w:hAnsi="Times New Roman" w:eastAsia="Times New Roman" w:cs="Times New Roman"/>
        </w:rPr>
        <w:t>Манассе дванадцати лет был, когда воцарился, и пятьдесят пять лет царствовал в Иерусалиме. Имя матери его Хефциба. 4 Царств 21:1.</w:t>
      </w:r>
    </w:p>
    <w:p>
      <w:pPr>
        <w:pStyle w:val="ArticleBody"/>
        <w:jc w:val="left"/>
      </w:pPr>
      <w:r>
        <w:rPr>
          <w:rFonts w:ascii="Times New Roman" w:hAnsi="Times New Roman" w:eastAsia="Times New Roman" w:cs="Times New Roman"/>
        </w:rPr>
        <w:t>Ato ona’a jun bhen bi khixia pe Ezequías mbër beben Rë Ndyos, ha xiñi da’ khëts’e ndaani yit’ lo yá, ne guti xí? Bëts’a ju’un nda’kun xupë nii, ne kibi xupë una tsë, ngupaj Manasés, me ndzi. ¿Bi gu’nna pe lo 1856, pe Adventismo mbër beben bhen nduxhë de Filadelfia ta Laodicea, ha xiñi da’ khëts’e ndaani yit’, ne bi beki’ ndaa verdades fundamentales ne William Miller intactas? Naa ndakaa gu’nna guixhí ná beñi pe dá’ dixhí ndzi gu’yu xquidxhí gu’nna gucadxi’ na xquidxhí, peru ndaani diidxa’ ca gu’nna gucadxi’ ná: “Daniel propuso en su corazón no contaminarse con la porción de la comida del rey, ni con el vino que él bebía.”</w:t>
      </w:r>
    </w:p>
    <w:p>
      <w:pPr>
        <w:pStyle w:val="ArticleBody"/>
        <w:jc w:val="left"/>
      </w:pPr>
      <w:r>
        <w:rPr>
          <w:rFonts w:ascii="Times New Roman" w:hAnsi="Times New Roman" w:eastAsia="Times New Roman" w:cs="Times New Roman"/>
        </w:rPr>
        <w:t>Adan bés Daniel kapítulu únu na próximu artígulu.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Nane</dc:title>
  <dc:subject>Ur proceso</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