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ꯗꯥꯅꯤꯌꯦꯜꯒꯤ</w:t>
      </w:r>
      <w:r>
        <w:rPr>
          <w:rFonts w:ascii="Arial" w:hAnsi="Arial" w:eastAsia="Arial" w:cs="Arial"/>
        </w:rPr>
        <w:t xml:space="preserve"> </w:t>
      </w:r>
      <w:r>
        <w:rPr>
          <w:rFonts w:ascii="Nirmala UI" w:hAnsi="Nirmala UI" w:eastAsia="Nirmala UI" w:cs="Nirmala UI"/>
        </w:rPr>
        <w:t>ꯂꯥꯏꯔꯤꯛ</w:t>
      </w:r>
      <w:r>
        <w:rPr>
          <w:rFonts w:ascii="Arial" w:hAnsi="Arial" w:eastAsia="Arial" w:cs="Arial"/>
        </w:rPr>
        <w:t xml:space="preserve"> — </w:t>
      </w:r>
      <w:r>
        <w:rPr>
          <w:rFonts w:ascii="Nirmala UI" w:hAnsi="Nirmala UI" w:eastAsia="Nirmala UI" w:cs="Nirmala UI"/>
        </w:rPr>
        <w:t>ꯑꯃꯁꯨꯡ</w:t>
      </w:r>
      <w:r>
        <w:rPr>
          <w:rFonts w:ascii="Arial" w:hAnsi="Arial" w:eastAsia="Arial" w:cs="Arial"/>
        </w:rPr>
        <w:t xml:space="preserve"> </w:t>
      </w:r>
      <w:r>
        <w:rPr>
          <w:rFonts w:ascii="Nirmala UI" w:hAnsi="Nirmala UI" w:eastAsia="Nirmala UI" w:cs="Nirmala UI"/>
        </w:rPr>
        <w:t>ꯃꯥꯔꯤ</w:t>
      </w:r>
      <w:r>
        <w:rPr>
          <w:rFonts w:ascii="Arial" w:hAnsi="Arial" w:eastAsia="Arial" w:cs="Arial"/>
        </w:rPr>
        <w:t xml:space="preserve"> </w:t>
      </w:r>
      <w:r>
        <w:rPr>
          <w:rFonts w:ascii="Nirmala UI" w:hAnsi="Nirmala UI" w:eastAsia="Nirmala UI" w:cs="Nirmala UI"/>
        </w:rPr>
        <w:t>ꯃꯥꯔꯤꯂꯤꯕꯥ</w:t>
      </w:r>
      <w:r>
        <w:rPr>
          <w:rFonts w:ascii="Arial" w:hAnsi="Arial" w:eastAsia="Arial" w:cs="Arial"/>
        </w:rPr>
        <w:t xml:space="preserve"> </w:t>
      </w:r>
      <w:r>
        <w:rPr>
          <w:rFonts w:ascii="Nirmala UI" w:hAnsi="Nirmala UI" w:eastAsia="Nirmala UI" w:cs="Nirmala UI"/>
        </w:rPr>
        <w:t>ꯃꯑꯥꯡ</w:t>
      </w:r>
      <w:r>
        <w:rPr>
          <w:rFonts w:ascii="Arial" w:hAnsi="Arial" w:eastAsia="Arial" w:cs="Arial"/>
        </w:rPr>
        <w:t xml:space="preserve"> </w:t>
      </w:r>
      <w:r>
        <w:rPr>
          <w:rFonts w:ascii="Nirmala UI" w:hAnsi="Nirmala UI" w:eastAsia="Nirmala UI" w:cs="Nirmala UI"/>
        </w:rPr>
        <w:t>꯱꯰꯴</w:t>
      </w:r>
      <w:r>
        <w:rPr>
          <w:rFonts w:ascii="Arial" w:hAnsi="Arial" w:eastAsia="Arial" w:cs="Arial"/>
        </w:rPr>
        <w:t xml:space="preserve"> </w:t>
      </w:r>
      <w:r>
        <w:rPr>
          <w:rFonts w:ascii="Nirmala UI" w:hAnsi="Nirmala UI" w:eastAsia="Nirmala UI" w:cs="Nirmala UI"/>
        </w:rPr>
        <w:t>ꯔꯣꯝ</w:t>
      </w:r>
      <w:r>
        <w:rPr>
          <w:rFonts w:ascii="Arial" w:hAnsi="Arial" w:eastAsia="Arial" w:cs="Arial"/>
        </w:rPr>
        <w:t xml:space="preserve"> </w:t>
      </w:r>
      <w:r>
        <w:rPr>
          <w:rFonts w:ascii="Nirmala UI" w:hAnsi="Nirmala UI" w:eastAsia="Nirmala UI" w:cs="Nirmala UI"/>
        </w:rPr>
        <w:t>ꯃꯔꯤ</w:t>
      </w:r>
    </w:p>
    <w:p>
      <w:pPr>
        <w:pStyle w:val="ArticleSubtitle"/>
        <w:jc w:val="left"/>
      </w:pPr>
      <w:r>
        <w:rPr>
          <w:rFonts w:ascii="Gadugi" w:hAnsi="Gadugi" w:eastAsia="Gadugi" w:cs="Gadugi"/>
        </w:rPr>
        <w:t>ᎤᏓᏃᎵᏍᏔᏅ</w:t>
      </w:r>
      <w:r>
        <w:rPr>
          <w:rFonts w:ascii="Arial" w:hAnsi="Arial" w:eastAsia="Arial" w:cs="Arial"/>
        </w:rPr>
        <w:t xml:space="preserve"> </w:t>
      </w:r>
      <w:r>
        <w:rPr>
          <w:rFonts w:ascii="Gadugi" w:hAnsi="Gadugi" w:eastAsia="Gadugi" w:cs="Gadugi"/>
        </w:rPr>
        <w:t>ᎤᏙᎴᎰᏒ</w:t>
      </w:r>
      <w:r>
        <w:rPr>
          <w:rFonts w:ascii="Arial" w:hAnsi="Arial" w:eastAsia="Arial" w:cs="Arial"/>
        </w:rPr>
        <w:t xml:space="preserve"> </w:t>
      </w:r>
      <w:r>
        <w:rPr>
          <w:rFonts w:ascii="Gadugi" w:hAnsi="Gadugi" w:eastAsia="Gadugi" w:cs="Gadugi"/>
        </w:rPr>
        <w:t>ᎤᏍᏆᏂᎪᏗ</w:t>
      </w:r>
      <w:r>
        <w:rPr>
          <w:rFonts w:ascii="Arial" w:hAnsi="Arial" w:eastAsia="Arial" w:cs="Arial"/>
        </w:rPr>
        <w:t xml:space="preserve"> </w:t>
      </w:r>
      <w:r>
        <w:rPr>
          <w:rFonts w:ascii="Gadugi" w:hAnsi="Gadugi" w:eastAsia="Gadugi" w:cs="Gadugi"/>
        </w:rPr>
        <w:t>ᏗᎦᏚᎩ</w:t>
      </w:r>
      <w:r>
        <w:rPr>
          <w:rFonts w:ascii="Arial" w:hAnsi="Arial" w:eastAsia="Arial" w:cs="Arial"/>
        </w:rPr>
        <w:t xml:space="preserve"> </w:t>
      </w:r>
      <w:r>
        <w:rPr>
          <w:rFonts w:ascii="Gadugi" w:hAnsi="Gadugi" w:eastAsia="Gadugi" w:cs="Gadugi"/>
        </w:rPr>
        <w:t>ᎤᏓᏅᏙ</w:t>
      </w:r>
      <w:r>
        <w:rPr>
          <w:rFonts w:ascii="Arial" w:hAnsi="Arial" w:eastAsia="Arial" w:cs="Arial"/>
        </w:rPr>
        <w:t xml:space="preserve">: </w:t>
      </w:r>
      <w:r>
        <w:rPr>
          <w:rFonts w:ascii="Gadugi" w:hAnsi="Gadugi" w:eastAsia="Gadugi" w:cs="Gadugi"/>
        </w:rPr>
        <w:t>ᎤᏬᎵᏍᏗ</w:t>
      </w:r>
      <w:r>
        <w:rPr>
          <w:rFonts w:ascii="Arial" w:hAnsi="Arial" w:eastAsia="Arial" w:cs="Arial"/>
        </w:rPr>
        <w:t xml:space="preserve"> </w:t>
      </w:r>
      <w:r>
        <w:rPr>
          <w:rFonts w:ascii="Gadugi" w:hAnsi="Gadugi" w:eastAsia="Gadugi" w:cs="Gadugi"/>
        </w:rPr>
        <w:t>ᎠᎴ</w:t>
      </w:r>
      <w:r>
        <w:rPr>
          <w:rFonts w:ascii="Arial" w:hAnsi="Arial" w:eastAsia="Arial" w:cs="Arial"/>
        </w:rPr>
        <w:t xml:space="preserve"> </w:t>
      </w:r>
      <w:r>
        <w:rPr>
          <w:rFonts w:ascii="Gadugi" w:hAnsi="Gadugi" w:eastAsia="Gadugi" w:cs="Gadugi"/>
        </w:rPr>
        <w:t>ᎤᏙᎯᏳᎯ</w:t>
      </w:r>
      <w:r>
        <w:rPr>
          <w:rFonts w:ascii="Arial" w:hAnsi="Arial" w:eastAsia="Arial" w:cs="Arial"/>
        </w:rPr>
        <w:t xml:space="preserve"> </w:t>
      </w:r>
      <w:r>
        <w:rPr>
          <w:rFonts w:ascii="Gadugi" w:hAnsi="Gadugi" w:eastAsia="Gadugi" w:cs="Gadugi"/>
        </w:rPr>
        <w:t>ᏧᎪᎵᏰᏗ</w:t>
      </w:r>
      <w:r>
        <w:rPr>
          <w:rFonts w:ascii="Arial" w:hAnsi="Arial" w:eastAsia="Arial" w:cs="Arial"/>
        </w:rPr>
        <w:t xml:space="preserve"> </w:t>
      </w:r>
      <w:r>
        <w:rPr>
          <w:rFonts w:ascii="Gadugi" w:hAnsi="Gadugi" w:eastAsia="Gadugi" w:cs="Gadugi"/>
        </w:rPr>
        <w:t>ᎤᎾᎵᏍᏕᎸᏙᏗ</w:t>
      </w:r>
      <w:r>
        <w:rPr>
          <w:rFonts w:ascii="Arial" w:hAnsi="Arial" w:eastAsia="Arial" w:cs="Arial"/>
        </w:rPr>
        <w:t xml:space="preserve"> </w:t>
      </w:r>
      <w:r>
        <w:rPr>
          <w:rFonts w:ascii="Gadugi" w:hAnsi="Gadugi" w:eastAsia="Gadugi" w:cs="Gadugi"/>
        </w:rPr>
        <w:t>ᎤᎵᏍᏆᏛ</w:t>
      </w:r>
      <w:r>
        <w:rPr>
          <w:rFonts w:ascii="Arial" w:hAnsi="Arial" w:eastAsia="Arial" w:cs="Arial"/>
        </w:rPr>
        <w:t xml:space="preserve"> </w:t>
      </w:r>
      <w:r>
        <w:rPr>
          <w:rFonts w:ascii="Gadugi" w:hAnsi="Gadugi" w:eastAsia="Gadugi" w:cs="Gadugi"/>
        </w:rPr>
        <w:t>ᎢᎦᎵᏒᎢ</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Ñuqanchikmi churachkanchik Judá ayllumanta León riqsichisqan profétic kamachiyta, payqa Daniel chunka hukniyuq qillqapa qhepa soqtata unsealasqan llamkayninpi, “tukuy pacha”pi, 1989 watapi, maypachachus Unión Soviética chinkachisqa karqan Ronald Reaganwan Roma papawan pakasqa huñunakuy ruwasqanrayku. Ñuqanchikqa rikuchisqanchikmi Romaq kinsa kutin aplicasqankuna hinallataq Babiloniaq urmaynin warmita, paypa wichaypi sillakusqan uywata, chaymanta qhapaq kamachiq kasqanta Revelación chunka qanchisniyuqpi reqsichisqanta.</w:t>
      </w:r>
    </w:p>
    <w:p>
      <w:pPr>
        <w:pStyle w:val="ArticleBody"/>
        <w:jc w:val="left"/>
      </w:pPr>
      <w:r>
        <w:rPr>
          <w:rFonts w:ascii="Nirmala UI" w:hAnsi="Nirmala UI" w:eastAsia="Nirmala UI" w:cs="Nirmala UI"/>
        </w:rPr>
        <w:t>सत्रहवें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अठारहवें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प्रगतिशील</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मीखाएल</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मानवजाति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समयावधि</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कार्यकारी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मिश्रण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विपत्तियों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मिश्रित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अनुसन्धानात्मक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अनुसन्धानात्मक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मृतकों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जाँच</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11 </w:t>
      </w:r>
      <w:r>
        <w:rPr>
          <w:rFonts w:ascii="Nirmala UI" w:hAnsi="Nirmala UI" w:eastAsia="Nirmala UI" w:cs="Nirmala UI"/>
        </w:rPr>
        <w:t>सितम्बर</w:t>
      </w:r>
      <w:r>
        <w:rPr>
          <w:rFonts w:ascii="Times New Roman" w:hAnsi="Times New Roman" w:eastAsia="Times New Roman" w:cs="Times New Roman"/>
        </w:rPr>
        <w:t xml:space="preserve">, 2001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अनुसन्धानात्मक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p>
    <w:p>
      <w:pPr>
        <w:pStyle w:val="ArticleBody"/>
        <w:jc w:val="left"/>
      </w:pPr>
      <w:r>
        <w:rPr>
          <w:rFonts w:ascii="Times New Roman" w:hAnsi="Times New Roman" w:eastAsia="Times New Roman" w:cs="Times New Roman"/>
        </w:rPr>
        <w:t>Eejjoon warra jiraatanii akkasumas yeroo lamaatti qoodama; inni jalqabaa Fulbaana 11, 2001 irraa eegalee qorannoo fi murtii warra kuma dhibba tokkoo fi afurtamii afur keessaa ta’uuf kaadhimaman irratti geggeeffama, sababiin isaas murtiin mana Waaqayyoo irraa jalqaba. Murtiin qorannoo warra du’anii irratti raawwatame immoo warra maqaan isaanii yeroo tokko tokko jireenya isaanii keessatti kitaaba jireenyaa keessatti galmeeffamee ture qofa irratti raawwatame. Maqaan warra du’anii kan barreeffamee fi galmaa’e sana booda kitaaba cubbuutii wajjin wal bira qabamee ilaallame. Yoo cubbuu isaanii kan hin himatamin qaban ta’e, maqaan isaanii kitaaba jireenyaa keessaa haqame. Murtiin qorannoo warra Jiraatanii mana Waaqayyoo irraa akka jalqabu jechuun ibsame; yeroo murtii qorannoo warra du’anii keessatti garuu ibsa akkasii barbaachisu hin turre.</w:t>
      </w:r>
    </w:p>
    <w:p>
      <w:pPr>
        <w:pStyle w:val="ArticleBody"/>
        <w:jc w:val="left"/>
      </w:pPr>
      <w:r>
        <w:rPr>
          <w:rFonts w:ascii="Times New Roman" w:hAnsi="Times New Roman" w:eastAsia="Times New Roman" w:cs="Times New Roman"/>
        </w:rPr>
        <w:t>Жүз қырық төрт мыңның мөрлену уақыты кезінде тірілерге қатысты тергеуші сотта Құдай Сөзі бұл соттың Құдайдың қауымы болып табылатын Иерусалимде басталғанын дәл айқындап көрсетті. Киелі кітап осы ақиқатқа екінші тікелей куәлік береді.</w:t>
      </w:r>
    </w:p>
    <w:p>
      <w:pPr>
        <w:pStyle w:val="ArticleScripture"/>
        <w:jc w:val="left"/>
      </w:pPr>
      <w:r>
        <w:rPr>
          <w:rFonts w:ascii="Times New Roman" w:hAnsi="Times New Roman" w:eastAsia="Times New Roman" w:cs="Times New Roman"/>
        </w:rPr>
        <w:t>Эмгек таъриғи шуки, һөкүм Худаниң өйидә башлиниши керәк; әгәр у алди билән биздә башланса, Худаниң Инҗилигә итаәт қилмайдиғанларниң ахири қандақ болар? 1 Петрус 4:17.</w:t>
      </w:r>
    </w:p>
    <w:p>
      <w:pPr>
        <w:pStyle w:val="ArticleBody"/>
        <w:jc w:val="left"/>
      </w:pPr>
      <w:r>
        <w:rPr>
          <w:rFonts w:ascii="Times New Roman" w:hAnsi="Times New Roman" w:eastAsia="Times New Roman" w:cs="Times New Roman"/>
        </w:rPr>
        <w:t>Ahu no msɛm a wobu atenka wɔ ateasefo ho no fi ase wɔ Yerusalem, Onyankopɔn fie, na bere pɔtee bi wɔ hɔ a saa atɛnmu no fi ase. Ahu no atɛnmu a ɛfa ateasefo ho no fi ase wɔ Yerusalem bere a ɔkyerɛwfo no aduru kotoku no fa Yerusalem mu na ɔde agyiraehyɛde to mmarima ne mmea a wosi apini na wɔsu esiane akyiwade a wɔyɛ wɔ asafo no ne asase no so nti no so.</w:t>
      </w:r>
    </w:p>
    <w:p>
      <w:pPr>
        <w:pStyle w:val="ArticleBody"/>
        <w:jc w:val="left"/>
      </w:pPr>
      <w:r>
        <w:rPr>
          <w:rFonts w:ascii="Times New Roman" w:hAnsi="Times New Roman" w:eastAsia="Times New Roman" w:cs="Times New Roman"/>
        </w:rPr>
        <w:t>Klas yang indak taat ka Injil diidentifikasi dalam Wahyu pasal tujuh sabagai kontras jo saratuih ampek puluah ampek ribu, di mano Yohanes di sinan mangidentifikasi maraka sabagai kumpulan gadang. Kumpulan gadang tu malambangkan sabuah klas jiwa-jiwa nan hiduik nan dihakimi salamo masa panghakiman ateh urang-urang hiduik nan alun sabana manuruti hukum Allah, dek maraka alah manyambah pado hari matohari punyo paus. Pado hukum Minggu nan akan segera datang di Amerika Sarikat, urang-urang nan alah dimeteraikan dek malaikat nan mambao tinta panulis dalam Yehezkiel pasal sambilan, nan juo marupoan pemeteraian dalam Wahyu pasal tujuh, diangkat sabagai panji. Maka urang-urang nan kini indak taat ka Injil akan dimintai pertanggungan jawab tarhadap Sabat hari katujuah.</w:t>
      </w:r>
    </w:p>
    <w:p>
      <w:pPr>
        <w:pStyle w:val="ArticleScripture"/>
        <w:jc w:val="left"/>
      </w:pPr>
      <w:r>
        <w:rPr>
          <w:rFonts w:ascii="Times New Roman" w:hAnsi="Times New Roman" w:eastAsia="Times New Roman" w:cs="Times New Roman"/>
        </w:rPr>
        <w:t>«Бирок өткөн муундардагы жолдоочулар жекшембини сакташкан, муну менен алар Ыйык Китептеги ишембини сактап жатабыз деп ойлошкон; жана азыр да ар бир чиркөөдө, Рим-католик жамаатын да кошпогондо эмес, жекшемби Кудай тарабынан белгиленген ишемби деп чын жүрөктөн ишенген чыныгы жолдоочулар бар. Кудай алардын ниетинин чын ыкластуулугун жана Өзүнүн алдында түз жүргөндүгүн кабыл алат. Бирок жекшембини сактоо мыйзам менен мажбурлап киргизилгенде, жана дүйнөгө чыныгы ишембинин милдеттүүлүгү жөнүндө жарык берилгенде, анда ким Кудайдын буйругун бузуп, Римден жогору бийлиги жок осуятка баш ийсе, ошол аркылуу ал Кудайдан жогору папачылыкты урматтаган болот. Ал Римге жана Рим тарабынан орнотулган мекемени мажбурлап таңуулаган бийликке таазим кылып жатат. Ал жырткычка жана анын сөлөкөтүнө табынып жатат. Ошентип, адамдар Кудай Өз бийлигинин белгиси деп жарыялаган түзүлүштү четке кагып, анын ордуна Рим өзүнүн үстөмдүгүнүн эн тамгасы катары тандап алган нерсени урматтаганда, алар ошону менен Римге берилгендиктин белгисин — “жырткычтын эн тамгасын” — кабыл алышат. Жана бул маселе элдин алдына ушунчалык ачык коюлуп, алар Кудайдын осуяттары менен адамдардын осуяттарынын ортосунда тандоо кылууга алып келинмейинче, мыйзам бузуу жолунда кала бергендер “жырткычтын эн тамгасын” кабыл алышпайт». Улуу күрөш, 449.</w:t>
      </w:r>
    </w:p>
    <w:p>
      <w:pPr>
        <w:pStyle w:val="ArticleBody"/>
        <w:jc w:val="left"/>
      </w:pPr>
      <w:r>
        <w:rPr>
          <w:rFonts w:ascii="Times New Roman" w:hAnsi="Times New Roman" w:eastAsia="Times New Roman" w:cs="Times New Roman"/>
        </w:rPr>
        <w:t>Túuguláa áyigíi xúx̱wé has wududlig̱éi, yéi duwasáakw ḵa has du jeeyís du jee x̱ʼéix̱ch yáa x̱ʼéix̱ sáwé jinkaatí i g̱unéi.</w:t>
      </w:r>
    </w:p>
    <w:p>
      <w:pPr>
        <w:pStyle w:val="ArticleScripture"/>
        <w:jc w:val="left"/>
      </w:pPr>
      <w:r>
        <w:rPr>
          <w:rFonts w:ascii="Times New Roman" w:hAnsi="Times New Roman" w:eastAsia="Times New Roman" w:cs="Times New Roman"/>
        </w:rPr>
        <w:t>Awn, xopan in tonali onca se nelhuayotl de Jesé, tlen moquetzas quen se pantli para in tlacameh; campa yehhuatl quitemozqueh in Gentiles: ihuan iyan sewiya elis tlayeccanextli. Ihuan mochihuas xopan in tonali, in Tecohtli occeppa, ipan ompa, quitlalis ima ic omejpa para quimocuepilis in tlamocahua de itlacah, tlen mocahuas, desde Asiria, ihuan desde Egipto, ihuan desde Patros, ihuan desde Cus, ihuan desde Elam, ihuan desde Sinar, ihuan desde Hamat, ihuan desde in tlalmeh tlen ahmo onca tlalli ipan hueyi atl. Ihuan quetzas se pantli para in naciones, ihuan quinnechicos in tlatzacuiltilmeh de Israel, ihuan quinsentlalis in tlatlamantli xitintin de Judá desde in nahui yecnemilistli de in tlalticpac. Isaías 11:10–12.</w:t>
      </w:r>
    </w:p>
    <w:p>
      <w:pPr>
        <w:pStyle w:val="ArticleBody"/>
        <w:jc w:val="left"/>
      </w:pPr>
      <w:r>
        <w:rPr>
          <w:rFonts w:ascii="Times New Roman" w:hAnsi="Times New Roman" w:eastAsia="Times New Roman" w:cs="Times New Roman"/>
        </w:rPr>
        <w:t>Awo mprempren yi wɔ wɔn asetena mu na wɔbu wɔn atɛn, na wonni asɛmpa no so; nanso ɛsɛ sɛ wɔn atɛn di akyi wɔ wɔn a wɔte ase no apɛsɛmu atɛn a wɔde bu ɔha ne aduanan anan pempem no, efisɛ wobetumi abɔ wɔn kɔkɔ de, sɛ wohu mmarima ne mmea a Onyankopɔn nsɔano da wɔn so wɔ ɔhaw a ɛbɛn no mu, bere a Kwasida mmara a ɛreba ntɛm no besi.</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လောကအား</w:t>
      </w:r>
      <w:r>
        <w:rPr>
          <w:rFonts w:ascii="Times New Roman" w:hAnsi="Times New Roman" w:eastAsia="Times New Roman" w:cs="Times New Roman"/>
        </w:rPr>
        <w:t xml:space="preserve"> </w:t>
      </w:r>
      <w:r>
        <w:rPr>
          <w:rFonts w:ascii="Myanmar Text" w:hAnsi="Myanmar Text" w:eastAsia="Myanmar Text" w:cs="Myanmar Text"/>
        </w:rPr>
        <w:t>အပြစ်အကြောင်း၊</w:t>
      </w:r>
      <w:r>
        <w:rPr>
          <w:rFonts w:ascii="Times New Roman" w:hAnsi="Times New Roman" w:eastAsia="Times New Roman" w:cs="Times New Roman"/>
        </w:rPr>
        <w:t xml:space="preserve"> </w:t>
      </w:r>
      <w:r>
        <w:rPr>
          <w:rFonts w:ascii="Myanmar Text" w:hAnsi="Myanmar Text" w:eastAsia="Myanmar Text" w:cs="Myanmar Text"/>
        </w:rPr>
        <w:t>ဖြောင့်မတ်ခြင်းအကြောင်းနှင့်</w:t>
      </w:r>
      <w:r>
        <w:rPr>
          <w:rFonts w:ascii="Times New Roman" w:hAnsi="Times New Roman" w:eastAsia="Times New Roman" w:cs="Times New Roman"/>
        </w:rPr>
        <w:t xml:space="preserve"> </w:t>
      </w:r>
      <w:r>
        <w:rPr>
          <w:rFonts w:ascii="Myanmar Text" w:hAnsi="Myanmar Text" w:eastAsia="Myanmar Text" w:cs="Myanmar Text"/>
        </w:rPr>
        <w:t>တရားစီရင်ခြင်းအကြောင်းတို့၌</w:t>
      </w:r>
      <w:r>
        <w:rPr>
          <w:rFonts w:ascii="Times New Roman" w:hAnsi="Times New Roman" w:eastAsia="Times New Roman" w:cs="Times New Roman"/>
        </w:rPr>
        <w:t xml:space="preserve"> </w:t>
      </w:r>
      <w:r>
        <w:rPr>
          <w:rFonts w:ascii="Myanmar Text" w:hAnsi="Myanmar Text" w:eastAsia="Myanmar Text" w:cs="Myanmar Text"/>
        </w:rPr>
        <w:t>ယုံကြည်လက်ခံစေခြင်းသည်</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အမှုဖြစ်သည်။</w:t>
      </w:r>
      <w:r>
        <w:rPr>
          <w:rFonts w:ascii="Times New Roman" w:hAnsi="Times New Roman" w:eastAsia="Times New Roman" w:cs="Times New Roman"/>
        </w:rPr>
        <w:t xml:space="preserve"> </w:t>
      </w:r>
      <w:r>
        <w:rPr>
          <w:rFonts w:ascii="Myanmar Text" w:hAnsi="Myanmar Text" w:eastAsia="Myanmar Text" w:cs="Myanmar Text"/>
        </w:rPr>
        <w:t>သမ္မာတရားကို</w:t>
      </w:r>
      <w:r>
        <w:rPr>
          <w:rFonts w:ascii="Times New Roman" w:hAnsi="Times New Roman" w:eastAsia="Times New Roman" w:cs="Times New Roman"/>
        </w:rPr>
        <w:t xml:space="preserve"> </w:t>
      </w:r>
      <w:r>
        <w:rPr>
          <w:rFonts w:ascii="Myanmar Text" w:hAnsi="Myanmar Text" w:eastAsia="Myanmar Text" w:cs="Myanmar Text"/>
        </w:rPr>
        <w:t>ယုံကြည်သောသူတို့သည်</w:t>
      </w:r>
      <w:r>
        <w:rPr>
          <w:rFonts w:ascii="Times New Roman" w:hAnsi="Times New Roman" w:eastAsia="Times New Roman" w:cs="Times New Roman"/>
        </w:rPr>
        <w:t xml:space="preserve"> </w:t>
      </w:r>
      <w:r>
        <w:rPr>
          <w:rFonts w:ascii="Myanmar Text" w:hAnsi="Myanmar Text" w:eastAsia="Myanmar Text" w:cs="Myanmar Text"/>
        </w:rPr>
        <w:t>သမ္မာတရားအားဖြင့်</w:t>
      </w:r>
      <w:r>
        <w:rPr>
          <w:rFonts w:ascii="Times New Roman" w:hAnsi="Times New Roman" w:eastAsia="Times New Roman" w:cs="Times New Roman"/>
        </w:rPr>
        <w:t xml:space="preserve"> </w:t>
      </w:r>
      <w:r>
        <w:rPr>
          <w:rFonts w:ascii="Myanmar Text" w:hAnsi="Myanmar Text" w:eastAsia="Myanmar Text" w:cs="Myanmar Text"/>
        </w:rPr>
        <w:t>သန့်ရှင်းစင်ကြယ်ခြင်းခံရလျက်၊</w:t>
      </w:r>
      <w:r>
        <w:rPr>
          <w:rFonts w:ascii="Times New Roman" w:hAnsi="Times New Roman" w:eastAsia="Times New Roman" w:cs="Times New Roman"/>
        </w:rPr>
        <w:t xml:space="preserve"> </w:t>
      </w:r>
      <w:r>
        <w:rPr>
          <w:rFonts w:ascii="Myanmar Text" w:hAnsi="Myanmar Text" w:eastAsia="Myanmar Text" w:cs="Myanmar Text"/>
        </w:rPr>
        <w:t>မြင့်မြတ်၍</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မူဝါဒများအပေါ်</w:t>
      </w:r>
      <w:r>
        <w:rPr>
          <w:rFonts w:ascii="Times New Roman" w:hAnsi="Times New Roman" w:eastAsia="Times New Roman" w:cs="Times New Roman"/>
        </w:rPr>
        <w:t xml:space="preserve"> </w:t>
      </w:r>
      <w:r>
        <w:rPr>
          <w:rFonts w:ascii="Myanmar Text" w:hAnsi="Myanmar Text" w:eastAsia="Myanmar Text" w:cs="Myanmar Text"/>
        </w:rPr>
        <w:t>အခြေပြု၍</w:t>
      </w:r>
      <w:r>
        <w:rPr>
          <w:rFonts w:ascii="Times New Roman" w:hAnsi="Times New Roman" w:eastAsia="Times New Roman" w:cs="Times New Roman"/>
        </w:rPr>
        <w:t xml:space="preserve"> </w:t>
      </w:r>
      <w:r>
        <w:rPr>
          <w:rFonts w:ascii="Myanmar Text" w:hAnsi="Myanmar Text" w:eastAsia="Myanmar Text" w:cs="Myanmar Text"/>
        </w:rPr>
        <w:t>အသက်ရှင်ကာ၊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ပညတ်တော်တို့ကို</w:t>
      </w:r>
      <w:r>
        <w:rPr>
          <w:rFonts w:ascii="Times New Roman" w:hAnsi="Times New Roman" w:eastAsia="Times New Roman" w:cs="Times New Roman"/>
        </w:rPr>
        <w:t xml:space="preserve"> </w:t>
      </w:r>
      <w:r>
        <w:rPr>
          <w:rFonts w:ascii="Myanmar Text" w:hAnsi="Myanmar Text" w:eastAsia="Myanmar Text" w:cs="Myanmar Text"/>
        </w:rPr>
        <w:t>စောင့်ထိန်းသောသူတို့နှင့်</w:t>
      </w:r>
      <w:r>
        <w:rPr>
          <w:rFonts w:ascii="Times New Roman" w:hAnsi="Times New Roman" w:eastAsia="Times New Roman" w:cs="Times New Roman"/>
        </w:rPr>
        <w:t xml:space="preserve"> </w:t>
      </w:r>
      <w:r>
        <w:rPr>
          <w:rFonts w:ascii="Myanmar Text" w:hAnsi="Myanmar Text" w:eastAsia="Myanmar Text" w:cs="Myanmar Text"/>
        </w:rPr>
        <w:t>၎င်းတို့ကို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ခြေဖဝါးအောက်၌</w:t>
      </w:r>
      <w:r>
        <w:rPr>
          <w:rFonts w:ascii="Times New Roman" w:hAnsi="Times New Roman" w:eastAsia="Times New Roman" w:cs="Times New Roman"/>
        </w:rPr>
        <w:t xml:space="preserve"> </w:t>
      </w:r>
      <w:r>
        <w:rPr>
          <w:rFonts w:ascii="Myanmar Text" w:hAnsi="Myanmar Text" w:eastAsia="Myanmar Text" w:cs="Myanmar Text"/>
        </w:rPr>
        <w:t>နင်းချေသောသူတို့</w:t>
      </w:r>
      <w:r>
        <w:rPr>
          <w:rFonts w:ascii="Times New Roman" w:hAnsi="Times New Roman" w:eastAsia="Times New Roman" w:cs="Times New Roman"/>
        </w:rPr>
        <w:t xml:space="preserve"> </w:t>
      </w:r>
      <w:r>
        <w:rPr>
          <w:rFonts w:ascii="Myanmar Text" w:hAnsi="Myanmar Text" w:eastAsia="Myanmar Text" w:cs="Myanmar Text"/>
        </w:rPr>
        <w:t>အကြားရှိ</w:t>
      </w:r>
      <w:r>
        <w:rPr>
          <w:rFonts w:ascii="Times New Roman" w:hAnsi="Times New Roman" w:eastAsia="Times New Roman" w:cs="Times New Roman"/>
        </w:rPr>
        <w:t xml:space="preserve"> </w:t>
      </w:r>
      <w:r>
        <w:rPr>
          <w:rFonts w:ascii="Myanmar Text" w:hAnsi="Myanmar Text" w:eastAsia="Myanmar Text" w:cs="Myanmar Text"/>
        </w:rPr>
        <w:t>ခြားနားသတ်မှတ်ရာမျဉ်းကို</w:t>
      </w:r>
      <w:r>
        <w:rPr>
          <w:rFonts w:ascii="Times New Roman" w:hAnsi="Times New Roman" w:eastAsia="Times New Roman" w:cs="Times New Roman"/>
        </w:rPr>
        <w:t xml:space="preserve"> </w:t>
      </w:r>
      <w:r>
        <w:rPr>
          <w:rFonts w:ascii="Myanmar Text" w:hAnsi="Myanmar Text" w:eastAsia="Myanmar Text" w:cs="Myanmar Text"/>
        </w:rPr>
        <w:t>မြင့်မား၍</w:t>
      </w:r>
      <w:r>
        <w:rPr>
          <w:rFonts w:ascii="Times New Roman" w:hAnsi="Times New Roman" w:eastAsia="Times New Roman" w:cs="Times New Roman"/>
        </w:rPr>
        <w:t xml:space="preserve"> </w:t>
      </w:r>
      <w:r>
        <w:rPr>
          <w:rFonts w:ascii="Myanmar Text" w:hAnsi="Myanmar Text" w:eastAsia="Myanmar Text" w:cs="Myanmar Text"/>
        </w:rPr>
        <w:t>ဂုဏ်သိက္ခာရှိသော</w:t>
      </w:r>
      <w:r>
        <w:rPr>
          <w:rFonts w:ascii="Times New Roman" w:hAnsi="Times New Roman" w:eastAsia="Times New Roman" w:cs="Times New Roman"/>
        </w:rPr>
        <w:t xml:space="preserve"> </w:t>
      </w:r>
      <w:r>
        <w:rPr>
          <w:rFonts w:ascii="Myanmar Text" w:hAnsi="Myanmar Text" w:eastAsia="Myanmar Text" w:cs="Myanmar Text"/>
        </w:rPr>
        <w:t>အဓိပ္ပာယ်ဖြင့်</w:t>
      </w:r>
      <w:r>
        <w:rPr>
          <w:rFonts w:ascii="Times New Roman" w:hAnsi="Times New Roman" w:eastAsia="Times New Roman" w:cs="Times New Roman"/>
        </w:rPr>
        <w:t xml:space="preserve"> </w:t>
      </w:r>
      <w:r>
        <w:rPr>
          <w:rFonts w:ascii="Myanmar Text" w:hAnsi="Myanmar Text" w:eastAsia="Myanmar Text" w:cs="Myanmar Text"/>
        </w:rPr>
        <w:t>ဖော်ပြပြသရာတွင်သာ</w:t>
      </w:r>
      <w:r>
        <w:rPr>
          <w:rFonts w:ascii="Times New Roman" w:hAnsi="Times New Roman" w:eastAsia="Times New Roman" w:cs="Times New Roman"/>
        </w:rPr>
        <w:t xml:space="preserve"> </w:t>
      </w:r>
      <w:r>
        <w:rPr>
          <w:rFonts w:ascii="Myanmar Text" w:hAnsi="Myanmar Text" w:eastAsia="Myanmar Text" w:cs="Myanmar Text"/>
        </w:rPr>
        <w:t>လောကသည်</w:t>
      </w:r>
      <w:r>
        <w:rPr>
          <w:rFonts w:ascii="Times New Roman" w:hAnsi="Times New Roman" w:eastAsia="Times New Roman" w:cs="Times New Roman"/>
        </w:rPr>
        <w:t xml:space="preserve"> </w:t>
      </w:r>
      <w:r>
        <w:rPr>
          <w:rFonts w:ascii="Myanmar Text" w:hAnsi="Myanmar Text" w:eastAsia="Myanmar Text" w:cs="Myanmar Text"/>
        </w:rPr>
        <w:t>သတိပေးခံနိုင်သည်။</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သန့်ရှင်းစေခြင်းသည်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တံဆိပ်တော်ကို</w:t>
      </w:r>
      <w:r>
        <w:rPr>
          <w:rFonts w:ascii="Times New Roman" w:hAnsi="Times New Roman" w:eastAsia="Times New Roman" w:cs="Times New Roman"/>
        </w:rPr>
        <w:t xml:space="preserve"> </w:t>
      </w:r>
      <w:r>
        <w:rPr>
          <w:rFonts w:ascii="Myanmar Text" w:hAnsi="Myanmar Text" w:eastAsia="Myanmar Text" w:cs="Myanmar Text"/>
        </w:rPr>
        <w:t>ကိုင်ဆောင်သောသူတို့နှင့်</w:t>
      </w:r>
      <w:r>
        <w:rPr>
          <w:rFonts w:ascii="Times New Roman" w:hAnsi="Times New Roman" w:eastAsia="Times New Roman" w:cs="Times New Roman"/>
        </w:rPr>
        <w:t xml:space="preserve"> </w:t>
      </w:r>
      <w:r>
        <w:rPr>
          <w:rFonts w:ascii="Myanmar Text" w:hAnsi="Myanmar Text" w:eastAsia="Myanmar Text" w:cs="Myanmar Text"/>
        </w:rPr>
        <w:t>အတုအယောင်</w:t>
      </w:r>
      <w:r>
        <w:rPr>
          <w:rFonts w:ascii="Times New Roman" w:hAnsi="Times New Roman" w:eastAsia="Times New Roman" w:cs="Times New Roman"/>
        </w:rPr>
        <w:t xml:space="preserve"> </w:t>
      </w:r>
      <w:r>
        <w:rPr>
          <w:rFonts w:ascii="Myanmar Text" w:hAnsi="Myanmar Text" w:eastAsia="Myanmar Text" w:cs="Myanmar Text"/>
        </w:rPr>
        <w:t>အနားယူရာနေ့ကို</w:t>
      </w:r>
      <w:r>
        <w:rPr>
          <w:rFonts w:ascii="Times New Roman" w:hAnsi="Times New Roman" w:eastAsia="Times New Roman" w:cs="Times New Roman"/>
        </w:rPr>
        <w:t xml:space="preserve"> </w:t>
      </w:r>
      <w:r>
        <w:rPr>
          <w:rFonts w:ascii="Myanmar Text" w:hAnsi="Myanmar Text" w:eastAsia="Myanmar Text" w:cs="Myanmar Text"/>
        </w:rPr>
        <w:t>စောင့်ထိန်းသောသူတို့</w:t>
      </w:r>
      <w:r>
        <w:rPr>
          <w:rFonts w:ascii="Times New Roman" w:hAnsi="Times New Roman" w:eastAsia="Times New Roman" w:cs="Times New Roman"/>
        </w:rPr>
        <w:t xml:space="preserve"> </w:t>
      </w:r>
      <w:r>
        <w:rPr>
          <w:rFonts w:ascii="Myanmar Text" w:hAnsi="Myanmar Text" w:eastAsia="Myanmar Text" w:cs="Myanmar Text"/>
        </w:rPr>
        <w:t>အကြားရှိ</w:t>
      </w:r>
      <w:r>
        <w:rPr>
          <w:rFonts w:ascii="Times New Roman" w:hAnsi="Times New Roman" w:eastAsia="Times New Roman" w:cs="Times New Roman"/>
        </w:rPr>
        <w:t xml:space="preserve"> </w:t>
      </w:r>
      <w:r>
        <w:rPr>
          <w:rFonts w:ascii="Myanmar Text" w:hAnsi="Myanmar Text" w:eastAsia="Myanmar Text" w:cs="Myanmar Text"/>
        </w:rPr>
        <w:t>ကွာခြားချက်ကို</w:t>
      </w:r>
      <w:r>
        <w:rPr>
          <w:rFonts w:ascii="Times New Roman" w:hAnsi="Times New Roman" w:eastAsia="Times New Roman" w:cs="Times New Roman"/>
        </w:rPr>
        <w:t xml:space="preserve"> </w:t>
      </w:r>
      <w:r>
        <w:rPr>
          <w:rFonts w:ascii="Myanmar Text" w:hAnsi="Myanmar Text" w:eastAsia="Myanmar Text" w:cs="Myanmar Text"/>
        </w:rPr>
        <w:t>ထင်ရှားစေသည်။</w:t>
      </w:r>
      <w:r>
        <w:rPr>
          <w:rFonts w:ascii="Times New Roman" w:hAnsi="Times New Roman" w:eastAsia="Times New Roman" w:cs="Times New Roman"/>
        </w:rPr>
        <w:t xml:space="preserve"> </w:t>
      </w:r>
      <w:r>
        <w:rPr>
          <w:rFonts w:ascii="Myanmar Text" w:hAnsi="Myanmar Text" w:eastAsia="Myanmar Text" w:cs="Myanmar Text"/>
        </w:rPr>
        <w:t>စမ်းသပ်ခြင်းရောက်လာသောအခါ၊</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အမှတ်တံဆိပ်သည်</w:t>
      </w:r>
      <w:r>
        <w:rPr>
          <w:rFonts w:ascii="Times New Roman" w:hAnsi="Times New Roman" w:eastAsia="Times New Roman" w:cs="Times New Roman"/>
        </w:rPr>
        <w:t xml:space="preserve"> </w:t>
      </w:r>
      <w:r>
        <w:rPr>
          <w:rFonts w:ascii="Myanmar Text" w:hAnsi="Myanmar Text" w:eastAsia="Myanmar Text" w:cs="Myanmar Text"/>
        </w:rPr>
        <w:t>အဘယ်အရာဖြစ်သည်ကို</w:t>
      </w:r>
      <w:r>
        <w:rPr>
          <w:rFonts w:ascii="Times New Roman" w:hAnsi="Times New Roman" w:eastAsia="Times New Roman" w:cs="Times New Roman"/>
        </w:rPr>
        <w:t xml:space="preserve"> </w:t>
      </w:r>
      <w:r>
        <w:rPr>
          <w:rFonts w:ascii="Myanmar Text" w:hAnsi="Myanmar Text" w:eastAsia="Myanmar Text" w:cs="Myanmar Text"/>
        </w:rPr>
        <w:t>ထင်ထင်ရှားရှား</w:t>
      </w:r>
      <w:r>
        <w:rPr>
          <w:rFonts w:ascii="Times New Roman" w:hAnsi="Times New Roman" w:eastAsia="Times New Roman" w:cs="Times New Roman"/>
        </w:rPr>
        <w:t xml:space="preserve"> </w:t>
      </w:r>
      <w:r>
        <w:rPr>
          <w:rFonts w:ascii="Myanmar Text" w:hAnsi="Myanmar Text" w:eastAsia="Myanmar Text" w:cs="Myanmar Text"/>
        </w:rPr>
        <w:t>ဖော်ပြခံရမည်။</w:t>
      </w:r>
      <w:r>
        <w:rPr>
          <w:rFonts w:ascii="Times New Roman" w:hAnsi="Times New Roman" w:eastAsia="Times New Roman" w:cs="Times New Roman"/>
        </w:rPr>
        <w:t xml:space="preserve"> </w:t>
      </w:r>
      <w:r>
        <w:rPr>
          <w:rFonts w:ascii="Myanmar Text" w:hAnsi="Myanmar Text" w:eastAsia="Myanmar Text" w:cs="Myanmar Text"/>
        </w:rPr>
        <w:t>၎င်းမှာ</w:t>
      </w:r>
      <w:r>
        <w:rPr>
          <w:rFonts w:ascii="Times New Roman" w:hAnsi="Times New Roman" w:eastAsia="Times New Roman" w:cs="Times New Roman"/>
        </w:rPr>
        <w:t xml:space="preserve"> </w:t>
      </w:r>
      <w:r>
        <w:rPr>
          <w:rFonts w:ascii="Myanmar Text" w:hAnsi="Myanmar Text" w:eastAsia="Myanmar Text" w:cs="Myanmar Text"/>
        </w:rPr>
        <w:t>တနင်္ဂနွေနေ့ကို</w:t>
      </w:r>
      <w:r>
        <w:rPr>
          <w:rFonts w:ascii="Times New Roman" w:hAnsi="Times New Roman" w:eastAsia="Times New Roman" w:cs="Times New Roman"/>
        </w:rPr>
        <w:t xml:space="preserve"> </w:t>
      </w:r>
      <w:r>
        <w:rPr>
          <w:rFonts w:ascii="Myanmar Text" w:hAnsi="Myanmar Text" w:eastAsia="Myanmar Text" w:cs="Myanmar Text"/>
        </w:rPr>
        <w:t>စောင့်ထိန်းခြင်းပင်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သမ္မာတရားကို</w:t>
      </w:r>
      <w:r>
        <w:rPr>
          <w:rFonts w:ascii="Times New Roman" w:hAnsi="Times New Roman" w:eastAsia="Times New Roman" w:cs="Times New Roman"/>
        </w:rPr>
        <w:t xml:space="preserve"> </w:t>
      </w:r>
      <w:r>
        <w:rPr>
          <w:rFonts w:ascii="Myanmar Text" w:hAnsi="Myanmar Text" w:eastAsia="Myanmar Text" w:cs="Myanmar Text"/>
        </w:rPr>
        <w:t>ကြားနာပြီးနောက်၌ပင်</w:t>
      </w:r>
      <w:r>
        <w:rPr>
          <w:rFonts w:ascii="Times New Roman" w:hAnsi="Times New Roman" w:eastAsia="Times New Roman" w:cs="Times New Roman"/>
        </w:rPr>
        <w:t xml:space="preserve"> </w:t>
      </w:r>
      <w:r>
        <w:rPr>
          <w:rFonts w:ascii="Myanmar Text" w:hAnsi="Myanmar Text" w:eastAsia="Myanmar Text" w:cs="Myanmar Text"/>
        </w:rPr>
        <w:t>ဤနေ့ကို</w:t>
      </w:r>
      <w:r>
        <w:rPr>
          <w:rFonts w:ascii="Times New Roman" w:hAnsi="Times New Roman" w:eastAsia="Times New Roman" w:cs="Times New Roman"/>
        </w:rPr>
        <w:t xml:space="preserve"> </w:t>
      </w:r>
      <w:r>
        <w:rPr>
          <w:rFonts w:ascii="Myanmar Text" w:hAnsi="Myanmar Text" w:eastAsia="Myanmar Text" w:cs="Myanmar Text"/>
        </w:rPr>
        <w:t>သန့်ရှင်းသောနေ့အဖြစ်</w:t>
      </w:r>
      <w:r>
        <w:rPr>
          <w:rFonts w:ascii="Times New Roman" w:hAnsi="Times New Roman" w:eastAsia="Times New Roman" w:cs="Times New Roman"/>
        </w:rPr>
        <w:t xml:space="preserve"> </w:t>
      </w:r>
      <w:r>
        <w:rPr>
          <w:rFonts w:ascii="Myanmar Text" w:hAnsi="Myanmar Text" w:eastAsia="Myanmar Text" w:cs="Myanmar Text"/>
        </w:rPr>
        <w:t>ဆက်လက်မှတ်ယူသောသူတို့သည်</w:t>
      </w:r>
      <w:r>
        <w:rPr>
          <w:rFonts w:ascii="Times New Roman" w:hAnsi="Times New Roman" w:eastAsia="Times New Roman" w:cs="Times New Roman"/>
        </w:rPr>
        <w:t xml:space="preserve"> </w:t>
      </w:r>
      <w:r>
        <w:rPr>
          <w:rFonts w:ascii="Myanmar Text" w:hAnsi="Myanmar Text" w:eastAsia="Myanmar Text" w:cs="Myanmar Text"/>
        </w:rPr>
        <w:t>ကာလများနှင့်</w:t>
      </w:r>
      <w:r>
        <w:rPr>
          <w:rFonts w:ascii="Times New Roman" w:hAnsi="Times New Roman" w:eastAsia="Times New Roman" w:cs="Times New Roman"/>
        </w:rPr>
        <w:t xml:space="preserve"> </w:t>
      </w:r>
      <w:r>
        <w:rPr>
          <w:rFonts w:ascii="Myanmar Text" w:hAnsi="Myanmar Text" w:eastAsia="Myanmar Text" w:cs="Myanmar Text"/>
        </w:rPr>
        <w:t>ပညတ်များကို</w:t>
      </w:r>
      <w:r>
        <w:rPr>
          <w:rFonts w:ascii="Times New Roman" w:hAnsi="Times New Roman" w:eastAsia="Times New Roman" w:cs="Times New Roman"/>
        </w:rPr>
        <w:t xml:space="preserve"> </w:t>
      </w:r>
      <w:r>
        <w:rPr>
          <w:rFonts w:ascii="Myanmar Text" w:hAnsi="Myanmar Text" w:eastAsia="Myanmar Text" w:cs="Myanmar Text"/>
        </w:rPr>
        <w:t>ပြောင်းလဲရန်</w:t>
      </w:r>
      <w:r>
        <w:rPr>
          <w:rFonts w:ascii="Times New Roman" w:hAnsi="Times New Roman" w:eastAsia="Times New Roman" w:cs="Times New Roman"/>
        </w:rPr>
        <w:t xml:space="preserve"> </w:t>
      </w:r>
      <w:r>
        <w:rPr>
          <w:rFonts w:ascii="Myanmar Text" w:hAnsi="Myanmar Text" w:eastAsia="Myanmar Text" w:cs="Myanmar Text"/>
        </w:rPr>
        <w:t>စိတ်ကူးခဲ့သော</w:t>
      </w:r>
      <w:r>
        <w:rPr>
          <w:rFonts w:ascii="Times New Roman" w:hAnsi="Times New Roman" w:eastAsia="Times New Roman" w:cs="Times New Roman"/>
        </w:rPr>
        <w:t xml:space="preserve"> </w:t>
      </w:r>
      <w:r>
        <w:rPr>
          <w:rFonts w:ascii="Myanmar Text" w:hAnsi="Myanmar Text" w:eastAsia="Myanmar Text" w:cs="Myanmar Text"/>
        </w:rPr>
        <w:t>အပြစ်၏</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လက်မှတ်ကို</w:t>
      </w:r>
      <w:r>
        <w:rPr>
          <w:rFonts w:ascii="Times New Roman" w:hAnsi="Times New Roman" w:eastAsia="Times New Roman" w:cs="Times New Roman"/>
        </w:rPr>
        <w:t xml:space="preserve"> </w:t>
      </w:r>
      <w:r>
        <w:rPr>
          <w:rFonts w:ascii="Myanmar Text" w:hAnsi="Myanmar Text" w:eastAsia="Myanmar Text" w:cs="Myanmar Text"/>
        </w:rPr>
        <w:t>ဆောင်ကြသည်။</w:t>
      </w:r>
      <w:r>
        <w:rPr>
          <w:rFonts w:ascii="Times New Roman" w:hAnsi="Times New Roman" w:eastAsia="Times New Roman" w:cs="Times New Roman"/>
        </w:rPr>
        <w:t>” Bible Training School, December 1, 1903.</w:t>
      </w:r>
    </w:p>
    <w:p>
      <w:pPr>
        <w:pStyle w:val="ArticleBody"/>
        <w:jc w:val="left"/>
      </w:pPr>
      <w:r>
        <w:rPr>
          <w:rFonts w:ascii="Times New Roman" w:hAnsi="Times New Roman" w:eastAsia="Times New Roman" w:cs="Times New Roman"/>
        </w:rPr>
        <w:t>Paghukom nga tagpaganap, nga mao ang dapit diin matuman ang buluhaton sa ikatulong Elias, magsugod sa hapit na moabot nga balaod sa Domingo. Kini duha ka yugto sa panahon; sa nahaunang yugto ang mga paghukom sa Dios sinagolan pa sa kalooy alang niadtong wala karon motuman sa ebanghelyo, ug unya kini sundan sa pito ka katapusang mga hampak nga igabubo nga walay kalooy.</w:t>
      </w:r>
    </w:p>
    <w:p>
      <w:pPr>
        <w:pStyle w:val="ArticleScripture"/>
        <w:jc w:val="left"/>
      </w:pPr>
      <w:r>
        <w:rPr>
          <w:rFonts w:ascii="Times New Roman" w:hAnsi="Times New Roman" w:eastAsia="Times New Roman" w:cs="Times New Roman"/>
        </w:rPr>
        <w:t>"Вақти имтиҳонӣ дигар бисёр давом нахоҳад кард. Ҳоло Худо дасти боздорандаи Худро аз замин пас мегирад. Ӯ муддати дароз ба мардону занон ба воситаи амали Рӯҳи Муқаддаси Худ сухан гуфтааст; аммо онҳо ба ин даъват гӯш надоданд. Акнун Ӯ ба қавми Худ ва ба ҷаҳон ба воситаи довариҳои Худ сухан мегӯяд. Замони ин довариҳо замони раҳмат аст барои онҳое ки ҳанӯз имконияте надоштаанд, то бидонанд ҳақиқат чист. Худованд бо меҳрубонӣ ба онҳо назар хоҳад кард. Дили пур аз раҳмати Ӯ ба шӯр омадааст; дасти Ӯ ҳанӯз ҳам барои наҷот додан дароз аст. Теъдоди зиёде ба оғили амният пазируфта хоҳанд шуд, ки дар ин рӯзҳои охир ҳақиқатро бори аввал хоҳанд шунид." Review and Herald, November 22, 1906.</w:t>
      </w:r>
    </w:p>
    <w:p>
      <w:pPr>
        <w:pStyle w:val="ArticleBody"/>
        <w:jc w:val="left"/>
      </w:pPr>
      <w:r>
        <w:rPr>
          <w:rFonts w:ascii="Times New Roman" w:hAnsi="Times New Roman" w:eastAsia="Times New Roman" w:cs="Times New Roman"/>
        </w:rPr>
        <w:t>Kay janal ya ituson tu Ebanghelyo ket isu ti “dadduma nga karnero” a inkari ni Jesus a awaganna, ket denggennanto ti Timekna inton awaganna ida.</w:t>
      </w:r>
    </w:p>
    <w:p>
      <w:pPr>
        <w:pStyle w:val="ArticleScripture"/>
        <w:jc w:val="left"/>
      </w:pPr>
      <w:r>
        <w:rPr>
          <w:rFonts w:ascii="Times New Roman" w:hAnsi="Times New Roman" w:eastAsia="Times New Roman" w:cs="Times New Roman"/>
        </w:rPr>
        <w:t>“Arawhir oveja kunaqa kanku, kay qutupi mana kaqkuna; chaykunatapas apamunaymi tiyan, paykunapas rimaynuyta uyarinqaku; hinaspan huk qutu, huk michiqlla kanqa.” Juan 10:16.</w:t>
      </w:r>
    </w:p>
    <w:p>
      <w:pPr>
        <w:pStyle w:val="ArticleBody"/>
        <w:jc w:val="left"/>
      </w:pPr>
      <w:r>
        <w:rPr>
          <w:rFonts w:ascii="Javanese Text" w:hAnsi="Javanese Text" w:eastAsia="Javanese Text" w:cs="Javanese Text"/>
        </w:rPr>
        <w:t>꧋ꦱꦭꦶꦂ</w:t>
      </w:r>
      <w:r>
        <w:rPr>
          <w:rFonts w:ascii="Times New Roman" w:hAnsi="Times New Roman" w:eastAsia="Times New Roman" w:cs="Times New Roman"/>
        </w:rPr>
        <w:t xml:space="preserve"> “</w:t>
      </w:r>
      <w:r>
        <w:rPr>
          <w:rFonts w:ascii="Javanese Text" w:hAnsi="Javanese Text" w:eastAsia="Javanese Text" w:cs="Javanese Text"/>
        </w:rPr>
        <w:t>ꦱꦮꦫ</w:t>
      </w:r>
      <w:r>
        <w:rPr>
          <w:rFonts w:ascii="Times New Roman" w:hAnsi="Times New Roman" w:eastAsia="Times New Roman" w:cs="Times New Roman"/>
        </w:rPr>
        <w:t xml:space="preserve">” </w:t>
      </w:r>
      <w:r>
        <w:rPr>
          <w:rFonts w:ascii="Javanese Text" w:hAnsi="Javanese Text" w:eastAsia="Javanese Text" w:cs="Javanese Text"/>
        </w:rPr>
        <w:t>ꦗꦶꦁ</w:t>
      </w:r>
      <w:r>
        <w:rPr>
          <w:rFonts w:ascii="Times New Roman" w:hAnsi="Times New Roman" w:eastAsia="Times New Roman" w:cs="Times New Roman"/>
        </w:rPr>
        <w:t xml:space="preserve"> </w:t>
      </w:r>
      <w:r>
        <w:rPr>
          <w:rFonts w:ascii="Javanese Text" w:hAnsi="Javanese Text" w:eastAsia="Javanese Text" w:cs="Javanese Text"/>
        </w:rPr>
        <w:t>ꦏꦱꦸꦔꦸ</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ꦱꦮꦫ</w:t>
      </w:r>
      <w:r>
        <w:rPr>
          <w:rFonts w:ascii="Times New Roman" w:hAnsi="Times New Roman" w:eastAsia="Times New Roman" w:cs="Times New Roman"/>
        </w:rPr>
        <w:t xml:space="preserve"> </w:t>
      </w:r>
      <w:r>
        <w:rPr>
          <w:rFonts w:ascii="Javanese Text" w:hAnsi="Javanese Text" w:eastAsia="Javanese Text" w:cs="Javanese Text"/>
        </w:rPr>
        <w:t>ꦏꦭꦶꦃꦤꦺ</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ꦗꦗꦠꦶꦁ</w:t>
      </w:r>
      <w:r>
        <w:rPr>
          <w:rFonts w:ascii="Times New Roman" w:hAnsi="Times New Roman" w:eastAsia="Times New Roman" w:cs="Times New Roman"/>
        </w:rPr>
        <w:t xml:space="preserve"> Wahyu </w:t>
      </w:r>
      <w:r>
        <w:rPr>
          <w:rFonts w:ascii="Javanese Text" w:hAnsi="Javanese Text" w:eastAsia="Javanese Text" w:cs="Javanese Text"/>
        </w:rPr>
        <w:t>ꦥꦱꦭ</w:t>
      </w:r>
      <w:r>
        <w:rPr>
          <w:rFonts w:ascii="Times New Roman" w:hAnsi="Times New Roman" w:eastAsia="Times New Roman" w:cs="Times New Roman"/>
        </w:rPr>
        <w:t xml:space="preserve"> </w:t>
      </w:r>
      <w:r>
        <w:rPr>
          <w:rFonts w:ascii="Javanese Text" w:hAnsi="Javanese Text" w:eastAsia="Javanese Text" w:cs="Javanese Text"/>
        </w:rPr>
        <w:t>ꦥꦶꦁ</w:t>
      </w:r>
      <w:r>
        <w:rPr>
          <w:rFonts w:ascii="Times New Roman" w:hAnsi="Times New Roman" w:eastAsia="Times New Roman" w:cs="Times New Roman"/>
        </w:rPr>
        <w:t xml:space="preserve"> wolu welas, </w:t>
      </w:r>
      <w:r>
        <w:rPr>
          <w:rFonts w:ascii="Javanese Text" w:hAnsi="Javanese Text" w:eastAsia="Javanese Text" w:cs="Javanese Text"/>
        </w:rPr>
        <w:t>ꦗꦶꦁ</w:t>
      </w:r>
      <w:r>
        <w:rPr>
          <w:rFonts w:ascii="Times New Roman" w:hAnsi="Times New Roman" w:eastAsia="Times New Roman" w:cs="Times New Roman"/>
        </w:rPr>
        <w:t xml:space="preserve"> </w:t>
      </w:r>
      <w:r>
        <w:rPr>
          <w:rFonts w:ascii="Javanese Text" w:hAnsi="Javanese Text" w:eastAsia="Javanese Text" w:cs="Javanese Text"/>
        </w:rPr>
        <w:t>ꦤꦺꦏꦼꦱ꧀</w:t>
      </w:r>
      <w:r>
        <w:rPr>
          <w:rFonts w:ascii="Times New Roman" w:hAnsi="Times New Roman" w:eastAsia="Times New Roman" w:cs="Times New Roman"/>
        </w:rPr>
        <w:t xml:space="preserve"> </w:t>
      </w:r>
      <w:r>
        <w:rPr>
          <w:rFonts w:ascii="Javanese Text" w:hAnsi="Javanese Text" w:eastAsia="Javanese Text" w:cs="Javanese Text"/>
        </w:rPr>
        <w:t>ꦏꦁꦒꦺꦤ꧀</w:t>
      </w:r>
      <w:r>
        <w:rPr>
          <w:rFonts w:ascii="Times New Roman" w:hAnsi="Times New Roman" w:eastAsia="Times New Roman" w:cs="Times New Roman"/>
        </w:rPr>
        <w:t xml:space="preserve"> </w:t>
      </w:r>
      <w:r>
        <w:rPr>
          <w:rFonts w:ascii="Javanese Text" w:hAnsi="Javanese Text" w:eastAsia="Javanese Text" w:cs="Javanese Text"/>
        </w:rPr>
        <w:t>ꦱꦸꦮꦫ</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ꦲꦤ꧀ꦝꦼꦭ꧀</w:t>
      </w:r>
      <w:r>
        <w:rPr>
          <w:rFonts w:ascii="Times New Roman" w:hAnsi="Times New Roman" w:eastAsia="Times New Roman" w:cs="Times New Roman"/>
        </w:rPr>
        <w:t xml:space="preserve"> </w:t>
      </w:r>
      <w:r>
        <w:rPr>
          <w:rFonts w:ascii="Javanese Text" w:hAnsi="Javanese Text" w:eastAsia="Javanese Text" w:cs="Javanese Text"/>
        </w:rPr>
        <w:t>ꦤꦮꦶ</w:t>
      </w:r>
      <w:r>
        <w:rPr>
          <w:rFonts w:ascii="Times New Roman" w:hAnsi="Times New Roman" w:eastAsia="Times New Roman" w:cs="Times New Roman"/>
        </w:rPr>
        <w:t xml:space="preserve"> </w:t>
      </w:r>
      <w:r>
        <w:rPr>
          <w:rFonts w:ascii="Javanese Text" w:hAnsi="Javanese Text" w:eastAsia="Javanese Text" w:cs="Javanese Text"/>
        </w:rPr>
        <w:t>ꦲꦸꦤ꧀ꦝꦁ</w:t>
      </w:r>
      <w:r>
        <w:rPr>
          <w:rFonts w:ascii="Times New Roman" w:hAnsi="Times New Roman" w:eastAsia="Times New Roman" w:cs="Times New Roman"/>
        </w:rPr>
        <w:t>-</w:t>
      </w:r>
      <w:r>
        <w:rPr>
          <w:rFonts w:ascii="Javanese Text" w:hAnsi="Javanese Text" w:eastAsia="Javanese Text" w:cs="Javanese Text"/>
        </w:rPr>
        <w:t>ꦲꦸꦤ꧀ꦝꦁ</w:t>
      </w:r>
      <w:r>
        <w:rPr>
          <w:rFonts w:ascii="Times New Roman" w:hAnsi="Times New Roman" w:eastAsia="Times New Roman" w:cs="Times New Roman"/>
        </w:rPr>
        <w:t xml:space="preserve"> Minggu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ꦲꦺꦩ꧀ꦥꦺꦂ</w:t>
      </w:r>
      <w:r>
        <w:rPr>
          <w:rFonts w:ascii="Times New Roman" w:hAnsi="Times New Roman" w:eastAsia="Times New Roman" w:cs="Times New Roman"/>
        </w:rPr>
        <w:t xml:space="preserve"> </w:t>
      </w:r>
      <w:r>
        <w:rPr>
          <w:rFonts w:ascii="Javanese Text" w:hAnsi="Javanese Text" w:eastAsia="Javanese Text" w:cs="Javanese Text"/>
        </w:rPr>
        <w:t>ꦏꦭꦏꦺꦴꦤ꧀</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ꦥꦁꦲꦏꦶꦩꦤ꧀</w:t>
      </w:r>
      <w:r>
        <w:rPr>
          <w:rFonts w:ascii="Times New Roman" w:hAnsi="Times New Roman" w:eastAsia="Times New Roman" w:cs="Times New Roman"/>
        </w:rPr>
        <w:t xml:space="preserve"> </w:t>
      </w:r>
      <w:r>
        <w:rPr>
          <w:rFonts w:ascii="Javanese Text" w:hAnsi="Javanese Text" w:eastAsia="Javanese Text" w:cs="Javanese Text"/>
        </w:rPr>
        <w:t>ꦩꦫꦁ</w:t>
      </w:r>
      <w:r>
        <w:rPr>
          <w:rFonts w:ascii="Times New Roman" w:hAnsi="Times New Roman" w:eastAsia="Times New Roman" w:cs="Times New Roman"/>
        </w:rPr>
        <w:t xml:space="preserve"> </w:t>
      </w:r>
      <w:r>
        <w:rPr>
          <w:rFonts w:ascii="Javanese Text" w:hAnsi="Javanese Text" w:eastAsia="Javanese Text" w:cs="Javanese Text"/>
        </w:rPr>
        <w:t>ꦥꦼꦫꦼꦩ꧀ꦥꦸꦮꦤ꧀</w:t>
      </w:r>
      <w:r>
        <w:rPr>
          <w:rFonts w:ascii="Times New Roman" w:hAnsi="Times New Roman" w:eastAsia="Times New Roman" w:cs="Times New Roman"/>
        </w:rPr>
        <w:t xml:space="preserve"> </w:t>
      </w:r>
      <w:r>
        <w:rPr>
          <w:rFonts w:ascii="Javanese Text" w:hAnsi="Javanese Text" w:eastAsia="Javanese Text" w:cs="Javanese Text"/>
        </w:rPr>
        <w:t>ꦥꦺꦭꦏꦸ</w:t>
      </w:r>
      <w:r>
        <w:rPr>
          <w:rFonts w:ascii="Times New Roman" w:hAnsi="Times New Roman" w:eastAsia="Times New Roman" w:cs="Times New Roman"/>
        </w:rPr>
        <w:t xml:space="preserve"> </w:t>
      </w:r>
      <w:r>
        <w:rPr>
          <w:rFonts w:ascii="Javanese Text" w:hAnsi="Javanese Text" w:eastAsia="Javanese Text" w:cs="Javanese Text"/>
        </w:rPr>
        <w:t>ꦱꦸꦤ꧀ꦝꦭ꧀</w:t>
      </w:r>
      <w:r>
        <w:rPr>
          <w:rFonts w:ascii="Times New Roman" w:hAnsi="Times New Roman" w:eastAsia="Times New Roman" w:cs="Times New Roman"/>
        </w:rPr>
        <w:t xml:space="preserve"> </w:t>
      </w:r>
      <w:r>
        <w:rPr>
          <w:rFonts w:ascii="Javanese Text" w:hAnsi="Javanese Text" w:eastAsia="Javanese Text" w:cs="Javanese Text"/>
        </w:rPr>
        <w:t>ꦲꦒꦼꦁ</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ꦲꦶꦥꦶꦁꦏꦼꦭ꧀</w:t>
      </w:r>
      <w:r>
        <w:rPr>
          <w:rFonts w:ascii="Times New Roman" w:hAnsi="Times New Roman" w:eastAsia="Times New Roman" w:cs="Times New Roman"/>
        </w:rPr>
        <w:t xml:space="preserve"> </w:t>
      </w:r>
      <w:r>
        <w:rPr>
          <w:rFonts w:ascii="Javanese Text" w:hAnsi="Javanese Text" w:eastAsia="Javanese Text" w:cs="Javanese Text"/>
        </w:rPr>
        <w:t>ꦏꦭꦶꦃ</w:t>
      </w:r>
      <w:r>
        <w:rPr>
          <w:rFonts w:ascii="Times New Roman" w:hAnsi="Times New Roman" w:eastAsia="Times New Roman" w:cs="Times New Roman"/>
        </w:rPr>
        <w:t xml:space="preserve">, </w:t>
      </w:r>
      <w:r>
        <w:rPr>
          <w:rFonts w:ascii="Javanese Text" w:hAnsi="Javanese Text" w:eastAsia="Javanese Text" w:cs="Javanese Text"/>
        </w:rPr>
        <w:t>ꦱꦼꦧꦧ꧀</w:t>
      </w:r>
      <w:r>
        <w:rPr>
          <w:rFonts w:ascii="Times New Roman" w:hAnsi="Times New Roman" w:eastAsia="Times New Roman" w:cs="Times New Roman"/>
        </w:rPr>
        <w:t xml:space="preserve"> </w:t>
      </w:r>
      <w:r>
        <w:rPr>
          <w:rFonts w:ascii="Javanese Text" w:hAnsi="Javanese Text" w:eastAsia="Javanese Text" w:cs="Javanese Text"/>
        </w:rPr>
        <w:t>ꦲꦶꦪꦤꦺ</w:t>
      </w:r>
      <w:r>
        <w:rPr>
          <w:rFonts w:ascii="Times New Roman" w:hAnsi="Times New Roman" w:eastAsia="Times New Roman" w:cs="Times New Roman"/>
        </w:rPr>
        <w:t xml:space="preserve"> wis ngisi kebak tuwung mangsaning sih-rahmating dosa</w:t>
      </w:r>
      <w:r>
        <w:rPr>
          <w:rFonts w:ascii="Javanese Text" w:hAnsi="Javanese Text" w:eastAsia="Javanese Text" w:cs="Javanese Text"/>
        </w:rPr>
        <w:t>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Η προφήτις λέγει: «Εἶδον ἄλλον ἄγγελον νὰ καταβαίνῃ ἐκ τοῦ οὐρανοῦ, ἔχοντα μεγάλην ἐξουσίαν· καὶ ἡ γῆ ἐφωτίσθη ἀπὸ τῆς δόξης αὐτοῦ. Καὶ ἔκραξε δυνατὰ μὲ ἰσχυρὰ φωνήν, λέγων· Ἔπεσεν, ἔπεσεν Βαβυλὼν ἡ μεγάλη, καὶ ἔγεινε κατοικητήριον δαιμόνων» (Ἀποκάλυψις 18:1, 2). Αὕτη εἶναι ἡ αὐτὴ ἀγγελία ποὺ ἐδόθη ἀπὸ τὸν δεύτερον ἄγγελον. Ἔπεσεν ἡ Βαβυλών, «διότι ἐπότισεν πάντα τὰ ἔθνη ἀπὸ τοῦ οἴνου τοῦ θυμοῦ τῆς πορνείας αὐτῆς» (Ἀποκάλυψις 14:8). Τί εἶναι αὐτὸς ὁ οἶνος;—Αἱ ψευδεῖς διδασκαλίαι αὐτῆς. Ἔδωκεν εἰς τὸν κόσμον ψευδὲς σάββατον ἀντὶ τοῦ Σαββάτου τῆς τετάρτης ἐντολῆς, καὶ ἐπανέλαβε τὸ ψεῦδος τὸ ὁποῖον ὁ Σατανᾶς πρῶτον εἶπε πρὸς τὴν Εὔαν ἐν Ἐδέμ—τὴν φυσικὴν ἀθανασίαν τῆς ψυχῆς. Πολλὰ συγγενῆ πλάνη ἔχει διαδώσει εὐρέως, «διδάσκοντες ὡς διδασκαλίας ἐντάλματα ἀνθρώπων» (Ματθαῖος 15:9).</w:t>
      </w:r>
    </w:p>
    <w:p>
      <w:pPr>
        <w:pStyle w:val="ArticleScripture"/>
        <w:jc w:val="left"/>
      </w:pPr>
      <w:r>
        <w:rPr>
          <w:rFonts w:ascii="Times New Roman" w:hAnsi="Times New Roman" w:eastAsia="Times New Roman" w:cs="Times New Roman"/>
        </w:rPr>
        <w:t>“Quand Jésus commença Son ministère public, Il purifia le Temple de sa profanation sacrilège. Parmi les derniers actes de Son ministère figura la seconde purification du Temple. Ainsi, dans l’œuvre finale destinée à avertir le monde, deux appels distincts sont adressés aux Églises. Le message du deuxième ange est : « Elle est tombée, elle est tombée, Babylone la grande, parce qu’elle a abreuvé toutes les nations du vin de la fureur de son impudicité » (Apocalypse 14:8). Et dans le grand cri du message du troisième ange, une voix se fait entendre du ciel, disant : « Sortez du milieu d’elle, mon peuple, afin que vous ne participiez point à ses péchés, et que vous n’ayez point part à ses fléaux. Car ses péchés se sont accumulés jusqu’au ciel, et Dieu s’est souvenu de ses iniquités » (Apocalypse 18:4, 5).” Messages choisis, livre 2, 118.</w:t>
      </w:r>
    </w:p>
    <w:p>
      <w:pPr>
        <w:pStyle w:val="ArticleBody"/>
        <w:jc w:val="left"/>
      </w:pPr>
      <w:r>
        <w:rPr>
          <w:rFonts w:ascii="Times New Roman" w:hAnsi="Times New Roman" w:eastAsia="Times New Roman" w:cs="Times New Roman"/>
        </w:rPr>
        <w:t>Améʔə́rəká bákʷolát ɨnd ʔasssə́n ʔəw Sunday law dɨ́gʷə́r, Modern Babylon lay progressive executive judgment yə́rɨ́m bəgín nə́g, ʔənə́m judgments gíʔnát overlap yə́m ʔasssə́, judgment of the living lay last period ʔənə́m bəgín yə́g. Third messenger, Messenger of the Covenant work lay way prepares yə́m, September 11, 2001 gíʔnát judgment of the living lay began yə́m ʔasssə́n time lay work represents yə́m; ʔənə́m Revelation chapter eighteen lay second voice hear yə́m, hālā gospels obey nə́m currently do not yə́m ʔəw last of those Babylon gíʔnát come out yə́m ʔasssə́n dɨ́gʷə́r ends yə́g. ʔƏh work, messenger who prepares the way lay ministry beginning gíʔnát one hundred and forty-four thousand lay temple lay purification ʔənə́m purging identifies yə́m, ʔənə́m then Messenger of the Covenant lay way prepares yə́m messenger lay ministry ending gíʔnát great multitude lay temple lay purging ʔənə́m purification yə́m.</w:t>
      </w:r>
    </w:p>
    <w:p>
      <w:pPr>
        <w:pStyle w:val="ArticleBody"/>
        <w:jc w:val="left"/>
      </w:pPr>
      <w:r>
        <w:rPr>
          <w:rFonts w:ascii="Times New Roman" w:hAnsi="Times New Roman" w:eastAsia="Times New Roman" w:cs="Times New Roman"/>
        </w:rPr>
        <w:t>Sa pagdangat sang malapit na abot nga balaud sang Domingo, pagautwason liwat ang pagpakita sang gahum sang Dios nga natabo sang Pentecostes.</w:t>
      </w:r>
    </w:p>
    <w:p>
      <w:pPr>
        <w:pStyle w:val="ArticleScripture"/>
        <w:jc w:val="left"/>
      </w:pPr>
      <w:r>
        <w:rPr>
          <w:rFonts w:ascii="Times New Roman" w:hAnsi="Times New Roman" w:eastAsia="Times New Roman" w:cs="Times New Roman"/>
        </w:rPr>
        <w:t>“</w:t>
      </w: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ꯑꯃꯁꯨꯡꯗꯒꯤ</w:t>
      </w:r>
      <w:r>
        <w:rPr>
          <w:rFonts w:ascii="Times New Roman" w:hAnsi="Times New Roman" w:eastAsia="Times New Roman" w:cs="Times New Roman"/>
        </w:rPr>
        <w:t xml:space="preserve"> </w:t>
      </w:r>
      <w:r>
        <w:rPr>
          <w:rFonts w:ascii="Nirmala UI" w:hAnsi="Nirmala UI" w:eastAsia="Nirmala UI" w:cs="Nirmala UI"/>
        </w:rPr>
        <w:t>ꯑꯃꯥꯇꯅꯁꯨ</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ꯐꯪꯂꯣꯏ</w:t>
      </w:r>
      <w:r>
        <w:rPr>
          <w:rFonts w:ascii="Times New Roman" w:hAnsi="Times New Roman" w:eastAsia="Times New Roman" w:cs="Times New Roman"/>
        </w:rPr>
        <w:t xml:space="preserve">, </w:t>
      </w:r>
      <w:r>
        <w:rPr>
          <w:rFonts w:ascii="Nirmala UI" w:hAnsi="Nirmala UI" w:eastAsia="Nirmala UI" w:cs="Nirmala UI"/>
        </w:rPr>
        <w:t>ꯃꯗꯨꯗꯒꯤ</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ꯆꯔꯤꯇ꯭ꯔꯗ</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ꯁ꯭ꯄꯣꯠ</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ꯁ꯭ꯇꯦꯟ</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ꯆꯔꯤꯇ꯭ꯔꯒꯤ</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ꯁꯦꯝꯒꯠꯄ</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ꯇꯦꯝꯄꯜ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ꯑꯃꯥꯁꯨ</w:t>
      </w:r>
      <w:r>
        <w:rPr>
          <w:rFonts w:ascii="Times New Roman" w:hAnsi="Times New Roman" w:eastAsia="Times New Roman" w:cs="Times New Roman"/>
        </w:rPr>
        <w:t xml:space="preserve"> </w:t>
      </w:r>
      <w:r>
        <w:rPr>
          <w:rFonts w:ascii="Nirmala UI" w:hAnsi="Nirmala UI" w:eastAsia="Nirmala UI" w:cs="Nirmala UI"/>
        </w:rPr>
        <w:t>ꯑꯄꯥꯝꯕ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ꯑꯃꯥꯗꯒꯤ</w:t>
      </w:r>
      <w:r>
        <w:rPr>
          <w:rFonts w:ascii="Times New Roman" w:hAnsi="Times New Roman" w:eastAsia="Times New Roman" w:cs="Times New Roman"/>
        </w:rPr>
        <w:t xml:space="preserve"> </w:t>
      </w:r>
      <w:r>
        <w:rPr>
          <w:rFonts w:ascii="Nirmala UI" w:hAnsi="Nirmala UI" w:eastAsia="Nirmala UI" w:cs="Nirmala UI"/>
        </w:rPr>
        <w:t>ꯁꯦꯟꯊꯣꯛꯄ</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ꯊꯥꯗꯣꯛꯂꯕꯅꯤ।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ꯂꯦꯇꯔ</w:t>
      </w:r>
      <w:r>
        <w:rPr>
          <w:rFonts w:ascii="Times New Roman" w:hAnsi="Times New Roman" w:eastAsia="Times New Roman" w:cs="Times New Roman"/>
        </w:rPr>
        <w:t xml:space="preserve"> </w:t>
      </w:r>
      <w:r>
        <w:rPr>
          <w:rFonts w:ascii="Nirmala UI" w:hAnsi="Nirmala UI" w:eastAsia="Nirmala UI" w:cs="Nirmala UI"/>
        </w:rPr>
        <w:t>ꯔꯦꯟ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ꯄꯦꯟꯇꯦꯀꯣꯁ꯭ꯇꯀꯤ</w:t>
      </w:r>
      <w:r>
        <w:rPr>
          <w:rFonts w:ascii="Times New Roman" w:hAnsi="Times New Roman" w:eastAsia="Times New Roman" w:cs="Times New Roman"/>
        </w:rPr>
        <w:t xml:space="preserve">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ꯁꯤꯁꯤꯄꯜꯁꯤꯡꯒꯤ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ꯏꯔꯣꯏ</w:t>
      </w:r>
      <w:r>
        <w:rPr>
          <w:rFonts w:ascii="Times New Roman" w:hAnsi="Times New Roman" w:eastAsia="Times New Roman" w:cs="Times New Roman"/>
        </w:rPr>
        <w:t xml:space="preserve"> </w:t>
      </w:r>
      <w:r>
        <w:rPr>
          <w:rFonts w:ascii="Nirmala UI" w:hAnsi="Nirmala UI" w:eastAsia="Nirmala UI" w:cs="Nirmala UI"/>
        </w:rPr>
        <w:t>ꯔꯦꯟ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ꯑꯗꯨꯝꯅꯥ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«As a niri, herê di nav xebata mezin a amadekariyê de çi dikin? Ewên ku bi cîhanê re dibin yek, qalibê cîhanî werdigirin û xwe ji bo nîşana heywanê amade dikin. Ewên ku ji xwe bawer nînin, ku xwe li ber Xwedê hêsan dikin û bi guhdariya rastiyê re canên xwe pak dikin, van qalibê ezmanî werdigirin û xwe ji bo morê Xwedê li eniyên xwe amade dikin. Dema ku fermana derkeve û mohr were çap kirin, karaktera wan dê heta ebediyetê pak û bêkêmasî bimîne.» Testimonies, volume 5, 214, 216.</w:t>
      </w:r>
    </w:p>
    <w:p>
      <w:pPr>
        <w:pStyle w:val="ArticleBody"/>
        <w:jc w:val="left"/>
      </w:pPr>
      <w:r>
        <w:rPr>
          <w:rFonts w:ascii="Times New Roman" w:hAnsi="Times New Roman" w:eastAsia="Times New Roman" w:cs="Times New Roman"/>
        </w:rPr>
        <w:t>Ĩno niho harĩa mũndũ angĩgũrũkĩra o ta gũtiganĩra kũrĩ ndeto ya kĩrathi, no ti kĩndũ gĩa kũrĩa no nginya gũtuĩke. Mũthenya wa Pentekote ihinda rĩa atongoria a thĩinĩ a mũtũmi, ndeto ĩrĩa yaheanĩirwo hinya ndĩatwarirwo kũrĩ Andũ-a-mĩhĩrĩga, arĩo nĩ arĩa matathikĩrĩria Injili rĩrĩa watho wa Sande wa kũũka naruaũka ukahingũra. Ndeto ĩrĩa yaheanĩirwo hinya Pentekote yatwarirwo kũrĩ Isiraeli wa tene, o na rĩrĩ, kwa mĩaka ĩngĩ ithatũ na nuthu, magĩcooka gũtũũra thĩinĩ wa ihinda rĩao rĩa mũthia rĩa gũgerio.</w:t>
      </w:r>
    </w:p>
    <w:p>
      <w:pPr>
        <w:pStyle w:val="ArticleScripture"/>
        <w:jc w:val="left"/>
      </w:pPr>
      <w:r>
        <w:rPr>
          <w:rFonts w:ascii="Times New Roman" w:hAnsi="Times New Roman" w:eastAsia="Times New Roman" w:cs="Times New Roman"/>
        </w:rPr>
        <w:t>Lijalo makumi saba vimeamriwa juu ya watu wako na juu ya mji wako mtakatifu, ili kuikomesha hali ya uasi, na kuzikatisha dhambi, na kufanya upatanisho kwa ajili ya uovu, na kuleta haki ya milele, na kutia muhuri maono na unabii, na kumtia mafuta Aliye Mtakatifu kabisa. Danieli 9:24.</w:t>
      </w:r>
    </w:p>
    <w:p>
      <w:pPr>
        <w:pStyle w:val="ArticleBody"/>
        <w:jc w:val="left"/>
      </w:pPr>
      <w:r>
        <w:rPr>
          <w:rFonts w:ascii="Times New Roman" w:hAnsi="Times New Roman" w:eastAsia="Times New Roman" w:cs="Times New Roman"/>
        </w:rPr>
        <w:t>Pentikost gününde kudretle donatılan mesaj, Müjde’ye itaat etmeyenlere, Stefanus MS 34 yılında taşlanıncaya dek götürülmeyecekti. Kardeş White bu gerçeği sık sık belirtir.</w:t>
      </w:r>
    </w:p>
    <w:p>
      <w:pPr>
        <w:pStyle w:val="ArticleScripture"/>
        <w:jc w:val="left"/>
      </w:pPr>
      <w:r>
        <w:rPr>
          <w:rFonts w:ascii="Times New Roman" w:hAnsi="Times New Roman" w:eastAsia="Times New Roman" w:cs="Times New Roman"/>
        </w:rPr>
        <w:t>“Qali, dedi mələk, ‘O, əhdi bir həftəlik [yeddi il] çoxları ilə möhkəmləndirəcək.’ Xilaskar xidmətinə başladıqdan sonra yeddi il ərzində müjdə xüsusilə yəhudilərə təbliğ olunmalı idi; üç il yarım Məsihin Özü tərəfindən, sonra isə həvarilər tərəfindən. ‘Həftənin ortasında O, qurbanı və təqdiməni dayandıracaq.’ Daniel 9:27. E. s. 31-ci ilin yazında Məsih, həqiqi qurban olaraq, Qolqotada təqdim olundu. O zaman məbədin pərdəsi yuxarıdan aşağıya iki yerə cırıldı və bununla qurban xidmətinin müqəddəsliyi və mənasının artıq aradan qalxdığı göstərildi. Yer üzündəki qurbanın və təqdimənin sona çatmasının vaxtı gəlmişdi.”</w:t>
      </w:r>
    </w:p>
    <w:p>
      <w:pPr>
        <w:pStyle w:val="ArticleScripture"/>
        <w:jc w:val="left"/>
      </w:pPr>
      <w:r>
        <w:rPr>
          <w:rFonts w:ascii="Times New Roman" w:hAnsi="Times New Roman" w:eastAsia="Times New Roman" w:cs="Times New Roman"/>
        </w:rPr>
        <w:t>“</w:t>
      </w:r>
      <w:r>
        <w:rPr>
          <w:rFonts w:ascii="Nirmala UI" w:hAnsi="Nirmala UI" w:eastAsia="Nirmala UI" w:cs="Nirmala UI"/>
        </w:rPr>
        <w:t>आठीह्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हप्ता</w:t>
      </w:r>
      <w:r>
        <w:rPr>
          <w:rFonts w:ascii="Times New Roman" w:hAnsi="Times New Roman" w:eastAsia="Times New Roman" w:cs="Times New Roman"/>
        </w:rPr>
        <w:t>—</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बरस</w:t>
      </w:r>
      <w:r>
        <w:rPr>
          <w:rFonts w:ascii="Times New Roman" w:hAnsi="Times New Roman" w:eastAsia="Times New Roman" w:cs="Times New Roman"/>
        </w:rPr>
        <w:t>—</w:t>
      </w:r>
      <w:r>
        <w:rPr>
          <w:rFonts w:ascii="Nirmala UI" w:hAnsi="Nirmala UI" w:eastAsia="Nirmala UI" w:cs="Nirmala UI"/>
        </w:rPr>
        <w:t>ईस्वी</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34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स्तिफनुस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ढुंगन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उत्पीड़न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w:t>
      </w:r>
      <w:r>
        <w:rPr>
          <w:rFonts w:ascii="Nirmala UI" w:hAnsi="Nirmala UI" w:eastAsia="Nirmala UI" w:cs="Nirmala UI"/>
        </w:rPr>
        <w:t>बितर</w:t>
      </w:r>
      <w:r>
        <w:rPr>
          <w:rFonts w:ascii="Times New Roman" w:hAnsi="Times New Roman" w:eastAsia="Times New Roman" w:cs="Times New Roman"/>
        </w:rPr>
        <w:t xml:space="preserve"> </w:t>
      </w:r>
      <w:r>
        <w:rPr>
          <w:rFonts w:ascii="Nirmala UI" w:hAnsi="Nirmala UI" w:eastAsia="Nirmala UI" w:cs="Nirmala UI"/>
        </w:rPr>
        <w:t>होइ</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घूमत</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w:t>
      </w:r>
      <w:r>
        <w:rPr>
          <w:rFonts w:ascii="Nirmala UI" w:hAnsi="Nirmala UI" w:eastAsia="Nirmala UI" w:cs="Nirmala UI"/>
        </w:rPr>
        <w:t>प्रेरितन</w:t>
      </w:r>
      <w:r>
        <w:rPr>
          <w:rFonts w:ascii="Times New Roman" w:hAnsi="Times New Roman" w:eastAsia="Times New Roman" w:cs="Times New Roman"/>
        </w:rPr>
        <w:t xml:space="preserve"> 8:4);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सतावनिहार</w:t>
      </w:r>
      <w:r>
        <w:rPr>
          <w:rFonts w:ascii="Times New Roman" w:hAnsi="Times New Roman" w:eastAsia="Times New Roman" w:cs="Times New Roman"/>
        </w:rPr>
        <w:t xml:space="preserve"> </w:t>
      </w:r>
      <w:r>
        <w:rPr>
          <w:rFonts w:ascii="Nirmala UI" w:hAnsi="Nirmala UI" w:eastAsia="Nirmala UI" w:cs="Nirmala UI"/>
        </w:rPr>
        <w:t>साउल</w:t>
      </w:r>
      <w:r>
        <w:rPr>
          <w:rFonts w:ascii="Times New Roman" w:hAnsi="Times New Roman" w:eastAsia="Times New Roman" w:cs="Times New Roman"/>
        </w:rPr>
        <w:t xml:space="preserve"> </w:t>
      </w:r>
      <w:r>
        <w:rPr>
          <w:rFonts w:ascii="Nirmala UI" w:hAnsi="Nirmala UI" w:eastAsia="Nirmala UI" w:cs="Nirmala UI"/>
        </w:rPr>
        <w:t>परिवर्तन</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पौलुस</w:t>
      </w:r>
      <w:r>
        <w:rPr>
          <w:rFonts w:ascii="Times New Roman" w:hAnsi="Times New Roman" w:eastAsia="Times New Roman" w:cs="Times New Roman"/>
        </w:rPr>
        <w:t xml:space="preserve"> </w:t>
      </w:r>
      <w:r>
        <w:rPr>
          <w:rFonts w:ascii="Nirmala UI" w:hAnsi="Nirmala UI" w:eastAsia="Nirmala UI" w:cs="Nirmala UI"/>
        </w:rPr>
        <w:t>बनिगयो</w:t>
      </w:r>
      <w:r>
        <w:rPr>
          <w:rFonts w:ascii="Times New Roman" w:hAnsi="Times New Roman" w:eastAsia="Times New Roman" w:cs="Times New Roman"/>
        </w:rPr>
        <w:t xml:space="preserve">, </w:t>
      </w:r>
      <w:r>
        <w:rPr>
          <w:rFonts w:ascii="Nirmala UI" w:hAnsi="Nirmala UI" w:eastAsia="Nirmala UI" w:cs="Nirmala UI"/>
        </w:rPr>
        <w:t>जातियन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The Desire of Ages, 233.</w:t>
      </w:r>
    </w:p>
    <w:p>
      <w:pPr>
        <w:pStyle w:val="ArticleBody"/>
        <w:jc w:val="left"/>
      </w:pPr>
      <w:r>
        <w:rPr>
          <w:rFonts w:ascii="Times New Roman" w:hAnsi="Times New Roman" w:eastAsia="Times New Roman" w:cs="Times New Roman"/>
        </w:rPr>
        <w:t>Pesan yang dikuatkan pada hari Pentakosta, lima puluh hari sesudah kebangkitan Kristus, selaras dengan undang-undang hari Minggu ketika Injil memanggil kawanan Kristus yang lain keluar dari Babel; namun baru tiga setengah tahun sesudah salib orang-orang Yahudi “memeteraikan penolakan mereka terhadap Injil,” dan sesudah itu pesan tersebut pergi kepada bangsa-bangsa lain, yaitu mereka yang pada waktu itu tidak menaati Injil. Pertentangan yang tampak itu semakin diperbesar oleh pengenalan bahwa pada tahun 34 M orang-orang Yahudi memeteraikan penolakan mereka terhadap Injil, sebab Sister White mengatakan sebaliknya.</w:t>
      </w:r>
    </w:p>
    <w:p>
      <w:pPr>
        <w:pStyle w:val="ArticleScripture"/>
        <w:jc w:val="left"/>
      </w:pPr>
      <w:r>
        <w:rPr>
          <w:rFonts w:ascii="Times New Roman" w:hAnsi="Times New Roman" w:eastAsia="Times New Roman" w:cs="Times New Roman"/>
        </w:rPr>
        <w:t>«</w:t>
      </w:r>
      <w:r>
        <w:rPr>
          <w:rFonts w:ascii="Nirmala UI" w:hAnsi="Nirmala UI" w:eastAsia="Nirmala UI" w:cs="Nirmala UI"/>
        </w:rPr>
        <w:t>ପ୍ରଚଳିତ</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ଆଚାର</w:t>
      </w:r>
      <w:r>
        <w:rPr>
          <w:rFonts w:ascii="Times New Roman" w:hAnsi="Times New Roman" w:eastAsia="Times New Roman" w:cs="Times New Roman"/>
        </w:rPr>
        <w:t>-</w:t>
      </w:r>
      <w:r>
        <w:rPr>
          <w:rFonts w:ascii="Nirmala UI" w:hAnsi="Nirmala UI" w:eastAsia="Nirmala UI" w:cs="Nirmala UI"/>
        </w:rPr>
        <w:t>ବିଧିର</w:t>
      </w:r>
      <w:r>
        <w:rPr>
          <w:rFonts w:ascii="Times New Roman" w:hAnsi="Times New Roman" w:eastAsia="Times New Roman" w:cs="Times New Roman"/>
        </w:rPr>
        <w:t xml:space="preserve"> </w:t>
      </w:r>
      <w:r>
        <w:rPr>
          <w:rFonts w:ascii="Nirmala UI" w:hAnsi="Nirmala UI" w:eastAsia="Nirmala UI" w:cs="Nirmala UI"/>
        </w:rPr>
        <w:t>ବ୍ୟବସ୍ଥା</w:t>
      </w:r>
      <w:r>
        <w:rPr>
          <w:rFonts w:ascii="Times New Roman" w:hAnsi="Times New Roman" w:eastAsia="Times New Roman" w:cs="Times New Roman"/>
        </w:rPr>
        <w:t xml:space="preserve"> </w:t>
      </w:r>
      <w:r>
        <w:rPr>
          <w:rFonts w:ascii="Nirmala UI" w:hAnsi="Nirmala UI" w:eastAsia="Nirmala UI" w:cs="Nirmala UI"/>
        </w:rPr>
        <w:t>ଯେହେତୁ</w:t>
      </w:r>
      <w:r>
        <w:rPr>
          <w:rFonts w:ascii="Times New Roman" w:hAnsi="Times New Roman" w:eastAsia="Times New Roman" w:cs="Times New Roman"/>
        </w:rPr>
        <w:t xml:space="preserve"> </w:t>
      </w:r>
      <w:r>
        <w:rPr>
          <w:rFonts w:ascii="Nirmala UI" w:hAnsi="Nirmala UI" w:eastAsia="Nirmala UI" w:cs="Nirmala UI"/>
        </w:rPr>
        <w:t>ଖ୍ରୀଷ୍ଟଙ୍କର</w:t>
      </w:r>
      <w:r>
        <w:rPr>
          <w:rFonts w:ascii="Times New Roman" w:hAnsi="Times New Roman" w:eastAsia="Times New Roman" w:cs="Times New Roman"/>
        </w:rPr>
        <w:t xml:space="preserve"> </w:t>
      </w:r>
      <w:r>
        <w:rPr>
          <w:rFonts w:ascii="Nirmala UI" w:hAnsi="Nirmala UI" w:eastAsia="Nirmala UI" w:cs="Nirmala UI"/>
        </w:rPr>
        <w:t>ପ୍ରତୀକାତ୍ମକ</w:t>
      </w:r>
      <w:r>
        <w:rPr>
          <w:rFonts w:ascii="Times New Roman" w:hAnsi="Times New Roman" w:eastAsia="Times New Roman" w:cs="Times New Roman"/>
        </w:rPr>
        <w:t xml:space="preserve"> </w:t>
      </w:r>
      <w:r>
        <w:rPr>
          <w:rFonts w:ascii="Nirmala UI" w:hAnsi="Nirmala UI" w:eastAsia="Nirmala UI" w:cs="Nirmala UI"/>
        </w:rPr>
        <w:t>ରୂପ</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ସେହିହେତୁ</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ଛାଡ଼ି</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ମୂଲ୍ୟ</w:t>
      </w:r>
      <w:r>
        <w:rPr>
          <w:rFonts w:ascii="Times New Roman" w:hAnsi="Times New Roman" w:eastAsia="Times New Roman" w:cs="Times New Roman"/>
        </w:rPr>
        <w:t xml:space="preserve"> </w:t>
      </w:r>
      <w:r>
        <w:rPr>
          <w:rFonts w:ascii="Nirmala UI" w:hAnsi="Nirmala UI" w:eastAsia="Nirmala UI" w:cs="Nirmala UI"/>
        </w:rPr>
        <w:t>ନଥିଲା।</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ଯିହୂଦୀମାନେ</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ମୃତ୍ୟୁଦଣ୍ଡ</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ସମର୍ପଣ</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ପ୍ରତି</w:t>
      </w:r>
      <w:r>
        <w:rPr>
          <w:rFonts w:ascii="Times New Roman" w:hAnsi="Times New Roman" w:eastAsia="Times New Roman" w:cs="Times New Roman"/>
        </w:rPr>
        <w:t xml:space="preserve"> </w:t>
      </w:r>
      <w:r>
        <w:rPr>
          <w:rFonts w:ascii="Nirmala UI" w:hAnsi="Nirmala UI" w:eastAsia="Nirmala UI" w:cs="Nirmala UI"/>
        </w:rPr>
        <w:t>ନିଜମାନଙ୍କର</w:t>
      </w:r>
      <w:r>
        <w:rPr>
          <w:rFonts w:ascii="Times New Roman" w:hAnsi="Times New Roman" w:eastAsia="Times New Roman" w:cs="Times New Roman"/>
        </w:rPr>
        <w:t xml:space="preserve"> </w:t>
      </w:r>
      <w:r>
        <w:rPr>
          <w:rFonts w:ascii="Nirmala UI" w:hAnsi="Nirmala UI" w:eastAsia="Nirmala UI" w:cs="Nirmala UI"/>
        </w:rPr>
        <w:t>ଅସ୍ୱୀକାରକୁ</w:t>
      </w:r>
      <w:r>
        <w:rPr>
          <w:rFonts w:ascii="Times New Roman" w:hAnsi="Times New Roman" w:eastAsia="Times New Roman" w:cs="Times New Roman"/>
        </w:rPr>
        <w:t xml:space="preserve"> </w:t>
      </w:r>
      <w:r>
        <w:rPr>
          <w:rFonts w:ascii="Nirmala UI" w:hAnsi="Nirmala UI" w:eastAsia="Nirmala UI" w:cs="Nirmala UI"/>
        </w:rPr>
        <w:t>ସ୍ଥିର</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ମନ୍ଦିର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ସେବାକାର୍ଯ୍ୟଗୁଡ଼ିକୁ</w:t>
      </w:r>
      <w:r>
        <w:rPr>
          <w:rFonts w:ascii="Times New Roman" w:hAnsi="Times New Roman" w:eastAsia="Times New Roman" w:cs="Times New Roman"/>
        </w:rPr>
        <w:t xml:space="preserve"> </w:t>
      </w:r>
      <w:r>
        <w:rPr>
          <w:rFonts w:ascii="Nirmala UI" w:hAnsi="Nirmala UI" w:eastAsia="Nirmala UI" w:cs="Nirmala UI"/>
        </w:rPr>
        <w:t>ଅର୍ଥବହ</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କିଛିକୁ</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ଅସ୍ୱୀକାର</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ପବିତ୍ରତା</w:t>
      </w:r>
      <w:r>
        <w:rPr>
          <w:rFonts w:ascii="Times New Roman" w:hAnsi="Times New Roman" w:eastAsia="Times New Roman" w:cs="Times New Roman"/>
        </w:rPr>
        <w:t xml:space="preserve"> </w:t>
      </w:r>
      <w:r>
        <w:rPr>
          <w:rFonts w:ascii="Nirmala UI" w:hAnsi="Nirmala UI" w:eastAsia="Nirmala UI" w:cs="Nirmala UI"/>
        </w:rPr>
        <w:t>ଚାଲିଯାଇଥିଲା।</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ଧ୍ୱଂସ</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ନିର୍ଦ୍ଧାରିତ</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ଦିନଠାରୁ</w:t>
      </w:r>
      <w:r>
        <w:rPr>
          <w:rFonts w:ascii="Times New Roman" w:hAnsi="Times New Roman" w:eastAsia="Times New Roman" w:cs="Times New Roman"/>
        </w:rPr>
        <w:t xml:space="preserve"> </w:t>
      </w:r>
      <w:r>
        <w:rPr>
          <w:rFonts w:ascii="Nirmala UI" w:hAnsi="Nirmala UI" w:eastAsia="Nirmala UI" w:cs="Nirmala UI"/>
        </w:rPr>
        <w:t>ବଳିଦାନ</w:t>
      </w:r>
      <w:r>
        <w:rPr>
          <w:rFonts w:ascii="Times New Roman" w:hAnsi="Times New Roman" w:eastAsia="Times New Roman" w:cs="Times New Roman"/>
        </w:rPr>
        <w:t xml:space="preserve"> </w:t>
      </w:r>
      <w:r>
        <w:rPr>
          <w:rFonts w:ascii="Nirmala UI" w:hAnsi="Nirmala UI" w:eastAsia="Nirmala UI" w:cs="Nirmala UI"/>
        </w:rPr>
        <w:t>ଅର୍ପଣଗୁଡ଼ିକ</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ସେଗୁଡ଼ିକ</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ସମ୍ବନ୍ଧିତ</w:t>
      </w:r>
      <w:r>
        <w:rPr>
          <w:rFonts w:ascii="Times New Roman" w:hAnsi="Times New Roman" w:eastAsia="Times New Roman" w:cs="Times New Roman"/>
        </w:rPr>
        <w:t xml:space="preserve"> </w:t>
      </w:r>
      <w:r>
        <w:rPr>
          <w:rFonts w:ascii="Nirmala UI" w:hAnsi="Nirmala UI" w:eastAsia="Nirmala UI" w:cs="Nirmala UI"/>
        </w:rPr>
        <w:t>ସେବା</w:t>
      </w:r>
      <w:r>
        <w:rPr>
          <w:rFonts w:ascii="Times New Roman" w:hAnsi="Times New Roman" w:eastAsia="Times New Roman" w:cs="Times New Roman"/>
        </w:rPr>
        <w:t xml:space="preserve"> </w:t>
      </w:r>
      <w:r>
        <w:rPr>
          <w:rFonts w:ascii="Nirmala UI" w:hAnsi="Nirmala UI" w:eastAsia="Nirmala UI" w:cs="Nirmala UI"/>
        </w:rPr>
        <w:t>ଅର୍ଥହୀନ</w:t>
      </w:r>
      <w:r>
        <w:rPr>
          <w:rFonts w:ascii="Times New Roman" w:hAnsi="Times New Roman" w:eastAsia="Times New Roman" w:cs="Times New Roman"/>
        </w:rPr>
        <w:t xml:space="preserve"> </w:t>
      </w:r>
      <w:r>
        <w:rPr>
          <w:rFonts w:ascii="Nirmala UI" w:hAnsi="Nirmala UI" w:eastAsia="Nirmala UI" w:cs="Nirmala UI"/>
        </w:rPr>
        <w:t>ହୋଇଗଲା।</w:t>
      </w:r>
      <w:r>
        <w:rPr>
          <w:rFonts w:ascii="Times New Roman" w:hAnsi="Times New Roman" w:eastAsia="Times New Roman" w:cs="Times New Roman"/>
        </w:rPr>
        <w:t xml:space="preserve"> </w:t>
      </w:r>
      <w:r>
        <w:rPr>
          <w:rFonts w:ascii="Nirmala UI" w:hAnsi="Nirmala UI" w:eastAsia="Nirmala UI" w:cs="Nirmala UI"/>
        </w:rPr>
        <w:t>କାୟିନଙ୍କ</w:t>
      </w:r>
      <w:r>
        <w:rPr>
          <w:rFonts w:ascii="Times New Roman" w:hAnsi="Times New Roman" w:eastAsia="Times New Roman" w:cs="Times New Roman"/>
        </w:rPr>
        <w:t xml:space="preserve"> </w:t>
      </w:r>
      <w:r>
        <w:rPr>
          <w:rFonts w:ascii="Nirmala UI" w:hAnsi="Nirmala UI" w:eastAsia="Nirmala UI" w:cs="Nirmala UI"/>
        </w:rPr>
        <w:t>ଅର୍ପଣ</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ସେଗୁଡ଼ିକ</w:t>
      </w:r>
      <w:r>
        <w:rPr>
          <w:rFonts w:ascii="Times New Roman" w:hAnsi="Times New Roman" w:eastAsia="Times New Roman" w:cs="Times New Roman"/>
        </w:rPr>
        <w:t xml:space="preserve"> </w:t>
      </w:r>
      <w:r>
        <w:rPr>
          <w:rFonts w:ascii="Nirmala UI" w:hAnsi="Nirmala UI" w:eastAsia="Nirmala UI" w:cs="Nirmala UI"/>
        </w:rPr>
        <w:t>ଉଦ୍ଧାରକର୍ତ୍ତାଙ୍କ</w:t>
      </w:r>
      <w:r>
        <w:rPr>
          <w:rFonts w:ascii="Times New Roman" w:hAnsi="Times New Roman" w:eastAsia="Times New Roman" w:cs="Times New Roman"/>
        </w:rPr>
        <w:t xml:space="preserve"> </w:t>
      </w:r>
      <w:r>
        <w:rPr>
          <w:rFonts w:ascii="Nirmala UI" w:hAnsi="Nirmala UI" w:eastAsia="Nirmala UI" w:cs="Nirmala UI"/>
        </w:rPr>
        <w:t>ପ୍ରତି</w:t>
      </w:r>
      <w:r>
        <w:rPr>
          <w:rFonts w:ascii="Times New Roman" w:hAnsi="Times New Roman" w:eastAsia="Times New Roman" w:cs="Times New Roman"/>
        </w:rPr>
        <w:t xml:space="preserve"> </w:t>
      </w:r>
      <w:r>
        <w:rPr>
          <w:rFonts w:ascii="Nirmala UI" w:hAnsi="Nirmala UI" w:eastAsia="Nirmala UI" w:cs="Nirmala UI"/>
        </w:rPr>
        <w:t>ବିଶ୍ୱାସର</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କରୁନଥିଲା।</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ମୃତ୍ୟୁଦଣ୍ଡକୁ</w:t>
      </w:r>
      <w:r>
        <w:rPr>
          <w:rFonts w:ascii="Times New Roman" w:hAnsi="Times New Roman" w:eastAsia="Times New Roman" w:cs="Times New Roman"/>
        </w:rPr>
        <w:t xml:space="preserve"> </w:t>
      </w:r>
      <w:r>
        <w:rPr>
          <w:rFonts w:ascii="Nirmala UI" w:hAnsi="Nirmala UI" w:eastAsia="Nirmala UI" w:cs="Nirmala UI"/>
        </w:rPr>
        <w:t>ସମର୍ପଣ</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ଯିହୂଦୀମାନେ</w:t>
      </w:r>
      <w:r>
        <w:rPr>
          <w:rFonts w:ascii="Times New Roman" w:hAnsi="Times New Roman" w:eastAsia="Times New Roman" w:cs="Times New Roman"/>
        </w:rPr>
        <w:t xml:space="preserve"> </w:t>
      </w:r>
      <w:r>
        <w:rPr>
          <w:rFonts w:ascii="Nirmala UI" w:hAnsi="Nirmala UI" w:eastAsia="Nirmala UI" w:cs="Nirmala UI"/>
        </w:rPr>
        <w:t>ପ୍ରକୃତରେ</w:t>
      </w:r>
      <w:r>
        <w:rPr>
          <w:rFonts w:ascii="Times New Roman" w:hAnsi="Times New Roman" w:eastAsia="Times New Roman" w:cs="Times New Roman"/>
        </w:rPr>
        <w:t xml:space="preserve"> </w:t>
      </w:r>
      <w:r>
        <w:rPr>
          <w:rFonts w:ascii="Nirmala UI" w:hAnsi="Nirmala UI" w:eastAsia="Nirmala UI" w:cs="Nirmala UI"/>
        </w:rPr>
        <w:t>ନିଜମାନଙ୍କର</w:t>
      </w:r>
      <w:r>
        <w:rPr>
          <w:rFonts w:ascii="Times New Roman" w:hAnsi="Times New Roman" w:eastAsia="Times New Roman" w:cs="Times New Roman"/>
        </w:rPr>
        <w:t xml:space="preserve"> </w:t>
      </w:r>
      <w:r>
        <w:rPr>
          <w:rFonts w:ascii="Nirmala UI" w:hAnsi="Nirmala UI" w:eastAsia="Nirmala UI" w:cs="Nirmala UI"/>
        </w:rPr>
        <w:t>ମନ୍ଦିରକୁ</w:t>
      </w:r>
      <w:r>
        <w:rPr>
          <w:rFonts w:ascii="Times New Roman" w:hAnsi="Times New Roman" w:eastAsia="Times New Roman" w:cs="Times New Roman"/>
        </w:rPr>
        <w:t xml:space="preserve"> </w:t>
      </w:r>
      <w:r>
        <w:rPr>
          <w:rFonts w:ascii="Nirmala UI" w:hAnsi="Nirmala UI" w:eastAsia="Nirmala UI" w:cs="Nirmala UI"/>
        </w:rPr>
        <w:t>ଧ୍ୱଂସ</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କ୍ରୁଶରେ</w:t>
      </w:r>
      <w:r>
        <w:rPr>
          <w:rFonts w:ascii="Times New Roman" w:hAnsi="Times New Roman" w:eastAsia="Times New Roman" w:cs="Times New Roman"/>
        </w:rPr>
        <w:t xml:space="preserve"> </w:t>
      </w:r>
      <w:r>
        <w:rPr>
          <w:rFonts w:ascii="Nirmala UI" w:hAnsi="Nirmala UI" w:eastAsia="Nirmala UI" w:cs="Nirmala UI"/>
        </w:rPr>
        <w:t>ବିଧ୍ଧ</w:t>
      </w:r>
      <w:r>
        <w:rPr>
          <w:rFonts w:ascii="Times New Roman" w:hAnsi="Times New Roman" w:eastAsia="Times New Roman" w:cs="Times New Roman"/>
        </w:rPr>
        <w:t xml:space="preserve"> </w:t>
      </w:r>
      <w:r>
        <w:rPr>
          <w:rFonts w:ascii="Nirmala UI" w:hAnsi="Nirmala UI" w:eastAsia="Nirmala UI" w:cs="Nirmala UI"/>
        </w:rPr>
        <w:t>କରାଗଲା</w:t>
      </w:r>
      <w:r>
        <w:rPr>
          <w:rFonts w:ascii="Times New Roman" w:hAnsi="Times New Roman" w:eastAsia="Times New Roman" w:cs="Times New Roman"/>
        </w:rPr>
        <w:t xml:space="preserve">, </w:t>
      </w:r>
      <w:r>
        <w:rPr>
          <w:rFonts w:ascii="Nirmala UI" w:hAnsi="Nirmala UI" w:eastAsia="Nirmala UI" w:cs="Nirmala UI"/>
        </w:rPr>
        <w:t>ମନ୍ଦିରର</w:t>
      </w:r>
      <w:r>
        <w:rPr>
          <w:rFonts w:ascii="Times New Roman" w:hAnsi="Times New Roman" w:eastAsia="Times New Roman" w:cs="Times New Roman"/>
        </w:rPr>
        <w:t xml:space="preserve"> </w:t>
      </w:r>
      <w:r>
        <w:rPr>
          <w:rFonts w:ascii="Nirmala UI" w:hAnsi="Nirmala UI" w:eastAsia="Nirmala UI" w:cs="Nirmala UI"/>
        </w:rPr>
        <w:t>ଅନ୍ତର୍ବର୍ତ୍ତୀ</w:t>
      </w:r>
      <w:r>
        <w:rPr>
          <w:rFonts w:ascii="Times New Roman" w:hAnsi="Times New Roman" w:eastAsia="Times New Roman" w:cs="Times New Roman"/>
        </w:rPr>
        <w:t xml:space="preserve"> </w:t>
      </w:r>
      <w:r>
        <w:rPr>
          <w:rFonts w:ascii="Nirmala UI" w:hAnsi="Nirmala UI" w:eastAsia="Nirmala UI" w:cs="Nirmala UI"/>
        </w:rPr>
        <w:t>ପର୍ଦ୍ଦା</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ତଳ</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ଦୁଇ</w:t>
      </w:r>
      <w:r>
        <w:rPr>
          <w:rFonts w:ascii="Times New Roman" w:hAnsi="Times New Roman" w:eastAsia="Times New Roman" w:cs="Times New Roman"/>
        </w:rPr>
        <w:t xml:space="preserve"> </w:t>
      </w:r>
      <w:r>
        <w:rPr>
          <w:rFonts w:ascii="Nirmala UI" w:hAnsi="Nirmala UI" w:eastAsia="Nirmala UI" w:cs="Nirmala UI"/>
        </w:rPr>
        <w:t>ଖଣ୍ଡରେ</w:t>
      </w:r>
      <w:r>
        <w:rPr>
          <w:rFonts w:ascii="Times New Roman" w:hAnsi="Times New Roman" w:eastAsia="Times New Roman" w:cs="Times New Roman"/>
        </w:rPr>
        <w:t xml:space="preserve"> </w:t>
      </w:r>
      <w:r>
        <w:rPr>
          <w:rFonts w:ascii="Nirmala UI" w:hAnsi="Nirmala UI" w:eastAsia="Nirmala UI" w:cs="Nirmala UI"/>
        </w:rPr>
        <w:t>ଫାଟିଗଲା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କଥାର</w:t>
      </w:r>
      <w:r>
        <w:rPr>
          <w:rFonts w:ascii="Times New Roman" w:hAnsi="Times New Roman" w:eastAsia="Times New Roman" w:cs="Times New Roman"/>
        </w:rPr>
        <w:t xml:space="preserve"> </w:t>
      </w:r>
      <w:r>
        <w:rPr>
          <w:rFonts w:ascii="Nirmala UI" w:hAnsi="Nirmala UI" w:eastAsia="Nirmala UI" w:cs="Nirmala UI"/>
        </w:rPr>
        <w:t>ସଙ୍କେତ</w:t>
      </w:r>
      <w:r>
        <w:rPr>
          <w:rFonts w:ascii="Times New Roman" w:hAnsi="Times New Roman" w:eastAsia="Times New Roman" w:cs="Times New Roman"/>
        </w:rPr>
        <w:t xml:space="preserve"> </w:t>
      </w:r>
      <w:r>
        <w:rPr>
          <w:rFonts w:ascii="Nirmala UI" w:hAnsi="Nirmala UI" w:eastAsia="Nirmala UI" w:cs="Nirmala UI"/>
        </w:rPr>
        <w:t>ଦେଉଥିଲା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ମହାନ</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ବଳିଦାନ</w:t>
      </w:r>
      <w:r>
        <w:rPr>
          <w:rFonts w:ascii="Times New Roman" w:hAnsi="Times New Roman" w:eastAsia="Times New Roman" w:cs="Times New Roman"/>
        </w:rPr>
        <w:t xml:space="preserve"> </w:t>
      </w:r>
      <w:r>
        <w:rPr>
          <w:rFonts w:ascii="Nirmala UI" w:hAnsi="Nirmala UI" w:eastAsia="Nirmala UI" w:cs="Nirmala UI"/>
        </w:rPr>
        <w:t>ଅର୍ପିତ</w:t>
      </w:r>
      <w:r>
        <w:rPr>
          <w:rFonts w:ascii="Times New Roman" w:hAnsi="Times New Roman" w:eastAsia="Times New Roman" w:cs="Times New Roman"/>
        </w:rPr>
        <w:t xml:space="preserve"> </w:t>
      </w:r>
      <w:r>
        <w:rPr>
          <w:rFonts w:ascii="Nirmala UI" w:hAnsi="Nirmala UI" w:eastAsia="Nirmala UI" w:cs="Nirmala UI"/>
        </w:rPr>
        <w:t>ହୋଇସାରିଛି</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ବଳିଦାନ</w:t>
      </w:r>
      <w:r>
        <w:rPr>
          <w:rFonts w:ascii="Times New Roman" w:hAnsi="Times New Roman" w:eastAsia="Times New Roman" w:cs="Times New Roman"/>
        </w:rPr>
        <w:t xml:space="preserve"> </w:t>
      </w:r>
      <w:r>
        <w:rPr>
          <w:rFonts w:ascii="Nirmala UI" w:hAnsi="Nirmala UI" w:eastAsia="Nirmala UI" w:cs="Nirmala UI"/>
        </w:rPr>
        <w:t>ଅର୍ପଣର</w:t>
      </w:r>
      <w:r>
        <w:rPr>
          <w:rFonts w:ascii="Times New Roman" w:hAnsi="Times New Roman" w:eastAsia="Times New Roman" w:cs="Times New Roman"/>
        </w:rPr>
        <w:t xml:space="preserve"> </w:t>
      </w:r>
      <w:r>
        <w:rPr>
          <w:rFonts w:ascii="Nirmala UI" w:hAnsi="Nirmala UI" w:eastAsia="Nirmala UI" w:cs="Nirmala UI"/>
        </w:rPr>
        <w:t>ପ୍ରଣାଳୀ</w:t>
      </w:r>
      <w:r>
        <w:rPr>
          <w:rFonts w:ascii="Times New Roman" w:hAnsi="Times New Roman" w:eastAsia="Times New Roman" w:cs="Times New Roman"/>
        </w:rPr>
        <w:t xml:space="preserve"> </w:t>
      </w:r>
      <w:r>
        <w:rPr>
          <w:rFonts w:ascii="Nirmala UI" w:hAnsi="Nirmala UI" w:eastAsia="Nirmala UI" w:cs="Nirmala UI"/>
        </w:rPr>
        <w:t>ସଦାକାଳ</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ହୋଇଗଲା।</w:t>
      </w:r>
      <w:r>
        <w:rPr>
          <w:rFonts w:ascii="Times New Roman" w:hAnsi="Times New Roman" w:eastAsia="Times New Roman" w:cs="Times New Roman"/>
        </w:rPr>
        <w:t>» The Desire of Ages, 165.</w:t>
      </w:r>
    </w:p>
    <w:p>
      <w:pPr>
        <w:pStyle w:val="ArticleBody"/>
        <w:jc w:val="left"/>
      </w:pPr>
      <w:r>
        <w:rPr>
          <w:rFonts w:ascii="Times New Roman" w:hAnsi="Times New Roman" w:eastAsia="Times New Roman" w:cs="Times New Roman"/>
        </w:rPr>
        <w:t>ایا یہودیوں نے اپنی انجیل کی ردّیّت پر مہر استیفانُس کے سنگسار کیے جانے کے وقت ثبت کی یا مسیح کی صلیب پر؟ یہ ظاہری تضاد اُس ظاہری تضاد سے وابستہ ہے جو پینتیکوست کے موقع پر خدا کی قدرت کے ظہور کی شناخت کو عنقریب آنے والے اتوار کے قانون سے مربوط کرتا ہے۔</w:t>
      </w:r>
    </w:p>
    <w:p>
      <w:pPr>
        <w:pStyle w:val="ArticleBody"/>
        <w:jc w:val="left"/>
      </w:pPr>
      <w:r>
        <w:rPr>
          <w:rFonts w:ascii="Times New Roman" w:hAnsi="Times New Roman" w:eastAsia="Times New Roman" w:cs="Times New Roman"/>
        </w:rPr>
        <w:t>A ne yọ̀ǹda láti yan ìfarahàn àtakò náà kúrò ní àpilẹ̀kọ tí ń bọ̀, ṣùgbọ́n mo fẹ́ rántí wa pé ète ìwádìí pàtó yìí dá lórí òtítọ́ tí àwọn wòlíì fi hàn pé àwọn ènìyàn Laodicea ti Ọlọ́run ní àwọn ọjọ́ ìkẹyìn kò lóye ìdájọ́ náà. A ti fi àkókò sí i láti tún àwọn àkókò oríṣìíríṣìí àti àwọn ète ìdájọ́ náà wò, kí ó lè yé wa kedere bí ìdájọ́ ìwádìí àti ìdájọ́ ìmúṣẹ ṣe pàdé ara wọn méjèèjì ní òfin Àìkú tó ń bọ̀ láìpẹ́. Kí a lè rí ìfihàn tí ó ní í ṣe pẹ̀lú àwọn ìfarahàn àtakò tí a ṣẹ̀ṣẹ̀ gbé kalẹ̀, ó ṣe pàtàkì kí a ti tún àwọn ẹ̀ka wọ̀nyí wò.</w:t>
      </w:r>
    </w:p>
    <w:p>
      <w:pPr>
        <w:pStyle w:val="ArticleBody"/>
        <w:jc w:val="left"/>
      </w:pPr>
      <w:r>
        <w:rPr>
          <w:rFonts w:ascii="Times New Roman" w:hAnsi="Times New Roman" w:eastAsia="Times New Roman" w:cs="Times New Roman"/>
        </w:rPr>
        <w:t>Yatirinakax jutïr qillqatan akham yatxatañsa sarantaskakïniwa.</w:t>
      </w:r>
    </w:p>
    <w:p>
      <w:pPr>
        <w:pStyle w:val="ArticleScripture"/>
        <w:jc w:val="left"/>
      </w:pPr>
      <w:r>
        <w:rPr>
          <w:rFonts w:ascii="Times New Roman" w:hAnsi="Times New Roman" w:eastAsia="Times New Roman" w:cs="Times New Roman"/>
        </w:rPr>
        <w:t>“Katuliko Romano ay inakakilala nira na an pagliwat kan Sabbath ginibo kan saindang iglesia, asin ini mismong pagliwat an ginagamit ninda bilang katibayan kan pinakamataas na awtoridad kan iglesia. Ipinapahayag ninda na, sa pangingilin kan enot na aldaw kan simana bilang Sabbath, an mga Protestante nagkikilala sa saiyang gahum na maghimo nin mga balaod manungod sa mga bagay na banal. An iglesia Romano dai pa binitiwan an saiyang pag-angkon nin pagkadai-masayop; asin kun an kinaban asin an mga iglesiang Protestante tatanggap nin huwad na Sabbath na hinimo niya, mintras na isinasalikway ninda an Sabbath ni Jehova, sa tinuod inaatubang ninda an pag-angkon na ini. Mahimo nindang sambiton an awtoridad para sa pagliwat na ini, alagad an kasaypan kan saindang pangangatwiran masayon nang mahiling. An papista sapat an talas nin isip tanganing mahiling na an mga Protestante pinadadaya sana an sadiri ninda, na bukal sa boot na pinipikit an saindang mga mata sa mga katotohanan kan pangyayari. Habang an institusyon kan Domingo lalo pang tinatangkilik, nagriribok siya sa kagayaan, tanganing sigurado siya na sa huri madadara ini an bilog na mundong Protestante sa idalom kan bandera kan Roma.”</w:t>
      </w:r>
    </w:p>
    <w:p>
      <w:pPr>
        <w:pStyle w:val="ArticleScripture"/>
        <w:jc w:val="left"/>
      </w:pPr>
      <w:r>
        <w:rPr>
          <w:rFonts w:ascii="Times New Roman" w:hAnsi="Times New Roman" w:eastAsia="Times New Roman" w:cs="Times New Roman"/>
        </w:rPr>
        <w:t>“Àtúnṣe Ọjọ́ Ìsinmi ni àmì tàbí àpẹẹrẹ àṣẹ Ìjọ Róòmù. Àwọn tí, ní òye ìbéèrè òfin kẹ́rin, bá yàn láti pa Ọjọ́ Ìsinmi èké mọ́ dípò èyí tòótọ́, nípa bẹ́ẹ̀ ni wọ́n ń san ọlá fún agbára náà nìkan tí ó pa á láṣẹ. Àmì ẹranko náà ni Ọjọ́ Ìsinmi ti Pápá, èyí tí ayé ti gbà gẹ́gẹ́ bí ipò ọjọ́ tí Ọlọ́run ti yàn.”</w:t>
      </w:r>
    </w:p>
    <w:p>
      <w:pPr>
        <w:pStyle w:val="ArticleScripture"/>
        <w:jc w:val="left"/>
      </w:pPr>
      <w:r>
        <w:rPr>
          <w:rFonts w:ascii="Times New Roman" w:hAnsi="Times New Roman" w:eastAsia="Times New Roman" w:cs="Times New Roman"/>
        </w:rPr>
        <w:t>“Ali vreme da se primi žig zveri, kako je određeno u proročanstvu, još nije došlo. Vreme kušnje još nije nastupilo. U svakoj crkvi ima istinskih hrišćana, ne isključujući ni rimokatoličku zajednicu. Niko nije osuđen dok ne primi svetlost i ne uvidi obaveznost četvrte zapovesti. Ali kada izađe uredba kojom se nameće krivotvorena subota, i kada silni poklič trećeg anđela opomene ljude protiv obožavanja zveri i njene ikone, tada će se jasno povući granica između lažnog i istinitog. Tada će oni koji i dalje ostanu u prestupu primiti žig zveri na svoja čela ili na svoje ruke.”</w:t>
      </w:r>
    </w:p>
    <w:p>
      <w:pPr>
        <w:pStyle w:val="ArticleScripture"/>
        <w:jc w:val="left"/>
      </w:pPr>
      <w:r>
        <w:rPr>
          <w:rFonts w:ascii="Times New Roman" w:hAnsi="Times New Roman" w:eastAsia="Times New Roman" w:cs="Times New Roman"/>
        </w:rPr>
        <w:t>“Táimid ag druidim go mear leis an tréimhse seo. Nuair a dhéanfaidh eaglaisí Protastúnacha aontú leis an gcumhacht shaolta chun reiligiún bréagach a chothú, reiligiún ar fhulaing a sinsir an géarleanúint ba dhéine dá bharr a chur ina choinne, ansin cuirfear Sabóid na pápaíochta i bhfeidhm le húdarás comhcheangailte na heaglaise agus an stáit. Beidh apostasaí náisiúnta ann, agus ní chríochnóidh sí ach i scrios náisiúnta.” Bible Training School, 2 Feabhra,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ꯗꯥꯅꯤꯌꯦꯜꯒꯤ ꯂꯥꯏꯔꯤꯛ — ꯑꯃꯁꯨꯡ ꯃꯥꯔꯤ ꯃꯥꯔꯤꯂꯤꯕꯥ ꯃꯑꯥꯡ ꯱꯰꯴ ꯔꯣꯝ ꯃꯔꯤ</dc:title>
  <dc:subject>ᎤᏓᏃᎵᏍᏔᏅ ᎤᏙᎴᎰᏒ ᎤᏍᏆᏂᎪᏗ ᏗᎦᏚᎩ ᎤᏓᏅᏙ: ᎤᏬᎵᏍᏗ ᎠᎴ ᎤᏙᎯᏳᎯ ᏧᎪᎵᏰᏗ ᎤᎾᎵᏍᏕᎸᏙᏗ ᎤᎵᏍᏆᏛ ᎢᎦᎵᏒᎢ</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