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Tuma ya Daniyeli - Mia Moja na Kumi na Mbili</w:t>
      </w:r>
    </w:p>
    <w:p>
      <w:pPr>
        <w:pStyle w:val="ArticleSubtitle"/>
        <w:jc w:val="left"/>
      </w:pPr>
      <w:r>
        <w:rPr>
          <w:rFonts w:ascii="Arial" w:hAnsi="Arial" w:eastAsia="Arial" w:cs="Arial"/>
        </w:rPr>
        <w:t>Maana Ya Kinabii ya Ishmaeli Yafunuliwa: Kutoka Mpiga Upinde hadi Mtiia Muhuri wale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E kiñ aŋaayoon ak xale bi; mu màgg, dëkk ci màndiŋ ma, ba nekk ku xam fit. Génesis 21:20.</w:t>
      </w:r>
    </w:p>
    <w:p>
      <w:pPr>
        <w:pStyle w:val="ArticleBody"/>
        <w:jc w:val="left"/>
      </w:pPr>
      <w:r>
        <w:rPr>
          <w:rFonts w:ascii="Times New Roman" w:hAnsi="Times New Roman" w:eastAsia="Times New Roman" w:cs="Times New Roman"/>
        </w:rPr>
        <w:t>Ishmael mi a-loŋ-nyuɔth yic, ci bɛny de kɛ tɔ̈u pinyic, ku bɛny de kɛ piny tɛ̈m ma a-cɔl kuɔɔny ku Rɔm.</w:t>
      </w:r>
    </w:p>
    <w:p>
      <w:pPr>
        <w:pStyle w:val="ArticleScripture"/>
        <w:jc w:val="left"/>
      </w:pPr>
      <w:r>
        <w:rPr>
          <w:rFonts w:ascii="Times New Roman" w:hAnsi="Times New Roman" w:eastAsia="Times New Roman" w:cs="Times New Roman"/>
        </w:rPr>
        <w:t>Asoo warra baqatan fi miliqan biyya Baabilon keessaa sagalee, Siyoona keessatti haaloo Waaqayyo gooftaa keenyaatii, haaloo mana qulqullummaa isaatii labsuuf. Warra xiyyaafatan Baabilonitti walitti waamaa; isin hundinuu kan kamaniin qawwee, naannoo isheetti qubadaa; namni tokko iyyuu keessaa haa hin miliqne; akka hojii isheetti isheedhaaf deebisaa; akka waan hundumaa isheen hojjetteetti isheedhaaf godhaa; sababni isaas, Waaqayyotti, Qulqulluu Israa’elitti of tuulteetti. Ermiyaas 50:28, 29.</w:t>
      </w:r>
    </w:p>
    <w:p>
      <w:pPr>
        <w:pStyle w:val="ArticleBody"/>
        <w:jc w:val="left"/>
      </w:pPr>
      <w:r>
        <w:rPr>
          <w:rFonts w:ascii="Times New Roman" w:hAnsi="Times New Roman" w:eastAsia="Times New Roman" w:cs="Times New Roman"/>
        </w:rPr>
        <w:t>Оқ атушылар Бабылға оның ісіне қарай қарымта қайтарады, ал сол қарымта жақында келетін жексенбілік заңнан, Аян кітабының он сегізінші тарауындағы екінші дауыспен, Бабылға қатысты үдемелі атқарушы үкім басталатын кезде басталады.</w:t>
      </w:r>
    </w:p>
    <w:p>
      <w:pPr>
        <w:pStyle w:val="ArticleScripture"/>
        <w:jc w:val="left"/>
      </w:pPr>
      <w:r>
        <w:rPr>
          <w:rFonts w:ascii="Times New Roman" w:hAnsi="Times New Roman" w:eastAsia="Times New Roman" w:cs="Times New Roman"/>
        </w:rPr>
        <w:t>Ug mrineng a boses a naggapu iti langit, a kunkunana, Rummuarcayo kencuana, O tattaoc, tapno dicay makipagpaset cadagiti basbasolna, ket tapno dicay maawat dagiti didigraenna. Ta dagiti basbasolna dimtengda agingga iti langit, ket nalagip ti Dios dagiti kinadakesna. Supapakanyo isuna a cas iti panangsupapakna cadacayo, ket maminduayo kencuana ti mamindua a maiyannatup iti aramidna: iti kopa a pinunnona, punnoanyo kencuana ti mamindua. No casano ti kinapannakailanglangenna iti bagina, ken panagbiagna iti kinaragragsac, castoy met laeng ti panangtedyo kencuana iti panagrigrigat ken ladingit: ta cunana iti pusona, Agtugtugawac a reyna, ket saanac a balo, ket dinto pulos makita ti ladingit. Apocalipsis 18:4–7.</w:t>
      </w:r>
    </w:p>
    <w:p>
      <w:pPr>
        <w:pStyle w:val="ArticleBody"/>
        <w:jc w:val="left"/>
      </w:pPr>
      <w:r>
        <w:rPr>
          <w:rFonts w:ascii="Nirmala UI" w:hAnsi="Nirmala UI" w:eastAsia="Nirmala UI" w:cs="Nirmala UI"/>
        </w:rPr>
        <w:t>ਈਸ਼ਮਾਏਲ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ਹਾਗਰ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ਪਹਿਲੌਠੇ</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ਵਿਰਾਸਤ</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ਰੋਕਿਆ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ਕੱਢ</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ਇਰਖਾ</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ਪ੍ਰੇਰਣਾ</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ਉਲਲੇਖਨਾ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ਸਾਰਾਹ</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ਈਸ਼ਮਾਏਲ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ਲਗਾਈ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ਵਿਸ਼ੇਸ਼ਤਾ</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ਈਸ਼ਮਾਏਲ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ਵੰਸ਼ਜ</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ਪ੍ਰਕਿਰਤੀ</w:t>
      </w:r>
      <w:r>
        <w:rPr>
          <w:rFonts w:ascii="Times New Roman" w:hAnsi="Times New Roman" w:eastAsia="Times New Roman" w:cs="Times New Roman"/>
        </w:rPr>
        <w:t xml:space="preserve"> </w:t>
      </w:r>
      <w:r>
        <w:rPr>
          <w:rFonts w:ascii="Nirmala UI" w:hAnsi="Nirmala UI" w:eastAsia="Nirmala UI" w:cs="Nirmala UI"/>
        </w:rPr>
        <w:t>ਘੋੜਿਆਂ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ਅਰਬੀ</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ਘੋੜਿਆਂ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ਸਵਾਰ</w:t>
      </w:r>
      <w:r>
        <w:rPr>
          <w:rFonts w:ascii="Times New Roman" w:hAnsi="Times New Roman" w:eastAsia="Times New Roman" w:cs="Times New Roman"/>
        </w:rPr>
        <w:t xml:space="preserve"> </w:t>
      </w:r>
      <w:r>
        <w:rPr>
          <w:rFonts w:ascii="Nirmala UI" w:hAnsi="Nirmala UI" w:eastAsia="Nirmala UI" w:cs="Nirmala UI"/>
        </w:rPr>
        <w:t>ਯੋਧਿਆਂ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الإسلام هو رسالة المطر المتأخّر، ومن الملائم تمامًا أن تمثّل الويلات الثلاثة ثلاثةَ خطوطٍ نبوية محدّدة، لأن منهجية المطر المتأخّر هي «سطرًا على سطر». وعندما تُجمع الخصائص النبوية للخطّين الأوّلين معًا، فإنها تُقيم خطّ الويل الثالث. وتُصوّر الخطوط النبوية الثلاثة جميعًا فترة ختم المئة والأربعة والأربعين ألفًا. وتمثّل هذه الخطوط الثلاثة فترة انسكاب المطر المتأخّر، لأن المطر المتأخّر بدأ يتناثر حين وصل الويل الثالث في 11 سبتمبر/أيلول 2001.</w:t>
      </w:r>
    </w:p>
    <w:p>
      <w:pPr>
        <w:pStyle w:val="ArticleScripture"/>
        <w:jc w:val="left"/>
      </w:pPr>
      <w:r>
        <w:rPr>
          <w:rFonts w:ascii="Times New Roman" w:hAnsi="Times New Roman" w:eastAsia="Times New Roman" w:cs="Times New Roman"/>
        </w:rPr>
        <w:t>«Ndiwo mvura yokupedzisira ichadururirwa pamusoro pavanhu vaMwari. Ngirozi ine simba ichaburuka ichibva kudenga, uye nyika yose ichavhenekerwa nokubwinya kwayo.» Review and Herald, April 21, 1891.</w:t>
      </w:r>
    </w:p>
    <w:p>
      <w:pPr>
        <w:pStyle w:val="ArticleBody"/>
        <w:jc w:val="left"/>
      </w:pP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1840 </w:t>
      </w:r>
      <w:r>
        <w:rPr>
          <w:rFonts w:ascii="Nirmala UI" w:hAnsi="Nirmala UI" w:eastAsia="Nirmala UI" w:cs="Nirmala UI"/>
        </w:rPr>
        <w:t>ꯂꯤꯡꯈꯥꯠ</w:t>
      </w:r>
      <w:r>
        <w:rPr>
          <w:rFonts w:ascii="Times New Roman" w:hAnsi="Times New Roman" w:eastAsia="Times New Roman" w:cs="Times New Roman"/>
        </w:rPr>
        <w:t xml:space="preserve"> 8 </w:t>
      </w:r>
      <w:r>
        <w:rPr>
          <w:rFonts w:ascii="Nirmala UI" w:hAnsi="Nirmala UI" w:eastAsia="Nirmala UI" w:cs="Nirmala UI"/>
        </w:rPr>
        <w:t>ꯂꯟ</w:t>
      </w:r>
      <w:r>
        <w:rPr>
          <w:rFonts w:ascii="Times New Roman" w:hAnsi="Times New Roman" w:eastAsia="Times New Roman" w:cs="Times New Roman"/>
        </w:rPr>
        <w:t xml:space="preserve"> 11 </w:t>
      </w:r>
      <w:r>
        <w:rPr>
          <w:rFonts w:ascii="Nirmala UI" w:hAnsi="Nirmala UI" w:eastAsia="Nirmala UI" w:cs="Nirmala UI"/>
        </w:rPr>
        <w:t>ꯅꯨꯃꯤꯠꯇꯗ</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1844 </w:t>
      </w:r>
      <w:r>
        <w:rPr>
          <w:rFonts w:ascii="Nirmala UI" w:hAnsi="Nirmala UI" w:eastAsia="Nirmala UI" w:cs="Nirmala UI"/>
        </w:rPr>
        <w:t>ꯂꯤꯡꯈꯥꯠ</w:t>
      </w:r>
      <w:r>
        <w:rPr>
          <w:rFonts w:ascii="Times New Roman" w:hAnsi="Times New Roman" w:eastAsia="Times New Roman" w:cs="Times New Roman"/>
        </w:rPr>
        <w:t xml:space="preserve"> 10 </w:t>
      </w:r>
      <w:r>
        <w:rPr>
          <w:rFonts w:ascii="Nirmala UI" w:hAnsi="Nirmala UI" w:eastAsia="Nirmala UI" w:cs="Nirmala UI"/>
        </w:rPr>
        <w:t>ꯂꯟ</w:t>
      </w:r>
      <w:r>
        <w:rPr>
          <w:rFonts w:ascii="Times New Roman" w:hAnsi="Times New Roman" w:eastAsia="Times New Roman" w:cs="Times New Roman"/>
        </w:rPr>
        <w:t xml:space="preserve"> 22 </w:t>
      </w:r>
      <w:r>
        <w:rPr>
          <w:rFonts w:ascii="Nirmala UI" w:hAnsi="Nirmala UI" w:eastAsia="Nirmala UI" w:cs="Nirmala UI"/>
        </w:rPr>
        <w:t>ꯅꯨꯃꯤꯠꯇꯗ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ꯏꯪꯈꯣꯜ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ꯂꯥꯛꯄꯥꯁꯤꯡꯗ</w:t>
      </w:r>
      <w:r>
        <w:rPr>
          <w:rFonts w:ascii="Times New Roman" w:hAnsi="Times New Roman" w:eastAsia="Times New Roman" w:cs="Times New Roman"/>
        </w:rPr>
        <w:t xml:space="preserve"> </w:t>
      </w:r>
      <w:r>
        <w:rPr>
          <w:rFonts w:ascii="Nirmala UI" w:hAnsi="Nirmala UI" w:eastAsia="Nirmala UI" w:cs="Nirmala UI"/>
        </w:rPr>
        <w:t>ꯂꯣꯏꯁꯤꯟꯈꯤꯕ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ꯍꯕꯛꯀꯨꯛ</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ꯃꯀꯣꯜꯗ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ꯃꯤꯜꯂꯔꯥꯏꯠ</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ꯍꯕꯛꯀꯨꯛ</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w:t>
      </w:r>
      <w:r>
        <w:rPr>
          <w:rFonts w:ascii="Times New Roman" w:hAnsi="Times New Roman" w:eastAsia="Times New Roman" w:cs="Times New Roman"/>
        </w:rPr>
        <w:t xml:space="preserve"> </w:t>
      </w:r>
      <w:r>
        <w:rPr>
          <w:rFonts w:ascii="Nirmala UI" w:hAnsi="Nirmala UI" w:eastAsia="Nirmala UI" w:cs="Nirmala UI"/>
        </w:rPr>
        <w:t>ꯑꯣꯏꯁꯤꯡ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1840 </w:t>
      </w:r>
      <w:r>
        <w:rPr>
          <w:rFonts w:ascii="Nirmala UI" w:hAnsi="Nirmala UI" w:eastAsia="Nirmala UI" w:cs="Nirmala UI"/>
        </w:rPr>
        <w:t>ꯂꯤꯡꯈꯥꯠ</w:t>
      </w:r>
      <w:r>
        <w:rPr>
          <w:rFonts w:ascii="Times New Roman" w:hAnsi="Times New Roman" w:eastAsia="Times New Roman" w:cs="Times New Roman"/>
        </w:rPr>
        <w:t xml:space="preserve"> 8 </w:t>
      </w:r>
      <w:r>
        <w:rPr>
          <w:rFonts w:ascii="Nirmala UI" w:hAnsi="Nirmala UI" w:eastAsia="Nirmala UI" w:cs="Nirmala UI"/>
        </w:rPr>
        <w:t>ꯂꯟ</w:t>
      </w:r>
      <w:r>
        <w:rPr>
          <w:rFonts w:ascii="Times New Roman" w:hAnsi="Times New Roman" w:eastAsia="Times New Roman" w:cs="Times New Roman"/>
        </w:rPr>
        <w:t xml:space="preserve"> 11 </w:t>
      </w:r>
      <w:r>
        <w:rPr>
          <w:rFonts w:ascii="Nirmala UI" w:hAnsi="Nirmala UI" w:eastAsia="Nirmala UI" w:cs="Nirmala UI"/>
        </w:rPr>
        <w:t>ꯅꯨꯃꯤꯠꯇꯗ</w:t>
      </w:r>
      <w:r>
        <w:rPr>
          <w:rFonts w:ascii="Times New Roman" w:hAnsi="Times New Roman" w:eastAsia="Times New Roman" w:cs="Times New Roman"/>
        </w:rPr>
        <w:t xml:space="preserve"> </w:t>
      </w:r>
      <w:r>
        <w:rPr>
          <w:rFonts w:ascii="Nirmala UI" w:hAnsi="Nirmala UI" w:eastAsia="Nirmala UI" w:cs="Nirmala UI"/>
        </w:rPr>
        <w:t>ꯏꯪꯈꯣꯜ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ꯑꯆꯧꯕꯗꯒꯤ</w:t>
      </w:r>
      <w:r>
        <w:rPr>
          <w:rFonts w:ascii="Times New Roman" w:hAnsi="Times New Roman" w:eastAsia="Times New Roman" w:cs="Times New Roman"/>
        </w:rPr>
        <w:t xml:space="preserve"> </w:t>
      </w:r>
      <w:r>
        <w:rPr>
          <w:rFonts w:ascii="Nirmala UI" w:hAnsi="Nirmala UI" w:eastAsia="Nirmala UI" w:cs="Nirmala UI"/>
        </w:rPr>
        <w:t>ꯍꯧꯗꯣꯛꯈꯤ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1844 </w:t>
      </w:r>
      <w:r>
        <w:rPr>
          <w:rFonts w:ascii="Nirmala UI" w:hAnsi="Nirmala UI" w:eastAsia="Nirmala UI" w:cs="Nirmala UI"/>
        </w:rPr>
        <w:t>ꯂꯤꯡꯈꯥꯠ</w:t>
      </w:r>
      <w:r>
        <w:rPr>
          <w:rFonts w:ascii="Times New Roman" w:hAnsi="Times New Roman" w:eastAsia="Times New Roman" w:cs="Times New Roman"/>
        </w:rPr>
        <w:t xml:space="preserve"> 10 </w:t>
      </w:r>
      <w:r>
        <w:rPr>
          <w:rFonts w:ascii="Nirmala UI" w:hAnsi="Nirmala UI" w:eastAsia="Nirmala UI" w:cs="Nirmala UI"/>
        </w:rPr>
        <w:t>ꯂꯟ</w:t>
      </w:r>
      <w:r>
        <w:rPr>
          <w:rFonts w:ascii="Times New Roman" w:hAnsi="Times New Roman" w:eastAsia="Times New Roman" w:cs="Times New Roman"/>
        </w:rPr>
        <w:t xml:space="preserve"> 22 </w:t>
      </w:r>
      <w:r>
        <w:rPr>
          <w:rFonts w:ascii="Nirmala UI" w:hAnsi="Nirmala UI" w:eastAsia="Nirmala UI" w:cs="Nirmala UI"/>
        </w:rPr>
        <w:t>ꯅꯨꯃꯤꯠꯇꯗ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ꯏꯪꯈꯣꯜ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ꯂꯥꯛꯄꯗ</w:t>
      </w:r>
      <w:r>
        <w:rPr>
          <w:rFonts w:ascii="Times New Roman" w:hAnsi="Times New Roman" w:eastAsia="Times New Roman" w:cs="Times New Roman"/>
        </w:rPr>
        <w:t xml:space="preserve"> </w:t>
      </w:r>
      <w:r>
        <w:rPr>
          <w:rFonts w:ascii="Nirmala UI" w:hAnsi="Nirmala UI" w:eastAsia="Nirmala UI" w:cs="Nirmala UI"/>
        </w:rPr>
        <w:t>ꯂꯣꯏꯁꯤꯟꯈꯤ꯫</w:t>
      </w:r>
    </w:p>
    <w:p>
      <w:pPr>
        <w:pStyle w:val="ArticleBody"/>
        <w:jc w:val="left"/>
      </w:pPr>
      <w:r>
        <w:rPr>
          <w:rFonts w:ascii="Times New Roman" w:hAnsi="Times New Roman" w:eastAsia="Times New Roman" w:cs="Times New Roman"/>
        </w:rPr>
        <w:t>Yil Habakkuuk munkay ñiqiqa qhipa rikch’aypa tukukuyninpi, chay rikch’ayqa “rimarinan” kasqanta sut’inchan. Apocalipsis chunka ñiqi kapítulopa kinsa versículonpi, angelqa hatun kunkawan waqaspa (rimarispa) rimarqan, hinaspa 1844 watapi octubre killapa 22 p’unchawninpi, chay kikin angelmi juraspa (rimarispa) nirqan: “pachaqa mana aswan kaqchu kanqa.” Habakkuukpa qhawaqninqa, iskay ñiqi kapítulopa huk versículonpi, 1840 watapi agosto killapa 11 p’unchawninpi churakusan, chaypim qhawaqkuna kunkunkuta oqarinku.</w:t>
      </w:r>
    </w:p>
    <w:p>
      <w:pPr>
        <w:pStyle w:val="ArticleBody"/>
        <w:jc w:val="left"/>
      </w:pPr>
      <w:r>
        <w:rPr>
          <w:rFonts w:ascii="Times New Roman" w:hAnsi="Times New Roman" w:eastAsia="Times New Roman" w:cs="Times New Roman"/>
        </w:rPr>
        <w:t xml:space="preserve">1888 </w:t>
      </w:r>
      <w:r>
        <w:rPr>
          <w:rFonts w:ascii="Gadugi" w:hAnsi="Gadugi" w:eastAsia="Gadugi" w:cs="Gadugi"/>
        </w:rPr>
        <w:t>ᎤᏓᎵᏍᎬ</w:t>
      </w:r>
      <w:r>
        <w:rPr>
          <w:rFonts w:ascii="Times New Roman" w:hAnsi="Times New Roman" w:eastAsia="Times New Roman" w:cs="Times New Roman"/>
        </w:rPr>
        <w:t xml:space="preserve"> </w:t>
      </w:r>
      <w:r>
        <w:rPr>
          <w:rFonts w:ascii="Gadugi" w:hAnsi="Gadugi" w:eastAsia="Gadugi" w:cs="Gadugi"/>
        </w:rPr>
        <w:t>ᎤᏂᏡᎬᎢ</w:t>
      </w:r>
      <w:r>
        <w:rPr>
          <w:rFonts w:ascii="Times New Roman" w:hAnsi="Times New Roman" w:eastAsia="Times New Roman" w:cs="Times New Roman"/>
        </w:rPr>
        <w:t xml:space="preserve"> </w:t>
      </w:r>
      <w:r>
        <w:rPr>
          <w:rFonts w:ascii="Gadugi" w:hAnsi="Gadugi" w:eastAsia="Gadugi" w:cs="Gadugi"/>
        </w:rPr>
        <w:t>ᎦᏬᏂᏍᎬᎢ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ᏍᏗᏫ</w:t>
      </w:r>
      <w:r>
        <w:rPr>
          <w:rFonts w:ascii="Times New Roman" w:hAnsi="Times New Roman" w:eastAsia="Times New Roman" w:cs="Times New Roman"/>
        </w:rPr>
        <w:t xml:space="preserve"> </w:t>
      </w:r>
      <w:r>
        <w:rPr>
          <w:rFonts w:ascii="Gadugi" w:hAnsi="Gadugi" w:eastAsia="Gadugi" w:cs="Gadugi"/>
        </w:rPr>
        <w:t>ᏪᎦᏭᎲᏍᏗ</w:t>
      </w:r>
      <w:r>
        <w:rPr>
          <w:rFonts w:ascii="Times New Roman" w:hAnsi="Times New Roman" w:eastAsia="Times New Roman" w:cs="Times New Roman"/>
        </w:rPr>
        <w:t xml:space="preserve"> </w:t>
      </w:r>
      <w:r>
        <w:rPr>
          <w:rFonts w:ascii="Gadugi" w:hAnsi="Gadugi" w:eastAsia="Gadugi" w:cs="Gadugi"/>
        </w:rPr>
        <w:t>ᎤᏬᎵᏏᎳᏛ</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ᎤᎵᏍᏆᏂᎪᏛ</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ᏧᏩᏂᏌᏛᏍᎩ</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ᏗᏣᎳᎩ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ᎤᏂᎦᏛᎢ</w:t>
      </w:r>
      <w:r>
        <w:rPr>
          <w:rFonts w:ascii="Times New Roman" w:hAnsi="Times New Roman" w:eastAsia="Times New Roman" w:cs="Times New Roman"/>
        </w:rPr>
        <w:t xml:space="preserve">, </w:t>
      </w:r>
      <w:r>
        <w:rPr>
          <w:rFonts w:ascii="Gadugi" w:hAnsi="Gadugi" w:eastAsia="Gadugi" w:cs="Gadugi"/>
        </w:rPr>
        <w:t>ᎠᏂᏯᏫᏍᎩ</w:t>
      </w:r>
      <w:r>
        <w:rPr>
          <w:rFonts w:ascii="Times New Roman" w:hAnsi="Times New Roman" w:eastAsia="Times New Roman" w:cs="Times New Roman"/>
        </w:rPr>
        <w:t xml:space="preserve"> (Jones and Waggoner) </w:t>
      </w:r>
      <w:r>
        <w:rPr>
          <w:rFonts w:ascii="Gadugi" w:hAnsi="Gadugi" w:eastAsia="Gadugi" w:cs="Gadugi"/>
        </w:rPr>
        <w:t>ᎤᏂᏌᎳᏓᏅ</w:t>
      </w:r>
      <w:r>
        <w:rPr>
          <w:rFonts w:ascii="Times New Roman" w:hAnsi="Times New Roman" w:eastAsia="Times New Roman" w:cs="Times New Roman"/>
        </w:rPr>
        <w:t xml:space="preserve"> “</w:t>
      </w:r>
      <w:r>
        <w:rPr>
          <w:rFonts w:ascii="Gadugi" w:hAnsi="Gadugi" w:eastAsia="Gadugi" w:cs="Gadugi"/>
        </w:rPr>
        <w:t>ᏧᎾᏁᎬ</w:t>
      </w:r>
      <w:r>
        <w:rPr>
          <w:rFonts w:ascii="Times New Roman" w:hAnsi="Times New Roman" w:eastAsia="Times New Roman" w:cs="Times New Roman"/>
        </w:rPr>
        <w:t xml:space="preserve">” </w:t>
      </w:r>
      <w:r>
        <w:rPr>
          <w:rFonts w:ascii="Gadugi" w:hAnsi="Gadugi" w:eastAsia="Gadugi" w:cs="Gadugi"/>
        </w:rPr>
        <w:t>ᏗᎧᎵᎢ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ᏅᏧᏮᏅ</w:t>
      </w:r>
      <w:r>
        <w:rPr>
          <w:rFonts w:ascii="Times New Roman" w:hAnsi="Times New Roman" w:eastAsia="Times New Roman" w:cs="Times New Roman"/>
        </w:rPr>
        <w:t xml:space="preserve"> </w:t>
      </w:r>
      <w:r>
        <w:rPr>
          <w:rFonts w:ascii="Gadugi" w:hAnsi="Gadugi" w:eastAsia="Gadugi" w:cs="Gadugi"/>
        </w:rPr>
        <w:t>ᏧᏁᏤᎵᏎ</w:t>
      </w:r>
      <w:r>
        <w:rPr>
          <w:rFonts w:ascii="Times New Roman" w:hAnsi="Times New Roman" w:eastAsia="Times New Roman" w:cs="Times New Roman"/>
        </w:rPr>
        <w:t xml:space="preserve"> </w:t>
      </w:r>
      <w:r>
        <w:rPr>
          <w:rFonts w:ascii="Gadugi" w:hAnsi="Gadugi" w:eastAsia="Gadugi" w:cs="Gadugi"/>
        </w:rPr>
        <w:t>ᎤᏂᏍᎦᏅᏨᎢ</w:t>
      </w:r>
      <w:r>
        <w:rPr>
          <w:rFonts w:ascii="Times New Roman" w:hAnsi="Times New Roman" w:eastAsia="Times New Roman" w:cs="Times New Roman"/>
        </w:rPr>
        <w:t xml:space="preserve"> </w:t>
      </w:r>
      <w:r>
        <w:rPr>
          <w:rFonts w:ascii="Gadugi" w:hAnsi="Gadugi" w:eastAsia="Gadugi" w:cs="Gadugi"/>
        </w:rPr>
        <w:t>ᎤᏂᏣᏘᏴᏫᏱ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ᎤᏂᏃᎮᏓ</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ᎤᏪᏥᏙᎸᎢ</w:t>
      </w:r>
      <w:r>
        <w:rPr>
          <w:rFonts w:ascii="Times New Roman" w:hAnsi="Times New Roman" w:eastAsia="Times New Roman" w:cs="Times New Roman"/>
        </w:rPr>
        <w:t xml:space="preserve"> </w:t>
      </w:r>
      <w:r>
        <w:rPr>
          <w:rFonts w:ascii="Gadugi" w:hAnsi="Gadugi" w:eastAsia="Gadugi" w:cs="Gadugi"/>
        </w:rPr>
        <w:t>ᎠᏥᏃᎮᏍᎬᎢ</w:t>
      </w:r>
      <w:r>
        <w:rPr>
          <w:rFonts w:ascii="Times New Roman" w:hAnsi="Times New Roman" w:eastAsia="Times New Roman" w:cs="Times New Roman"/>
        </w:rPr>
        <w:t xml:space="preserve">. </w:t>
      </w:r>
      <w:r>
        <w:rPr>
          <w:rFonts w:ascii="Gadugi" w:hAnsi="Gadugi" w:eastAsia="Gadugi" w:cs="Gadugi"/>
        </w:rPr>
        <w:t>ᏌᏉᏂ</w:t>
      </w:r>
      <w:r>
        <w:rPr>
          <w:rFonts w:ascii="Times New Roman" w:hAnsi="Times New Roman" w:eastAsia="Times New Roman" w:cs="Times New Roman"/>
        </w:rPr>
        <w:t xml:space="preserve"> 11, 2001, </w:t>
      </w:r>
      <w:r>
        <w:rPr>
          <w:rFonts w:ascii="Gadugi" w:hAnsi="Gadugi" w:eastAsia="Gadugi" w:cs="Gadugi"/>
        </w:rPr>
        <w:t>ᎾᏍᎩ</w:t>
      </w:r>
      <w:r>
        <w:rPr>
          <w:rFonts w:ascii="Times New Roman" w:hAnsi="Times New Roman" w:eastAsia="Times New Roman" w:cs="Times New Roman"/>
        </w:rPr>
        <w:t xml:space="preserve"> 1888 </w:t>
      </w:r>
      <w:r>
        <w:rPr>
          <w:rFonts w:ascii="Gadugi" w:hAnsi="Gadugi" w:eastAsia="Gadugi" w:cs="Gadugi"/>
        </w:rPr>
        <w:t>ᎤᏓᏪᏟᎶ</w:t>
      </w:r>
      <w:r>
        <w:rPr>
          <w:rFonts w:ascii="Ebrima" w:hAnsi="Ebrima" w:eastAsia="Ebrima" w:cs="Ebrima"/>
        </w:rPr>
        <w:t>ፍ</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ᎤᏪᏘᏃᎮᎸᎯ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ᎤᏘᏲᎸ</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ᎤᏂᎷᏤ</w:t>
      </w:r>
      <w:r>
        <w:rPr>
          <w:rFonts w:ascii="Times New Roman" w:hAnsi="Times New Roman" w:eastAsia="Times New Roman" w:cs="Times New Roman"/>
        </w:rPr>
        <w:t xml:space="preserve"> </w:t>
      </w:r>
      <w:r>
        <w:rPr>
          <w:rFonts w:ascii="Gadugi" w:hAnsi="Gadugi" w:eastAsia="Gadugi" w:cs="Gadugi"/>
        </w:rPr>
        <w:t>ᏤᎵᎹᏯ</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ᎤᏪᏓᎴᎢ</w:t>
      </w:r>
      <w:r>
        <w:rPr>
          <w:rFonts w:ascii="Times New Roman" w:hAnsi="Times New Roman" w:eastAsia="Times New Roman" w:cs="Times New Roman"/>
        </w:rPr>
        <w:t xml:space="preserve"> </w:t>
      </w:r>
      <w:r>
        <w:rPr>
          <w:rFonts w:ascii="Gadugi" w:hAnsi="Gadugi" w:eastAsia="Gadugi" w:cs="Gadugi"/>
        </w:rPr>
        <w:t>ᏅᏃᎯᏳ</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ᏩᏂᎦᎸᏉᏗᏍᎬᎾ</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ᎠᏂᏯᏫᏍᎩ</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ᎤᏓᎦᏙᎠ</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ᎠᎾᏙᎢᏍᏗ</w:t>
      </w:r>
      <w:r>
        <w:rPr>
          <w:rFonts w:ascii="Times New Roman" w:hAnsi="Times New Roman" w:eastAsia="Times New Roman" w:cs="Times New Roman"/>
        </w:rPr>
        <w:t xml:space="preserve"> </w:t>
      </w:r>
      <w:r>
        <w:rPr>
          <w:rFonts w:ascii="Gadugi" w:hAnsi="Gadugi" w:eastAsia="Gadugi" w:cs="Gadugi"/>
        </w:rPr>
        <w:t>ᎠᏂᏯᏫᏍᎩ</w:t>
      </w:r>
      <w:r>
        <w:rPr>
          <w:rFonts w:ascii="Times New Roman" w:hAnsi="Times New Roman" w:eastAsia="Times New Roman" w:cs="Times New Roman"/>
        </w:rPr>
        <w:t xml:space="preserve"> </w:t>
      </w:r>
      <w:r>
        <w:rPr>
          <w:rFonts w:ascii="Gadugi" w:hAnsi="Gadugi" w:eastAsia="Gadugi" w:cs="Gadugi"/>
        </w:rPr>
        <w:t>ᏧᎾᎵᏰᎢᎶᎯ</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«Дуу хоолой» нь 1840 оны 8-р сарын 11-нд ирсэн бөгөөд энэ нь харуулуудаар дамжин дамжуулагдсан юм. Иеремиад, урам нь хугарсны дараа өөрийн итгэл болон Бурханд тавих найдвартаа эргэн ирэх аваас тэр Бурханы ам болох болно гэж айлджээ. Саатсан үзэгдэл 1844 оны 10-р сарын 22-нд эцэст нь ирэхэд, тэр нь «ярьсан». Миллерийн хөдөлгөөний түүхэнд биелсэн Хабаккук номын хоёрдугаар бүлгийн үе нь нэг зуун дөчин дөрвөн мянгыг тамгалах үеийг дүрслэн харуулдаг.</w:t>
      </w:r>
    </w:p>
    <w:p>
      <w:pPr>
        <w:pStyle w:val="ArticleBody"/>
        <w:jc w:val="left"/>
      </w:pPr>
      <w:r>
        <w:rPr>
          <w:rFonts w:ascii="Ebrima" w:hAnsi="Ebrima" w:eastAsia="Ebrima" w:cs="Ebrima"/>
        </w:rPr>
        <w:t>ካብ</w:t>
      </w:r>
      <w:r>
        <w:rPr>
          <w:rFonts w:ascii="Times New Roman" w:hAnsi="Times New Roman" w:eastAsia="Times New Roman" w:cs="Times New Roman"/>
        </w:rPr>
        <w:t xml:space="preserve"> 11 </w:t>
      </w:r>
      <w:r>
        <w:rPr>
          <w:rFonts w:ascii="Ebrima" w:hAnsi="Ebrima" w:eastAsia="Ebrima" w:cs="Ebrima"/>
        </w:rPr>
        <w:t>ነሓሰ</w:t>
      </w:r>
      <w:r>
        <w:rPr>
          <w:rFonts w:ascii="Times New Roman" w:hAnsi="Times New Roman" w:eastAsia="Times New Roman" w:cs="Times New Roman"/>
        </w:rPr>
        <w:t xml:space="preserve"> 1840 </w:t>
      </w:r>
      <w:r>
        <w:rPr>
          <w:rFonts w:ascii="Ebrima" w:hAnsi="Ebrima" w:eastAsia="Ebrima" w:cs="Ebrima"/>
        </w:rPr>
        <w:t>ክሳብ</w:t>
      </w:r>
      <w:r>
        <w:rPr>
          <w:rFonts w:ascii="Times New Roman" w:hAnsi="Times New Roman" w:eastAsia="Times New Roman" w:cs="Times New Roman"/>
        </w:rPr>
        <w:t xml:space="preserve"> 22 </w:t>
      </w:r>
      <w:r>
        <w:rPr>
          <w:rFonts w:ascii="Ebrima" w:hAnsi="Ebrima" w:eastAsia="Ebrima" w:cs="Ebrima"/>
        </w:rPr>
        <w:t>ጥቅምቲ</w:t>
      </w:r>
      <w:r>
        <w:rPr>
          <w:rFonts w:ascii="Times New Roman" w:hAnsi="Times New Roman" w:eastAsia="Times New Roman" w:cs="Times New Roman"/>
        </w:rPr>
        <w:t xml:space="preserve"> 1844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ሚእቲ</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እንደሚያሳይ</w:t>
      </w:r>
      <w:r>
        <w:rPr>
          <w:rFonts w:ascii="Times New Roman" w:hAnsi="Times New Roman" w:eastAsia="Times New Roman" w:cs="Times New Roman"/>
        </w:rPr>
        <w:t xml:space="preserve"> </w:t>
      </w:r>
      <w:r>
        <w:rPr>
          <w:rFonts w:ascii="Ebrima" w:hAnsi="Ebrima" w:eastAsia="Ebrima" w:cs="Ebrima"/>
        </w:rPr>
        <w:t>ምፍላጥ</w:t>
      </w:r>
      <w:r>
        <w:rPr>
          <w:rFonts w:ascii="Times New Roman" w:hAnsi="Times New Roman" w:eastAsia="Times New Roman" w:cs="Times New Roman"/>
        </w:rPr>
        <w:t xml:space="preserve"> </w:t>
      </w:r>
      <w:r>
        <w:rPr>
          <w:rFonts w:ascii="Ebrima" w:hAnsi="Ebrima" w:eastAsia="Ebrima" w:cs="Ebrima"/>
        </w:rPr>
        <w:t>ኣገዳሲ</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ዳሕረዋይ</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ዝፈስሰሉ</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ኣገዳሲ</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ዳሕረዋይ</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ብመንገዲ</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ክልለ</w:t>
      </w:r>
      <w:r>
        <w:rPr>
          <w:rFonts w:ascii="Times New Roman" w:hAnsi="Times New Roman" w:eastAsia="Times New Roman" w:cs="Times New Roman"/>
        </w:rPr>
        <w:t xml:space="preserve"> </w:t>
      </w:r>
      <w:r>
        <w:rPr>
          <w:rFonts w:ascii="Ebrima" w:hAnsi="Ebrima" w:eastAsia="Ebrima" w:cs="Ebrima"/>
        </w:rPr>
        <w:t>ኣለዎ።</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ፍሉይ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ሚእቲ</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ብተደጋጋሚ</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መስመራት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ይውከል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ሃባቁቅ</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ሓፍቲ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ብቐጥታ</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ዝተፈጸመ</w:t>
      </w:r>
      <w:r>
        <w:rPr>
          <w:rFonts w:ascii="Times New Roman" w:hAnsi="Times New Roman" w:eastAsia="Times New Roman" w:cs="Times New Roman"/>
        </w:rPr>
        <w:t xml:space="preserve"> </w:t>
      </w:r>
      <w:r>
        <w:rPr>
          <w:rFonts w:ascii="Ebrima" w:hAnsi="Ebrima" w:eastAsia="Ebrima" w:cs="Ebrima"/>
        </w:rPr>
        <w:t>ትለልዮ</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ንሳ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ብተደጋጋሚ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ሚእቲ</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ዝድገም</w:t>
      </w:r>
      <w:r>
        <w:rPr>
          <w:rFonts w:ascii="Times New Roman" w:hAnsi="Times New Roman" w:eastAsia="Times New Roman" w:cs="Times New Roman"/>
        </w:rPr>
        <w:t xml:space="preserve"> </w:t>
      </w:r>
      <w:r>
        <w:rPr>
          <w:rFonts w:ascii="Ebrima" w:hAnsi="Ebrima" w:eastAsia="Ebrima" w:cs="Ebrima"/>
        </w:rPr>
        <w:t>ትምህር</w:t>
      </w:r>
      <w:r>
        <w:rPr>
          <w:rFonts w:ascii="Times New Roman" w:hAnsi="Times New Roman" w:eastAsia="Times New Roman" w:cs="Times New Roman"/>
        </w:rPr>
        <w:t xml:space="preserve"> </w:t>
      </w:r>
      <w:r>
        <w:rPr>
          <w:rFonts w:ascii="Ebrima" w:hAnsi="Ebrima" w:eastAsia="Ebrima" w:cs="Ebrima"/>
        </w:rPr>
        <w:t>እያ።</w:t>
      </w:r>
    </w:p>
    <w:p>
      <w:pPr>
        <w:pStyle w:val="ArticleScripture"/>
        <w:jc w:val="left"/>
      </w:pPr>
      <w:r>
        <w:rPr>
          <w:rFonts w:ascii="Times New Roman" w:hAnsi="Times New Roman" w:eastAsia="Times New Roman" w:cs="Times New Roman"/>
        </w:rPr>
        <w:t>“Med profetior, vilka de hade betraktat såsom avseende tiden för den andra ankomsten, var undervisning sammanvävd, särskilt anpassad till deras tillstånd av ovisshet och spänd förväntan, och uppmuntrade dem att i tro tåligt avvakta att det som nu var dunkelt för deras förståelse i sinom tid skulle bli klargjort.</w:t>
      </w:r>
    </w:p>
    <w:p>
      <w:pPr>
        <w:pStyle w:val="ArticleScripture"/>
        <w:jc w:val="left"/>
      </w:pP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2:1–4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पहरादारी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ताकता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डाँटा</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पटियाओं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ठहरेगा</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“Как рано как в 1842 году, направление, данное в этом пророчестве, — «запиши видение и начертай ясно на скрижалях, чтобы читающий легко мог прочитать», — побудило Чарльза Фитча к составлению пророческой карты для иллюстрации видений Даниила и Откровения. Публикация этой карты рассматривалась как исполнение повеления, данного Аввакуму. Однако тогда никто не заметил, что в том же пророчестве представлена видимая задержка в исполнении видения — время промедления. После разочарования это место Писания приобрело весьма важное значение: «Ибо видение относится ещё к определённому времени, и говорит о конце, и не обманет; и хотя бы замедлило, жди его, потому что непременно сбудется, не отменится.... Праведный своею верою жив будет».”</w:t>
      </w:r>
    </w:p>
    <w:p>
      <w:pPr>
        <w:pStyle w:val="ArticleScripture"/>
        <w:jc w:val="left"/>
      </w:pPr>
      <w:r>
        <w:rPr>
          <w:rFonts w:ascii="Times New Roman" w:hAnsi="Times New Roman" w:eastAsia="Times New Roman" w:cs="Times New Roman"/>
        </w:rPr>
        <w:t>Ewil jaakat ci yëgleb Esekiyel itam moo doon ab màggal ak yaakaar ci ñi gëm: “Ba pare waxu Boroom bi dikk ci man ne: Yow, doomu nit ki, lan mooy wax ju ñuy wax ci suuf Israel ne: Fan yi dafa yaatu, te bépp peeñ dañuy amul njariñ? Kon nag waxleen ne: Nii la Boroom Yàlla bi wax.... Fan yi agsi nañu, ak matug bépp peeñ.... Damay wax, te kàddu gi may wax dina ame; du yeggatiwaat dara.” “Ñi bokk ci kër Israel dañuy wax ne: Peeñ gi mu gis mo ngi ñëw ci ay fan yu bari, te yëgle na lu jëm ci jamono yu sori. Moo tax waxleen ne: Nii la Boroom Yàlla bi wax; Benn ci samay kàddu du yeggatiwaat dara, waaye kàddu gi ma wax, dina ame.” Esekiyel 12:21–25, 27, 28.” Xareb Mag bi, 391–393.</w:t>
      </w:r>
    </w:p>
    <w:p>
      <w:pPr>
        <w:pStyle w:val="ArticleBody"/>
        <w:jc w:val="left"/>
      </w:pPr>
      <w:r>
        <w:rPr>
          <w:rFonts w:ascii="Nirmala UI" w:hAnsi="Nirmala UI" w:eastAsia="Nirmala UI" w:cs="Nirmala UI"/>
        </w:rPr>
        <w:t>মিলারাইটরা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নিজেদেরকে</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দৃষ্টান্ত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হাবাক্কুকের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পূর্ণকারী</w:t>
      </w:r>
      <w:r>
        <w:rPr>
          <w:rFonts w:ascii="Times New Roman" w:hAnsi="Times New Roman" w:eastAsia="Times New Roman" w:cs="Times New Roman"/>
        </w:rPr>
        <w:t xml:space="preserve"> </w:t>
      </w:r>
      <w:r>
        <w:rPr>
          <w:rFonts w:ascii="Nirmala UI" w:hAnsi="Nirmala UI" w:eastAsia="Nirmala UI" w:cs="Nirmala UI"/>
        </w:rPr>
        <w:t>বলেই</w:t>
      </w:r>
      <w:r>
        <w:rPr>
          <w:rFonts w:ascii="Times New Roman" w:hAnsi="Times New Roman" w:eastAsia="Times New Roman" w:cs="Times New Roman"/>
        </w:rPr>
        <w:t xml:space="preserve"> </w:t>
      </w:r>
      <w:r>
        <w:rPr>
          <w:rFonts w:ascii="Nirmala UI" w:hAnsi="Nirmala UI" w:eastAsia="Nirmala UI" w:cs="Nirmala UI"/>
        </w:rPr>
        <w:t>দেখেনি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উপলব্ধির</w:t>
      </w:r>
      <w:r>
        <w:rPr>
          <w:rFonts w:ascii="Times New Roman" w:hAnsi="Times New Roman" w:eastAsia="Times New Roman" w:cs="Times New Roman"/>
        </w:rPr>
        <w:t xml:space="preserve"> </w:t>
      </w:r>
      <w:r>
        <w:rPr>
          <w:rFonts w:ascii="Nirmala UI" w:hAnsi="Nirmala UI" w:eastAsia="Nirmala UI" w:cs="Nirmala UI"/>
        </w:rPr>
        <w:t>দিকেও</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ভবিষ্যদ্বাণীগুলি</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ইযেকিয়েলের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ইতিহাসরেখা</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মোহরাঙ্কনকে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সেখানেই</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Asafo a ɛgyina hɔ ma osutɔ a etwa to no ne ɔha ne aduanan anan mpem no nsɔanohyɛ bere no, wɔde ka bom de si hɔ sɛ nkɔmhyɛ abakɔsɛm nyinaa da so wɔ Alfa ne Omega no agyiraehyɛde so daa.</w:t>
      </w:r>
    </w:p>
    <w:p>
      <w:pPr>
        <w:pStyle w:val="ArticleBody"/>
        <w:jc w:val="left"/>
      </w:pPr>
      <w:r>
        <w:rPr>
          <w:rFonts w:ascii="Times New Roman" w:hAnsi="Times New Roman" w:eastAsia="Times New Roman" w:cs="Times New Roman"/>
        </w:rPr>
        <w:t>تاريخ الميلريين يبدأ بصوت الملاك الوارد في رؤيا ١٠، وينتهي بالصوت نفسه. ويوم ١١ سبتمبر ٢٠٠١ يبدأ بالصوت الأول من رؤيا ١٨، وينتهي بالصوت الثاني من رؤيا ١٨. والأصحاح الثاني من حبقوق يبدأ بصوت الحراس، وينتهي بصوت حارس إرميا. والويل الأول يبدأ بمحمد، وينتهي بمحمد الثاني. والويل الثاني يبدأ بإطلاق الملائكة الأربعة للإسلام، وينتهي بكبح الإسلام.</w:t>
      </w:r>
    </w:p>
    <w:p>
      <w:pPr>
        <w:pStyle w:val="ArticleBody"/>
        <w:jc w:val="left"/>
      </w:pPr>
      <w:r>
        <w:rPr>
          <w:rFonts w:ascii="Times New Roman" w:hAnsi="Times New Roman" w:eastAsia="Times New Roman" w:cs="Times New Roman"/>
        </w:rPr>
        <w:t>Kor ka temoloji nga amo an uran ha urhi amo an “linya ngada ha linya” nga temolohiya ni Isaias, ngan an mga linya nga ginpapahiusa basi mailhan ngan mapatukod an mensahe han uran ha urhi pirme may-ada han timara han Alpha ngan Omega. An siyahan nga kakurian han Pahayag kapitulo nuebe nagtitikang kan Mohammed ngan natatapos kan Mohammed II. An maopay nga kahilawig han panahon ginbahin ngadto ha duha nga klase hin pakiggirra, an siyahan amo an waray kaorganisahan nga mga pag-atake kontra ha Roma nga nagtikang gud pinaagi kan Abubakar, ngan katapos hito an usa ka gatos ngan singkwenta ka tuig diin natuman an siyahan nga organisado nga pakiggirra han Islam.</w:t>
      </w:r>
    </w:p>
    <w:p>
      <w:pPr>
        <w:pStyle w:val="ArticleBody"/>
        <w:jc w:val="left"/>
      </w:pPr>
      <w:r>
        <w:rPr>
          <w:rFonts w:ascii="Times New Roman" w:hAnsi="Times New Roman" w:eastAsia="Times New Roman" w:cs="Times New Roman"/>
        </w:rPr>
        <w:t>Qanśi pichqachunka wataqa “phichqa killakunamanta” sutiyoq pacha willakuywanmi rikuchisqa kachkan. Iskay kaq ayqaypas huk pacha willakuyta charin, chayqa kimsa pachak isqun chunka hukniyoq wata, chunka phichqa p’unchaywanmi. Chayrayku, ñawpaq kaq hinaspa iskay kaq ayqaykunapa profetiko sayaynin tukukuyninta qallariyninwan riqsichisqanrayku, sellasqa kaypa chawpinpi huk rak’iyta, hinaspa huk sut’i pacha unayniyoqta ima, chaytaqa ukhunpi charin. Sellasqa kay rurayqa ñawpaq kaq ayqaypa historianta qallariyninpi rikuchisqa kachkan, hinaspa iskay kaq ayqaypa tukukuyninpi rikuchisqa kachkan.</w:t>
      </w:r>
    </w:p>
    <w:p>
      <w:pPr>
        <w:pStyle w:val="ArticleBody"/>
        <w:jc w:val="left"/>
      </w:pPr>
      <w:r>
        <w:rPr>
          <w:rFonts w:ascii="Times New Roman" w:hAnsi="Times New Roman" w:eastAsia="Times New Roman" w:cs="Times New Roman"/>
        </w:rPr>
        <w:t>Aka soanlo hiwa man verse four, etelad hit fiksi, a na “five months” (san-gatus limampulo ka tuig). An limang bulan nasambit nang makaduha, minsan diha sa verse five kag liwat sa verse ten. An nagauna sa proseso kan pagtimaan halin Agosto 11, 1840 tubtob Oktubre 22, 1844, sa ikaduha nga kaminos, amo an tagna kan “hour, day, month, and year” (tatlo ka gatus siyamnapulo kag isa ka tuig kag kinse ka adlaw), sa verse fifteen. Kon pagdugtungon sa sarong padayon nga linya, an ikalima kag ikaanom nga trumpeta nagasugod kag nagatatapos sa sarong hulagway kan proseso kan pagtimaan.</w:t>
      </w:r>
    </w:p>
    <w:p>
      <w:pPr>
        <w:pStyle w:val="ArticleBody"/>
        <w:jc w:val="left"/>
      </w:pPr>
      <w:r>
        <w:rPr>
          <w:rFonts w:ascii="Times New Roman" w:hAnsi="Times New Roman" w:eastAsia="Times New Roman" w:cs="Times New Roman"/>
        </w:rPr>
        <w:t>Iki hatar hökmünde, “hatar üstüne hatar” ulanylanda, olar Birinji Muhammet we Ikinji Muhammet bilen bellenen başlangyjy we ahyry kesgitleýär. “Hatar üstüne hatar” hökmünde, olar her bir hatarda iki aýratyn döwri kesgitleýärler; bu bolsa her bir hataryň wagt pygamberligini öz içine alýandygy sebäpli ýüze çykýar. Birinji bela taryhynda, Yslam Rimi “ýaralamalydy”, ikinji belada bolsa, ol Rimi “öldürmelidi”. Birinji bela naýzalaryň, gylyçlaryň we oklaryň urşy boldy, ikinji bela bolsa ýarag hökmünde barudy girizdi.</w:t>
      </w:r>
    </w:p>
    <w:p>
      <w:pPr>
        <w:pStyle w:val="ArticleScripture"/>
        <w:jc w:val="left"/>
      </w:pPr>
      <w:r>
        <w:rPr>
          <w:rFonts w:ascii="Times New Roman" w:hAnsi="Times New Roman" w:eastAsia="Times New Roman" w:cs="Times New Roman"/>
        </w:rPr>
        <w:t>“10-ЖАЗЫЛМА. Жана алардын куйруктары чаяндардын куйруктарындай эле, куйруктарында ийнелери бар эле; жана алардын күчү адамдарга беш ай зыян келтирүүгө жетчү. 11. Жана алардын үстүнөн падыша бар эле, ал — түпсүз туңгуюктун периштеси; анын аты эврей тилинде Абаддон, ал эми грек тилинде аты Аполлион.”</w:t>
      </w:r>
    </w:p>
    <w:p>
      <w:pPr>
        <w:pStyle w:val="ArticleScripture"/>
        <w:jc w:val="left"/>
      </w:pPr>
      <w:r>
        <w:rPr>
          <w:rFonts w:ascii="Times New Roman" w:hAnsi="Times New Roman" w:eastAsia="Times New Roman" w:cs="Times New Roman"/>
        </w:rPr>
        <w:t>“</w:t>
      </w:r>
      <w:r>
        <w:rPr>
          <w:rFonts w:ascii="Ebrima" w:hAnsi="Ebrima" w:eastAsia="Ebrima" w:cs="Ebrima"/>
        </w:rPr>
        <w:t>ስካሁን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ኪዝ</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መለከቶች</w:t>
      </w:r>
      <w:r>
        <w:rPr>
          <w:rFonts w:ascii="Times New Roman" w:hAnsi="Times New Roman" w:eastAsia="Times New Roman" w:cs="Times New Roman"/>
        </w:rPr>
        <w:t xml:space="preserve"> </w:t>
      </w:r>
      <w:r>
        <w:rPr>
          <w:rFonts w:ascii="Ebrima" w:hAnsi="Ebrima" w:eastAsia="Ebrima" w:cs="Ebrima"/>
        </w:rPr>
        <w:t>መነፋት</w:t>
      </w:r>
      <w:r>
        <w:rPr>
          <w:rFonts w:ascii="Times New Roman" w:hAnsi="Times New Roman" w:eastAsia="Times New Roman" w:cs="Times New Roman"/>
        </w:rPr>
        <w:t xml:space="preserve"> </w:t>
      </w:r>
      <w:r>
        <w:rPr>
          <w:rFonts w:ascii="Ebrima" w:hAnsi="Ebrima" w:eastAsia="Ebrima" w:cs="Ebrima"/>
        </w:rPr>
        <w:t>ምሳሌዎችን</w:t>
      </w:r>
      <w:r>
        <w:rPr>
          <w:rFonts w:ascii="Times New Roman" w:hAnsi="Times New Roman" w:eastAsia="Times New Roman" w:cs="Times New Roman"/>
        </w:rPr>
        <w:t xml:space="preserve"> </w:t>
      </w:r>
      <w:r>
        <w:rPr>
          <w:rFonts w:ascii="Ebrima" w:hAnsi="Ebrima" w:eastAsia="Ebrima" w:cs="Ebrima"/>
        </w:rPr>
        <w:t>አቅርቦልናል።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ልንለይ</w:t>
      </w:r>
      <w:r>
        <w:rPr>
          <w:rFonts w:ascii="Times New Roman" w:hAnsi="Times New Roman" w:eastAsia="Times New Roman" w:cs="Times New Roman"/>
        </w:rPr>
        <w:t xml:space="preserve"> </w:t>
      </w:r>
      <w:r>
        <w:rPr>
          <w:rFonts w:ascii="Ebrima" w:hAnsi="Ebrima" w:eastAsia="Ebrima" w:cs="Ebrima"/>
        </w:rPr>
        <w:t>ይገባናል፥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የተገባውን</w:t>
      </w:r>
      <w:r>
        <w:rPr>
          <w:rFonts w:ascii="Times New Roman" w:hAnsi="Times New Roman" w:eastAsia="Times New Roman" w:cs="Times New Roman"/>
        </w:rPr>
        <w:t xml:space="preserve"> </w:t>
      </w:r>
      <w:r>
        <w:rPr>
          <w:rFonts w:ascii="Ebrima" w:hAnsi="Ebrima" w:eastAsia="Ebrima" w:cs="Ebrima"/>
        </w:rPr>
        <w:t>የትንቢቱን</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ዘመናትን፣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ተግባራዊ</w:t>
      </w:r>
      <w:r>
        <w:rPr>
          <w:rFonts w:ascii="Times New Roman" w:hAnsi="Times New Roman" w:eastAsia="Times New Roman" w:cs="Times New Roman"/>
        </w:rPr>
        <w:t xml:space="preserve"> </w:t>
      </w:r>
      <w:r>
        <w:rPr>
          <w:rFonts w:ascii="Ebrima" w:hAnsi="Ebrima" w:eastAsia="Ebrima" w:cs="Ebrima"/>
        </w:rPr>
        <w:t>መፈጸሙ</w:t>
      </w:r>
      <w:r>
        <w:rPr>
          <w:rFonts w:ascii="Times New Roman" w:hAnsi="Times New Roman" w:eastAsia="Times New Roman" w:cs="Times New Roman"/>
        </w:rPr>
        <w:t xml:space="preserve"> </w:t>
      </w:r>
      <w:r>
        <w:rPr>
          <w:rFonts w:ascii="Ebrima" w:hAnsi="Ebrima" w:eastAsia="Ebrima" w:cs="Ebrima"/>
        </w:rPr>
        <w:t>እንሻገር።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“Poderapaqa runakunata phisqa killata ñak’achiy karqan.—1. Kay tapuy hamun: ¿Ima runakunataq phisqa killata ñak’achinankupaq karqan?—Mana iskayrayaspa, qhipaman wañuchinankupaq kaq kikillan runakunatan (qhawariy versículo 15); ‘runakunaq kimsa kaqmanta huknin parteta,’ icha Roma imperioq kimsa rakisqa kaqninmanta huknin parteta,—griego rakisqa kaqta.</w:t>
      </w:r>
    </w:p>
    <w:p>
      <w:pPr>
        <w:pStyle w:val="ArticleScripture"/>
        <w:jc w:val="left"/>
      </w:pPr>
      <w:r>
        <w:rPr>
          <w:rFonts w:ascii="Times New Roman" w:hAnsi="Times New Roman" w:eastAsia="Times New Roman" w:cs="Times New Roman"/>
        </w:rPr>
        <w:t>«٢. متى كان عليهم أن يبدؤوا عملهم في التعذيب؟ تجيب الآية ١١ عن هذا السؤال. »</w:t>
      </w:r>
    </w:p>
    <w:p>
      <w:pPr>
        <w:pStyle w:val="ArticleScripture"/>
        <w:jc w:val="left"/>
      </w:pPr>
      <w:r>
        <w:rPr>
          <w:rFonts w:ascii="Times New Roman" w:hAnsi="Times New Roman" w:eastAsia="Times New Roman" w:cs="Times New Roman"/>
        </w:rPr>
        <w:t>“(1) ‘</w:t>
      </w:r>
      <w:r>
        <w:rPr>
          <w:rFonts w:ascii="Nirmala UI" w:hAnsi="Nirmala UI" w:eastAsia="Nirmala UI" w:cs="Nirmala UI"/>
        </w:rPr>
        <w:t>උන්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රජෙක්</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මොහම්මඩ්ගේ</w:t>
      </w:r>
      <w:r>
        <w:rPr>
          <w:rFonts w:ascii="Times New Roman" w:hAnsi="Times New Roman" w:eastAsia="Times New Roman" w:cs="Times New Roman"/>
        </w:rPr>
        <w:t xml:space="preserve"> </w:t>
      </w:r>
      <w:r>
        <w:rPr>
          <w:rFonts w:ascii="Nirmala UI" w:hAnsi="Nirmala UI" w:eastAsia="Nirmala UI" w:cs="Nirmala UI"/>
        </w:rPr>
        <w:t>මරණයෙන්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ශතවර්ෂයේ</w:t>
      </w:r>
      <w:r>
        <w:rPr>
          <w:rFonts w:ascii="Times New Roman" w:hAnsi="Times New Roman" w:eastAsia="Times New Roman" w:cs="Times New Roman"/>
        </w:rPr>
        <w:t xml:space="preserve"> </w:t>
      </w:r>
      <w:r>
        <w:rPr>
          <w:rFonts w:ascii="Nirmala UI" w:hAnsi="Nirmala UI" w:eastAsia="Nirmala UI" w:cs="Nirmala UI"/>
        </w:rPr>
        <w:t>අවසානයට</w:t>
      </w:r>
      <w:r>
        <w:rPr>
          <w:rFonts w:ascii="Times New Roman" w:hAnsi="Times New Roman" w:eastAsia="Times New Roman" w:cs="Times New Roman"/>
        </w:rPr>
        <w:t xml:space="preserve"> </w:t>
      </w:r>
      <w:r>
        <w:rPr>
          <w:rFonts w:ascii="Nirmala UI" w:hAnsi="Nirmala UI" w:eastAsia="Nirmala UI" w:cs="Nirmala UI"/>
        </w:rPr>
        <w:t>ආසන්න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මොහම්මඩ්</w:t>
      </w:r>
      <w:r>
        <w:rPr>
          <w:rFonts w:ascii="Times New Roman" w:hAnsi="Times New Roman" w:eastAsia="Times New Roman" w:cs="Times New Roman"/>
        </w:rPr>
        <w:t xml:space="preserve"> </w:t>
      </w:r>
      <w:r>
        <w:rPr>
          <w:rFonts w:ascii="Nirmala UI" w:hAnsi="Nirmala UI" w:eastAsia="Nirmala UI" w:cs="Nirmala UI"/>
        </w:rPr>
        <w:t>ආගමිකයන්</w:t>
      </w:r>
      <w:r>
        <w:rPr>
          <w:rFonts w:ascii="Times New Roman" w:hAnsi="Times New Roman" w:eastAsia="Times New Roman" w:cs="Times New Roman"/>
        </w:rPr>
        <w:t xml:space="preserve"> </w:t>
      </w:r>
      <w:r>
        <w:rPr>
          <w:rFonts w:ascii="Nirmala UI" w:hAnsi="Nirmala UI" w:eastAsia="Nirmala UI" w:cs="Nirmala UI"/>
        </w:rPr>
        <w:t>කිහිප</w:t>
      </w:r>
      <w:r>
        <w:rPr>
          <w:rFonts w:ascii="Times New Roman" w:hAnsi="Times New Roman" w:eastAsia="Times New Roman" w:cs="Times New Roman"/>
        </w:rPr>
        <w:t xml:space="preserve"> </w:t>
      </w:r>
      <w:r>
        <w:rPr>
          <w:rFonts w:ascii="Nirmala UI" w:hAnsi="Nirmala UI" w:eastAsia="Nirmala UI" w:cs="Nirmala UI"/>
        </w:rPr>
        <w:t>නායකයන්ගේ</w:t>
      </w:r>
      <w:r>
        <w:rPr>
          <w:rFonts w:ascii="Times New Roman" w:hAnsi="Times New Roman" w:eastAsia="Times New Roman" w:cs="Times New Roman"/>
        </w:rPr>
        <w:t xml:space="preserve"> </w:t>
      </w:r>
      <w:r>
        <w:rPr>
          <w:rFonts w:ascii="Nirmala UI" w:hAnsi="Nirmala UI" w:eastAsia="Nirmala UI" w:cs="Nirmala UI"/>
        </w:rPr>
        <w:t>අධීනයෙන්</w:t>
      </w:r>
      <w:r>
        <w:rPr>
          <w:rFonts w:ascii="Times New Roman" w:hAnsi="Times New Roman" w:eastAsia="Times New Roman" w:cs="Times New Roman"/>
        </w:rPr>
        <w:t xml:space="preserve"> </w:t>
      </w:r>
      <w:r>
        <w:rPr>
          <w:rFonts w:ascii="Nirmala UI" w:hAnsi="Nirmala UI" w:eastAsia="Nirmala UI" w:cs="Nirmala UI"/>
        </w:rPr>
        <w:t>විවිධ</w:t>
      </w:r>
      <w:r>
        <w:rPr>
          <w:rFonts w:ascii="Times New Roman" w:hAnsi="Times New Roman" w:eastAsia="Times New Roman" w:cs="Times New Roman"/>
        </w:rPr>
        <w:t xml:space="preserve"> </w:t>
      </w:r>
      <w:r>
        <w:rPr>
          <w:rFonts w:ascii="Nirmala UI" w:hAnsi="Nirmala UI" w:eastAsia="Nirmala UI" w:cs="Nirmala UI"/>
        </w:rPr>
        <w:t>පක්ෂවලට</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සියල්ලන්ම</w:t>
      </w:r>
      <w:r>
        <w:rPr>
          <w:rFonts w:ascii="Times New Roman" w:hAnsi="Times New Roman" w:eastAsia="Times New Roman" w:cs="Times New Roman"/>
        </w:rPr>
        <w:t xml:space="preserve"> </w:t>
      </w:r>
      <w:r>
        <w:rPr>
          <w:rFonts w:ascii="Nirmala UI" w:hAnsi="Nirmala UI" w:eastAsia="Nirmala UI" w:cs="Nirmala UI"/>
        </w:rPr>
        <w:t>ආවරණය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සිවිල්</w:t>
      </w:r>
      <w:r>
        <w:rPr>
          <w:rFonts w:ascii="Times New Roman" w:hAnsi="Times New Roman" w:eastAsia="Times New Roman" w:cs="Times New Roman"/>
        </w:rPr>
        <w:t xml:space="preserve"> </w:t>
      </w:r>
      <w:r>
        <w:rPr>
          <w:rFonts w:ascii="Nirmala UI" w:hAnsi="Nirmala UI" w:eastAsia="Nirmala UI" w:cs="Nirmala UI"/>
        </w:rPr>
        <w:t>ආණ්ඩුවක්</w:t>
      </w:r>
      <w:r>
        <w:rPr>
          <w:rFonts w:ascii="Times New Roman" w:hAnsi="Times New Roman" w:eastAsia="Times New Roman" w:cs="Times New Roman"/>
        </w:rPr>
        <w:t xml:space="preserve"> </w:t>
      </w:r>
      <w:r>
        <w:rPr>
          <w:rFonts w:ascii="Nirmala UI" w:hAnsi="Nirmala UI" w:eastAsia="Nirmala UI" w:cs="Nirmala UI"/>
        </w:rPr>
        <w:t>නොතිබිණි</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ශතවර්ෂයේ</w:t>
      </w:r>
      <w:r>
        <w:rPr>
          <w:rFonts w:ascii="Times New Roman" w:hAnsi="Times New Roman" w:eastAsia="Times New Roman" w:cs="Times New Roman"/>
        </w:rPr>
        <w:t xml:space="preserve"> </w:t>
      </w:r>
      <w:r>
        <w:rPr>
          <w:rFonts w:ascii="Nirmala UI" w:hAnsi="Nirmala UI" w:eastAsia="Nirmala UI" w:cs="Nirmala UI"/>
        </w:rPr>
        <w:t>අවසානයට</w:t>
      </w:r>
      <w:r>
        <w:rPr>
          <w:rFonts w:ascii="Times New Roman" w:hAnsi="Times New Roman" w:eastAsia="Times New Roman" w:cs="Times New Roman"/>
        </w:rPr>
        <w:t xml:space="preserve"> </w:t>
      </w:r>
      <w:r>
        <w:rPr>
          <w:rFonts w:ascii="Nirmala UI" w:hAnsi="Nirmala UI" w:eastAsia="Nirmala UI" w:cs="Nirmala UI"/>
        </w:rPr>
        <w:t>ආසන්න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ඔත්මාන්</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ඔටෝමාන්</w:t>
      </w:r>
      <w:r>
        <w:rPr>
          <w:rFonts w:ascii="Times New Roman" w:hAnsi="Times New Roman" w:eastAsia="Times New Roman" w:cs="Times New Roman"/>
        </w:rPr>
        <w:t xml:space="preserve"> </w:t>
      </w:r>
      <w:r>
        <w:rPr>
          <w:rFonts w:ascii="Nirmala UI" w:hAnsi="Nirmala UI" w:eastAsia="Nirmala UI" w:cs="Nirmala UI"/>
        </w:rPr>
        <w:t>ආණ්ඩුව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රසිද්ධ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ආණ්ඩුවක්</w:t>
      </w:r>
      <w:r>
        <w:rPr>
          <w:rFonts w:ascii="Times New Roman" w:hAnsi="Times New Roman" w:eastAsia="Times New Roman" w:cs="Times New Roman"/>
        </w:rPr>
        <w:t xml:space="preserve"> </w:t>
      </w:r>
      <w:r>
        <w:rPr>
          <w:rFonts w:ascii="Nirmala UI" w:hAnsi="Nirmala UI" w:eastAsia="Nirmala UI" w:cs="Nirmala UI"/>
        </w:rPr>
        <w:t>පිහිටුවීය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මොහම්මඩ්</w:t>
      </w:r>
      <w:r>
        <w:rPr>
          <w:rFonts w:ascii="Times New Roman" w:hAnsi="Times New Roman" w:eastAsia="Times New Roman" w:cs="Times New Roman"/>
        </w:rPr>
        <w:t xml:space="preserve"> </w:t>
      </w:r>
      <w:r>
        <w:rPr>
          <w:rFonts w:ascii="Nirmala UI" w:hAnsi="Nirmala UI" w:eastAsia="Nirmala UI" w:cs="Nirmala UI"/>
        </w:rPr>
        <w:t>ආගමික</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සියල්ල</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පැතිර</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විශාල</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ඒකරාජධානියක්</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සංවිධානය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“(2) Ічан хаанын уран дүр. ‘Ёроолгүй нүхэнэй ангел мүн.’ Ангел гэдэг элшэ, зарса, һайнииншье, муунииншье байжа болохо, дандаа сүлөөтэ сүнсэтэ амитан бэшэ. ‘Ёроолгүй нүхэнэй ангел’ гэбэл, тэрэ нүхэн нээгдэхэдэ тэндэһээ гараһан шажанай тэргүүн зарса, али гол сайд гэһэн удхатай. Тэрэ шажан болбол мухаммедан шажан, харин султань тэрэнэй гол сайд мүн. ‘Султан, гү, али ехэ Сеньор гэжэ адлиханаар нэрлэгдэдэг тэрэ хүн, мүн дээдэ Калиф, али ахамад санаартан мүн; иигэжэ өөрын бэедэ дээдэ сүнслэг нэрэ хүндэ ба эрхэм дэбисхэртэ засаг түрын эрхые нэгэдүүлдэг.’—World As It Is, p.361.”</w:t>
      </w:r>
    </w:p>
    <w:p>
      <w:pPr>
        <w:pStyle w:val="ArticleScripture"/>
        <w:jc w:val="left"/>
      </w:pPr>
      <w:r>
        <w:rPr>
          <w:rFonts w:ascii="Times New Roman" w:hAnsi="Times New Roman" w:eastAsia="Times New Roman" w:cs="Times New Roman"/>
        </w:rPr>
        <w:t>“(3) U pangalan na. Iti Hebreo, ‘Abaddon,’ ti managdadadael; iti Griego, ‘Apollyon,’ ti maysa a mangpapatay wenno mangdadael. Gaputa addaan iti dua a nadumaduma a nagan iti dua a pagsasao, nalawag a ti kababalin, ket saan a ti nagan ti pannakabalin, ti kayat a maiparang. No kasta, kas naibaga iti agpadpada a pagsasao, isu ket maysa a managdadadael. Kasta met laeng ti nagbalin a kababalin ti gobierno Otomano iti amin a tiempo.</w:t>
      </w:r>
    </w:p>
    <w:p>
      <w:pPr>
        <w:pStyle w:val="ArticleScripture"/>
        <w:jc w:val="left"/>
      </w:pPr>
      <w:r>
        <w:rPr>
          <w:rFonts w:ascii="Times New Roman" w:hAnsi="Times New Roman" w:eastAsia="Times New Roman" w:cs="Times New Roman"/>
        </w:rPr>
        <w:t>“Но Отьман впервые напал на Греческую империю? — По словам Гиббона, Decline and Fall, и проч., «Отьман впервые вошёл на территорию Никомедии 27-го дня июля 1299 года».”</w:t>
      </w:r>
    </w:p>
    <w:p>
      <w:pPr>
        <w:pStyle w:val="ArticleScripture"/>
        <w:jc w:val="left"/>
      </w:pPr>
      <w:r>
        <w:rPr>
          <w:rFonts w:ascii="Times New Roman" w:hAnsi="Times New Roman" w:eastAsia="Times New Roman" w:cs="Times New Roman"/>
        </w:rPr>
        <w:t>«بعض الكتّاب أسّسوا حساباتهم على افتراض أن المدة ينبغي أن تبدأ مع قيام الدولة العثمانية؛ ولكن هذا خطأ بيّن؛ لأنّه لم يكن ينبغي لهم أن يكون لهم ملك عليهم فحسب، بل وأن يعذّبوا الناس خمسة أشهر. غير أنّ مدة العذاب لم يكن يمكن أن تبدأ قبل أول هجوم من المعذِّبين، الذي كان، كما ذُكر آنفًا، في 27 يوليو 1299. »</w:t>
      </w:r>
    </w:p>
    <w:p>
      <w:pPr>
        <w:pStyle w:val="ArticleScripture"/>
        <w:jc w:val="left"/>
      </w:pPr>
      <w:r>
        <w:rPr>
          <w:rFonts w:ascii="Times New Roman" w:hAnsi="Times New Roman" w:eastAsia="Times New Roman" w:cs="Times New Roman"/>
        </w:rPr>
        <w:t>“Akabala a dia manaraka, miorina amin’io fiandohana io, dia natao sy navoaka tao amin’ny asa iray mitondra ny lohateny hoe, Ny Fiavian’i Kristy Fanindroany, sns., nosoratan’i J. Litch, tamin’ny taona 1838.</w:t>
      </w:r>
    </w:p>
    <w:p>
      <w:pPr>
        <w:pStyle w:val="ArticleScripture"/>
        <w:jc w:val="left"/>
      </w:pPr>
      <w:r>
        <w:rPr>
          <w:rFonts w:ascii="Times New Roman" w:hAnsi="Times New Roman" w:eastAsia="Times New Roman" w:cs="Times New Roman"/>
        </w:rPr>
        <w:t>“‘Ug ukaw gahum gihatag ngadto kanila mao ang pagdaot sa mga tawo sulod sa lima ka bulan.’ Kutob niana ang ilang komisyon miabot, aron sa pagsakit pinaagi sa makanunayon nga pagpangilad ug pagpanglungkab, apan dili sa politika nga paagi aron sa pagpatay kanila. Ang ‘lima ka bulan,’ nga katloan ka adlaw sa matag bulan, naghatag kanato ug usa ka gatus ug kalim-an ka adlaw; ug kining mga adlawa, sanglit simboliko man, nagpasabot ug usa ka gatus ug kalim-an ka tuig. Nagsugod sa Hulyo 27, 1299, ang usa ka gatus ug kalim-an ka tuig moabot ngadto sa 1449. Sulod nianang tibuok nga panahon ang mga Turko nalambigit sa hapit walay paghunong nga pakiggubat batok sa imperyong Grego, apan wala gihapon nila kini mabuntog. Ilang gisakop ug gipugngan ang pipila sa mga lalawigan sa mga Grego, apan bisan pa niana ang kagawasan sa mga Grego gipadayon sa Constantinople. Apan sa 1449, sa pagtapos sa usa ka gatus ug kalim-an ka tuig, miabut ang usa ka kausaban, nga ang kasaysayan makita ilalom sa misunod nga trumpeta.” Uriah Smith, Daniel and Revelation, 505–507.</w:t>
      </w:r>
    </w:p>
    <w:p>
      <w:pPr>
        <w:pStyle w:val="ArticleBody"/>
        <w:jc w:val="left"/>
      </w:pPr>
      <w:r>
        <w:rPr>
          <w:rFonts w:ascii="Times New Roman" w:hAnsi="Times New Roman" w:eastAsia="Times New Roman" w:cs="Times New Roman"/>
        </w:rPr>
        <w:t>Урия Смит жүз элүү жылдын эсебине карата Жосайя Литчтин эсептөөсүн келтирип жатат; ал мөөнөт аяктаганда, кийинки Сурнайдагы үч жүз токсон бир жыл жана он беш күндүк пайгамбарчылыктын башталыш чекитин билдирет. Бул өз ара байланышкан эки убакыт пайгамбарчылыгы жөнүндө Литчтин алдын ала айтканына түшүндүрмө берип, Уайт айым мындай деп жазган:</w:t>
      </w:r>
    </w:p>
    <w:p>
      <w:pPr>
        <w:pStyle w:val="ArticleScripture"/>
        <w:jc w:val="left"/>
      </w:pPr>
      <w:r>
        <w:rPr>
          <w:rFonts w:ascii="Times New Roman" w:hAnsi="Times New Roman" w:eastAsia="Times New Roman" w:cs="Times New Roman"/>
        </w:rPr>
        <w:t>"Пы 1840-ым дахь жылы исады фыццаг лæвæрд фæдбæлдзæн профеци æмбырд уыйд æппæтхæссæн æрмæстæй фæндагæн куыдта. Дыууæ азы разы, Иосия Лич, дыккаг æрвдзæны фæдзæхст уæззау минæвæрттæй иу, Revelation 9-ы æрфыст æвдисæн рауадæй, Оттоман импери фесафын æмбæрзонд куыдтæй фæндæг кодта. Йæ хисæбтæм гæсгæ, ацы хъæздыг æрмæст исын уыд... 1840-ы азы 11-æм августы, кæддæр Константинопольы Оттоман хъæздыг ныххæлд уыдзæнæн æмбæрзонд уыд. Æмæ мæнæй, уый ахæмдæр æвдисын уыдзæн."</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ညွှန်ကြားထားသော</w:t>
      </w:r>
      <w:r>
        <w:rPr>
          <w:rFonts w:ascii="Times New Roman" w:hAnsi="Times New Roman" w:eastAsia="Times New Roman" w:cs="Times New Roman"/>
        </w:rPr>
        <w:t xml:space="preserve"> </w:t>
      </w:r>
      <w:r>
        <w:rPr>
          <w:rFonts w:ascii="Myanmar Text" w:hAnsi="Myanmar Text" w:eastAsia="Myanmar Text" w:cs="Myanmar Text"/>
        </w:rPr>
        <w:t>အချိန်အတိအကျ၌ပင်</w:t>
      </w:r>
      <w:r>
        <w:rPr>
          <w:rFonts w:ascii="Times New Roman" w:hAnsi="Times New Roman" w:eastAsia="Times New Roman" w:cs="Times New Roman"/>
        </w:rPr>
        <w:t xml:space="preserve"> </w:t>
      </w:r>
      <w:r>
        <w:rPr>
          <w:rFonts w:ascii="Myanmar Text" w:hAnsi="Myanmar Text" w:eastAsia="Myanmar Text" w:cs="Myanmar Text"/>
        </w:rPr>
        <w:t>တူရကီသည်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သံတမန်များအားဖြင့်</w:t>
      </w:r>
      <w:r>
        <w:rPr>
          <w:rFonts w:ascii="Times New Roman" w:hAnsi="Times New Roman" w:eastAsia="Times New Roman" w:cs="Times New Roman"/>
        </w:rPr>
        <w:t xml:space="preserve"> </w:t>
      </w:r>
      <w:r>
        <w:rPr>
          <w:rFonts w:ascii="Myanmar Text" w:hAnsi="Myanmar Text" w:eastAsia="Myanmar Text" w:cs="Myanmar Text"/>
        </w:rPr>
        <w:t>ဥရောပ</w:t>
      </w:r>
      <w:r>
        <w:rPr>
          <w:rFonts w:ascii="Times New Roman" w:hAnsi="Times New Roman" w:eastAsia="Times New Roman" w:cs="Times New Roman"/>
        </w:rPr>
        <w:t xml:space="preserve"> </w:t>
      </w:r>
      <w:r>
        <w:rPr>
          <w:rFonts w:ascii="Myanmar Text" w:hAnsi="Myanmar Text" w:eastAsia="Myanmar Text" w:cs="Myanmar Text"/>
        </w:rPr>
        <w:t>မဟာမိတ်</w:t>
      </w:r>
      <w:r>
        <w:rPr>
          <w:rFonts w:ascii="Times New Roman" w:hAnsi="Times New Roman" w:eastAsia="Times New Roman" w:cs="Times New Roman"/>
        </w:rPr>
        <w:t xml:space="preserve"> </w:t>
      </w:r>
      <w:r>
        <w:rPr>
          <w:rFonts w:ascii="Myanmar Text" w:hAnsi="Myanmar Text" w:eastAsia="Myanmar Text" w:cs="Myanmar Text"/>
        </w:rPr>
        <w:t>အင်အားကြီးနိုင်ငံများ၏</w:t>
      </w:r>
      <w:r>
        <w:rPr>
          <w:rFonts w:ascii="Times New Roman" w:hAnsi="Times New Roman" w:eastAsia="Times New Roman" w:cs="Times New Roman"/>
        </w:rPr>
        <w:t xml:space="preserve"> </w:t>
      </w:r>
      <w:r>
        <w:rPr>
          <w:rFonts w:ascii="Myanmar Text" w:hAnsi="Myanmar Text" w:eastAsia="Myanmar Text" w:cs="Myanmar Text"/>
        </w:rPr>
        <w:t>ကာကွယ်မှုကို</w:t>
      </w:r>
      <w:r>
        <w:rPr>
          <w:rFonts w:ascii="Times New Roman" w:hAnsi="Times New Roman" w:eastAsia="Times New Roman" w:cs="Times New Roman"/>
        </w:rPr>
        <w:t xml:space="preserve"> </w:t>
      </w:r>
      <w:r>
        <w:rPr>
          <w:rFonts w:ascii="Myanmar Text" w:hAnsi="Myanmar Text" w:eastAsia="Myanmar Text" w:cs="Myanmar Text"/>
        </w:rPr>
        <w:t>လက်ခံခဲ့၍၊</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ခရစ်ယာန်နိုင်ငံများ၏</w:t>
      </w:r>
      <w:r>
        <w:rPr>
          <w:rFonts w:ascii="Times New Roman" w:hAnsi="Times New Roman" w:eastAsia="Times New Roman" w:cs="Times New Roman"/>
        </w:rPr>
        <w:t xml:space="preserve"> </w:t>
      </w:r>
      <w:r>
        <w:rPr>
          <w:rFonts w:ascii="Myanmar Text" w:hAnsi="Myanmar Text" w:eastAsia="Myanmar Text" w:cs="Myanmar Text"/>
        </w:rPr>
        <w:t>ထိန်းချုပ်မှုအောက်သို့</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ထားရှိခဲ့သည်။</w:t>
      </w:r>
      <w:r>
        <w:rPr>
          <w:rFonts w:ascii="Times New Roman" w:hAnsi="Times New Roman" w:eastAsia="Times New Roman" w:cs="Times New Roman"/>
        </w:rPr>
        <w:t xml:space="preserve"> </w:t>
      </w:r>
      <w:r>
        <w:rPr>
          <w:rFonts w:ascii="Myanmar Text" w:hAnsi="Myanmar Text" w:eastAsia="Myanmar Text" w:cs="Myanmar Text"/>
        </w:rPr>
        <w:t>ထိုဖြစ်ရပ်သည်</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ပြည့်စုံစေခဲ့သည်။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သိရှိလာကြသောအခါ</w:t>
      </w:r>
      <w:r>
        <w:rPr>
          <w:rFonts w:ascii="Times New Roman" w:hAnsi="Times New Roman" w:eastAsia="Times New Roman" w:cs="Times New Roman"/>
        </w:rPr>
        <w:t xml:space="preserve"> </w:t>
      </w:r>
      <w:r>
        <w:rPr>
          <w:rFonts w:ascii="Myanmar Text" w:hAnsi="Myanmar Text" w:eastAsia="Myanmar Text" w:cs="Myanmar Text"/>
        </w:rPr>
        <w:t>လူအများအပြားသည်</w:t>
      </w:r>
      <w:r>
        <w:rPr>
          <w:rFonts w:ascii="Times New Roman" w:hAnsi="Times New Roman" w:eastAsia="Times New Roman" w:cs="Times New Roman"/>
        </w:rPr>
        <w:t xml:space="preserve"> </w:t>
      </w:r>
      <w:r>
        <w:rPr>
          <w:rFonts w:ascii="Myanmar Text" w:hAnsi="Myanmar Text" w:eastAsia="Myanmar Text" w:cs="Myanmar Text"/>
        </w:rPr>
        <w:t>မီလာနှင့်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အဖော်များက</w:t>
      </w:r>
      <w:r>
        <w:rPr>
          <w:rFonts w:ascii="Times New Roman" w:hAnsi="Times New Roman" w:eastAsia="Times New Roman" w:cs="Times New Roman"/>
        </w:rPr>
        <w:t xml:space="preserve"> </w:t>
      </w:r>
      <w:r>
        <w:rPr>
          <w:rFonts w:ascii="Myanmar Text" w:hAnsi="Myanmar Text" w:eastAsia="Myanmar Text" w:cs="Myanmar Text"/>
        </w:rPr>
        <w:t>လက်ခံကျင့်သုံးခဲ့သော</w:t>
      </w:r>
      <w:r>
        <w:rPr>
          <w:rFonts w:ascii="Times New Roman" w:hAnsi="Times New Roman" w:eastAsia="Times New Roman" w:cs="Times New Roman"/>
        </w:rPr>
        <w:t xml:space="preserve"> </w:t>
      </w:r>
      <w:r>
        <w:rPr>
          <w:rFonts w:ascii="Myanmar Text" w:hAnsi="Myanmar Text" w:eastAsia="Myanmar Text" w:cs="Myanmar Text"/>
        </w:rPr>
        <w:t>ပရောဖက်ပြုချက်အနက်ဖွင့်ဆိုခြင်း</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အခြေခံသဘောတရားများ၏</w:t>
      </w:r>
      <w:r>
        <w:rPr>
          <w:rFonts w:ascii="Times New Roman" w:hAnsi="Times New Roman" w:eastAsia="Times New Roman" w:cs="Times New Roman"/>
        </w:rPr>
        <w:t xml:space="preserve"> </w:t>
      </w:r>
      <w:r>
        <w:rPr>
          <w:rFonts w:ascii="Myanmar Text" w:hAnsi="Myanmar Text" w:eastAsia="Myanmar Text" w:cs="Myanmar Text"/>
        </w:rPr>
        <w:t>မှန်ကန်မှုကို</w:t>
      </w:r>
      <w:r>
        <w:rPr>
          <w:rFonts w:ascii="Times New Roman" w:hAnsi="Times New Roman" w:eastAsia="Times New Roman" w:cs="Times New Roman"/>
        </w:rPr>
        <w:t xml:space="preserve"> </w:t>
      </w:r>
      <w:r>
        <w:rPr>
          <w:rFonts w:ascii="Myanmar Text" w:hAnsi="Myanmar Text" w:eastAsia="Myanmar Text" w:cs="Myanmar Text"/>
        </w:rPr>
        <w:t>ယုံကြည်လာကြပြီး၊</w:t>
      </w:r>
      <w:r>
        <w:rPr>
          <w:rFonts w:ascii="Times New Roman" w:hAnsi="Times New Roman" w:eastAsia="Times New Roman" w:cs="Times New Roman"/>
        </w:rPr>
        <w:t xml:space="preserve"> </w:t>
      </w:r>
      <w:r>
        <w:rPr>
          <w:rFonts w:ascii="Myanmar Text" w:hAnsi="Myanmar Text" w:eastAsia="Myanmar Text" w:cs="Myanmar Text"/>
        </w:rPr>
        <w:t>အဒ်ဗင့်လှုပ်ရှားမှုအတွက်</w:t>
      </w:r>
      <w:r>
        <w:rPr>
          <w:rFonts w:ascii="Times New Roman" w:hAnsi="Times New Roman" w:eastAsia="Times New Roman" w:cs="Times New Roman"/>
        </w:rPr>
        <w:t xml:space="preserve"> </w:t>
      </w:r>
      <w:r>
        <w:rPr>
          <w:rFonts w:ascii="Myanmar Text" w:hAnsi="Myanmar Text" w:eastAsia="Myanmar Text" w:cs="Myanmar Text"/>
        </w:rPr>
        <w:t>အံ့ဖွယ်ကောင်းသော</w:t>
      </w:r>
      <w:r>
        <w:rPr>
          <w:rFonts w:ascii="Times New Roman" w:hAnsi="Times New Roman" w:eastAsia="Times New Roman" w:cs="Times New Roman"/>
        </w:rPr>
        <w:t xml:space="preserve"> </w:t>
      </w:r>
      <w:r>
        <w:rPr>
          <w:rFonts w:ascii="Myanmar Text" w:hAnsi="Myanmar Text" w:eastAsia="Myanmar Text" w:cs="Myanmar Text"/>
        </w:rPr>
        <w:t>အရှိန်အဟုန်တစ်ရပ်</w:t>
      </w:r>
      <w:r>
        <w:rPr>
          <w:rFonts w:ascii="Times New Roman" w:hAnsi="Times New Roman" w:eastAsia="Times New Roman" w:cs="Times New Roman"/>
        </w:rPr>
        <w:t xml:space="preserve"> </w:t>
      </w:r>
      <w:r>
        <w:rPr>
          <w:rFonts w:ascii="Myanmar Text" w:hAnsi="Myanmar Text" w:eastAsia="Myanmar Text" w:cs="Myanmar Text"/>
        </w:rPr>
        <w:t>ပေးအပ်ခံရလေသည်။</w:t>
      </w:r>
      <w:r>
        <w:rPr>
          <w:rFonts w:ascii="Times New Roman" w:hAnsi="Times New Roman" w:eastAsia="Times New Roman" w:cs="Times New Roman"/>
        </w:rPr>
        <w:t xml:space="preserve"> </w:t>
      </w:r>
      <w:r>
        <w:rPr>
          <w:rFonts w:ascii="Myanmar Text" w:hAnsi="Myanmar Text" w:eastAsia="Myanmar Text" w:cs="Myanmar Text"/>
        </w:rPr>
        <w:t>ပညာရှိ၍</w:t>
      </w:r>
      <w:r>
        <w:rPr>
          <w:rFonts w:ascii="Times New Roman" w:hAnsi="Times New Roman" w:eastAsia="Times New Roman" w:cs="Times New Roman"/>
        </w:rPr>
        <w:t xml:space="preserve"> </w:t>
      </w:r>
      <w:r>
        <w:rPr>
          <w:rFonts w:ascii="Myanmar Text" w:hAnsi="Myanmar Text" w:eastAsia="Myanmar Text" w:cs="Myanmar Text"/>
        </w:rPr>
        <w:t>လူမှုဂုဏ်သိက္ခာရှိသော</w:t>
      </w:r>
      <w:r>
        <w:rPr>
          <w:rFonts w:ascii="Times New Roman" w:hAnsi="Times New Roman" w:eastAsia="Times New Roman" w:cs="Times New Roman"/>
        </w:rPr>
        <w:t xml:space="preserve"> </w:t>
      </w:r>
      <w:r>
        <w:rPr>
          <w:rFonts w:ascii="Myanmar Text" w:hAnsi="Myanmar Text" w:eastAsia="Myanmar Text" w:cs="Myanmar Text"/>
        </w:rPr>
        <w:t>လူတို့သည်လည်း</w:t>
      </w:r>
      <w:r>
        <w:rPr>
          <w:rFonts w:ascii="Times New Roman" w:hAnsi="Times New Roman" w:eastAsia="Times New Roman" w:cs="Times New Roman"/>
        </w:rPr>
        <w:t xml:space="preserve"> </w:t>
      </w:r>
      <w:r>
        <w:rPr>
          <w:rFonts w:ascii="Myanmar Text" w:hAnsi="Myanmar Text" w:eastAsia="Myanmar Text" w:cs="Myanmar Text"/>
        </w:rPr>
        <w:t>မီလာနှင့်</w:t>
      </w:r>
      <w:r>
        <w:rPr>
          <w:rFonts w:ascii="Times New Roman" w:hAnsi="Times New Roman" w:eastAsia="Times New Roman" w:cs="Times New Roman"/>
        </w:rPr>
        <w:t xml:space="preserve"> </w:t>
      </w:r>
      <w:r>
        <w:rPr>
          <w:rFonts w:ascii="Myanmar Text" w:hAnsi="Myanmar Text" w:eastAsia="Myanmar Text" w:cs="Myanmar Text"/>
        </w:rPr>
        <w:t>ပူးပေါင်းကာ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အမြင်များကို</w:t>
      </w:r>
      <w:r>
        <w:rPr>
          <w:rFonts w:ascii="Times New Roman" w:hAnsi="Times New Roman" w:eastAsia="Times New Roman" w:cs="Times New Roman"/>
        </w:rPr>
        <w:t xml:space="preserve"> </w:t>
      </w:r>
      <w:r>
        <w:rPr>
          <w:rFonts w:ascii="Myanmar Text" w:hAnsi="Myanmar Text" w:eastAsia="Myanmar Text" w:cs="Myanmar Text"/>
        </w:rPr>
        <w:t>ဟောပြောခြင်းနှင့်</w:t>
      </w:r>
      <w:r>
        <w:rPr>
          <w:rFonts w:ascii="Times New Roman" w:hAnsi="Times New Roman" w:eastAsia="Times New Roman" w:cs="Times New Roman"/>
        </w:rPr>
        <w:t xml:space="preserve"> </w:t>
      </w:r>
      <w:r>
        <w:rPr>
          <w:rFonts w:ascii="Myanmar Text" w:hAnsi="Myanmar Text" w:eastAsia="Myanmar Text" w:cs="Myanmar Text"/>
        </w:rPr>
        <w:t>ပုံနှိပ်ထုတ်ဝေခြင်းတို့တွင်</w:t>
      </w:r>
      <w:r>
        <w:rPr>
          <w:rFonts w:ascii="Times New Roman" w:hAnsi="Times New Roman" w:eastAsia="Times New Roman" w:cs="Times New Roman"/>
        </w:rPr>
        <w:t xml:space="preserve"> </w:t>
      </w:r>
      <w:r>
        <w:rPr>
          <w:rFonts w:ascii="Myanmar Text" w:hAnsi="Myanmar Text" w:eastAsia="Myanmar Text" w:cs="Myanmar Text"/>
        </w:rPr>
        <w:t>ပါဝင်လာကြပြီး၊</w:t>
      </w:r>
      <w:r>
        <w:rPr>
          <w:rFonts w:ascii="Times New Roman" w:hAnsi="Times New Roman" w:eastAsia="Times New Roman" w:cs="Times New Roman"/>
        </w:rPr>
        <w:t xml:space="preserve"> 1840 </w:t>
      </w:r>
      <w:r>
        <w:rPr>
          <w:rFonts w:ascii="Myanmar Text" w:hAnsi="Myanmar Text" w:eastAsia="Myanmar Text" w:cs="Myanmar Text"/>
        </w:rPr>
        <w:t>မှ</w:t>
      </w:r>
      <w:r>
        <w:rPr>
          <w:rFonts w:ascii="Times New Roman" w:hAnsi="Times New Roman" w:eastAsia="Times New Roman" w:cs="Times New Roman"/>
        </w:rPr>
        <w:t xml:space="preserve"> 1844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ထိုအမှုတော်သည်</w:t>
      </w:r>
      <w:r>
        <w:rPr>
          <w:rFonts w:ascii="Times New Roman" w:hAnsi="Times New Roman" w:eastAsia="Times New Roman" w:cs="Times New Roman"/>
        </w:rPr>
        <w:t xml:space="preserve"> </w:t>
      </w:r>
      <w:r>
        <w:rPr>
          <w:rFonts w:ascii="Myanmar Text" w:hAnsi="Myanmar Text" w:eastAsia="Myanmar Text" w:cs="Myanmar Text"/>
        </w:rPr>
        <w:t>လျင်မြန်စွာ</w:t>
      </w:r>
      <w:r>
        <w:rPr>
          <w:rFonts w:ascii="Times New Roman" w:hAnsi="Times New Roman" w:eastAsia="Times New Roman" w:cs="Times New Roman"/>
        </w:rPr>
        <w:t xml:space="preserve"> </w:t>
      </w:r>
      <w:r>
        <w:rPr>
          <w:rFonts w:ascii="Myanmar Text" w:hAnsi="Myanmar Text" w:eastAsia="Myanmar Text" w:cs="Myanmar Text"/>
        </w:rPr>
        <w:t>ကျယ်ပြန့်သွားခဲ့သည်။</w:t>
      </w:r>
      <w:r>
        <w:rPr>
          <w:rFonts w:ascii="Times New Roman" w:hAnsi="Times New Roman" w:eastAsia="Times New Roman" w:cs="Times New Roman"/>
        </w:rPr>
        <w:t>” The Great Controversy, 334, 335.</w:t>
      </w:r>
    </w:p>
    <w:p>
      <w:pPr>
        <w:pStyle w:val="ArticleBody"/>
        <w:jc w:val="left"/>
      </w:pPr>
      <w:r>
        <w:rPr>
          <w:rFonts w:ascii="Times New Roman" w:hAnsi="Times New Roman" w:eastAsia="Times New Roman" w:cs="Times New Roman"/>
        </w:rPr>
        <w:t>لەکپێش و دووەمەکپێش بە دوو پێشبینیی کات، کە بە یەکەوە پەیوەستن، گرێدراون. یەکەمەکپێش بە وێنەیەک لە مۆرکردن دەستپێدەکات، و دووەمەکپێش بە مێژووی 11ی ئاب، 1840، هەتا لێدانی ترومپێتی حەوتەم لە 22ی تشرینی یەکەم، 1844، کۆتایی دێت، کە ئەویش وێنەیەکی ترە لە مۆرکردن. دەستپێک و کۆتایی واژۆی ئەلفا و ئۆمێگایان هەیە، چونکە وەک لەو مێژووەی کە مەسیح پەیمانەکەی بۆ یەک هەفتە پشتڕاست کرد، ماوەکە بە دوو بەش دابەش دەبێت. ماوەی یەکەم بە یەکەم محەممەد دەستپێدەکات، و بە دووەم محەممەد کۆتایی دێت. ماوەی دووەم بە «دەنگێک لە چوار قۆچی قوربانگای زێڕین، کە لەبەردەم خودایە» دەستپێدەکات، و بە «دەنگ»ی مەسیح کۆتایی دێت، کە سوێند دەخوات «بەوەی کە بۆ هەمیشە و هەتاهەتە دەژی، ئەوەی ئاسمانی دروست کردووە، و ئەو شتانەی تێیدان، و زەوی، و ئەو شتانەی تێیدان، و دەریا، و ئەو شتانەی تێیدان، کە ئیتر کات نەبێت.»</w:t>
      </w:r>
    </w:p>
    <w:p>
      <w:pPr>
        <w:pStyle w:val="ArticleBody"/>
        <w:jc w:val="left"/>
      </w:pPr>
      <w:r>
        <w:rPr>
          <w:rFonts w:ascii="Times New Roman" w:hAnsi="Times New Roman" w:eastAsia="Times New Roman" w:cs="Times New Roman"/>
        </w:rPr>
        <w:t>Yachachik kay yachayta qatiqnin qillqapiqa ñawpaqman apamusaqku.</w:t>
      </w:r>
    </w:p>
    <w:p>
      <w:pPr>
        <w:pStyle w:val="ArticleScripture"/>
        <w:jc w:val="left"/>
      </w:pPr>
      <w:r>
        <w:rPr>
          <w:rFonts w:ascii="Times New Roman" w:hAnsi="Times New Roman" w:eastAsia="Times New Roman" w:cs="Times New Roman"/>
        </w:rPr>
        <w:t>“</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අතීතයේ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ගමන්මග</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සම්බන්ධයෙන්</w:t>
      </w:r>
      <w:r>
        <w:rPr>
          <w:rFonts w:ascii="Times New Roman" w:hAnsi="Times New Roman" w:eastAsia="Times New Roman" w:cs="Times New Roman"/>
        </w:rPr>
        <w:t xml:space="preserve"> </w:t>
      </w:r>
      <w:r>
        <w:rPr>
          <w:rFonts w:ascii="Nirmala UI" w:hAnsi="Nirmala UI" w:eastAsia="Nirmala UI" w:cs="Nirmala UI"/>
        </w:rPr>
        <w:t>සැකය</w:t>
      </w:r>
      <w:r>
        <w:rPr>
          <w:rFonts w:ascii="Times New Roman" w:hAnsi="Times New Roman" w:eastAsia="Times New Roman" w:cs="Times New Roman"/>
        </w:rPr>
        <w:t xml:space="preserve"> </w:t>
      </w:r>
      <w:r>
        <w:rPr>
          <w:rFonts w:ascii="Nirmala UI" w:hAnsi="Nirmala UI" w:eastAsia="Nirmala UI" w:cs="Nirmala UI"/>
        </w:rPr>
        <w:t>උපදවනු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සාතන්</w:t>
      </w:r>
      <w:r>
        <w:rPr>
          <w:rFonts w:ascii="Times New Roman" w:hAnsi="Times New Roman" w:eastAsia="Times New Roman" w:cs="Times New Roman"/>
        </w:rPr>
        <w:t xml:space="preserve"> </w:t>
      </w:r>
      <w:r>
        <w:rPr>
          <w:rFonts w:ascii="Nirmala UI" w:hAnsi="Nirmala UI" w:eastAsia="Nirmala UI" w:cs="Nirmala UI"/>
        </w:rPr>
        <w:t>මනස</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උත්පාදනය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ඕනෑම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රශ්නයක්</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සාතානික</w:t>
      </w:r>
      <w:r>
        <w:rPr>
          <w:rFonts w:ascii="Times New Roman" w:hAnsi="Times New Roman" w:eastAsia="Times New Roman" w:cs="Times New Roman"/>
        </w:rPr>
        <w:t xml:space="preserve"> </w:t>
      </w:r>
      <w:r>
        <w:rPr>
          <w:rFonts w:ascii="Nirmala UI" w:hAnsi="Nirmala UI" w:eastAsia="Nirmala UI" w:cs="Nirmala UI"/>
        </w:rPr>
        <w:t>මහෝන්නතියට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රසන්න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දෙවියන්වහන්සේට</w:t>
      </w:r>
      <w:r>
        <w:rPr>
          <w:rFonts w:ascii="Times New Roman" w:hAnsi="Times New Roman" w:eastAsia="Times New Roman" w:cs="Times New Roman"/>
        </w:rPr>
        <w:t xml:space="preserve"> </w:t>
      </w:r>
      <w:r>
        <w:rPr>
          <w:rFonts w:ascii="Nirmala UI" w:hAnsi="Nirmala UI" w:eastAsia="Nirmala UI" w:cs="Nirmala UI"/>
        </w:rPr>
        <w:t>අපරාධයකි</w:t>
      </w:r>
      <w:r>
        <w:rPr>
          <w:rFonts w:ascii="Times New Roman" w:hAnsi="Times New Roman" w:eastAsia="Times New Roman" w:cs="Times New Roman"/>
        </w:rPr>
        <w:t xml:space="preserve">. </w:t>
      </w:r>
      <w:r>
        <w:rPr>
          <w:rFonts w:ascii="Nirmala UI" w:hAnsi="Nirmala UI" w:eastAsia="Nirmala UI" w:cs="Nirmala UI"/>
        </w:rPr>
        <w:t>අපගේ</w:t>
      </w:r>
      <w:r>
        <w:rPr>
          <w:rFonts w:ascii="Times New Roman" w:hAnsi="Times New Roman" w:eastAsia="Times New Roman" w:cs="Times New Roman"/>
        </w:rPr>
        <w:t xml:space="preserve"> </w:t>
      </w:r>
      <w:r>
        <w:rPr>
          <w:rFonts w:ascii="Nirmala UI" w:hAnsi="Nirmala UI" w:eastAsia="Nirmala UI" w:cs="Nirmala UI"/>
        </w:rPr>
        <w:t>ලෝකයට</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මහිමයෙන්</w:t>
      </w:r>
      <w:r>
        <w:rPr>
          <w:rFonts w:ascii="Times New Roman" w:hAnsi="Times New Roman" w:eastAsia="Times New Roman" w:cs="Times New Roman"/>
        </w:rPr>
        <w:t xml:space="preserve"> </w:t>
      </w:r>
      <w:r>
        <w:rPr>
          <w:rFonts w:ascii="Nirmala UI" w:hAnsi="Nirmala UI" w:eastAsia="Nirmala UI" w:cs="Nirmala UI"/>
        </w:rPr>
        <w:t>ඉක්මනින්</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1840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රකාශනයෙහි</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හඬවල්</w:t>
      </w:r>
      <w:r>
        <w:rPr>
          <w:rFonts w:ascii="Times New Roman" w:hAnsi="Times New Roman" w:eastAsia="Times New Roman" w:cs="Times New Roman"/>
        </w:rPr>
        <w:t xml:space="preserve"> </w:t>
      </w:r>
      <w:r>
        <w:rPr>
          <w:rFonts w:ascii="Nirmala UI" w:hAnsi="Nirmala UI" w:eastAsia="Nirmala UI" w:cs="Nirmala UI"/>
        </w:rPr>
        <w:t>නගා</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Manuscript Releases, volume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Tuma ya Daniyeli - Mia Moja na Kumi na Mbili</dc:title>
  <dc:subject>Maana Ya Kinabii ya Ishmaeli Yafunuliwa: Kutoka Mpiga Upinde hadi Mtiia Muhuri wale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