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Sembilan Belas</w:t>
      </w:r>
    </w:p>
    <w:p>
      <w:pPr>
        <w:pStyle w:val="ArticleSubtitle"/>
        <w:jc w:val="left"/>
      </w:pPr>
      <w:r>
        <w:rPr>
          <w:rFonts w:ascii="Microsoft YaHei" w:hAnsi="Microsoft YaHei" w:eastAsia="Microsoft YaHei" w:cs="Microsoft YaHei"/>
        </w:rPr>
        <w:t>历史路标的预言性意义：借着圣经象征理解末后的日子</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صد و چهل و چهار هزار به‌منزلهٔ کسانی به تصویر کشیده شده‌اند که به‌وسیلهٔ رسولِ عهد تطهیر می‌شوند، و جماعتِ عظیم به‌وسیلهٔ جامه‌های سفیدِ شهادت بازنمایی شده‌اند. نخستینِ دو دورهٔ مقدسِ ایامِ آخر، کارِ آن رسولی را مشخص می‌سازد که راه را برای رسولِ عهد مهیا می‌کند، و دورهٔ دوم، کارِ ایلیا را بازنمایی می‌نماید. دورهٔ نخست، نمایانگرِ داوریِ تحقیقیِ زندگانِ ادونتیسمِ لائودیکیه‌ای است و دورهٔ دوم، نمایانگرِ داوریِ اجراییِ رومِ جدید است.</w:t>
      </w:r>
    </w:p>
    <w:p>
      <w:pPr>
        <w:pStyle w:val="ArticleBody"/>
        <w:jc w:val="left"/>
      </w:pPr>
      <w:r>
        <w:rPr>
          <w:rFonts w:ascii="Times New Roman" w:hAnsi="Times New Roman" w:eastAsia="Times New Roman" w:cs="Times New Roman"/>
        </w:rPr>
        <w:t>“</w:t>
      </w:r>
      <w:r>
        <w:rPr>
          <w:rFonts w:ascii="Ebrima" w:hAnsi="Ebrima" w:eastAsia="Ebrima" w:cs="Ebrima"/>
        </w:rPr>
        <w:t>ተምልክቱ</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ከከተሞች</w:t>
      </w:r>
      <w:r>
        <w:rPr>
          <w:rFonts w:ascii="Times New Roman" w:hAnsi="Times New Roman" w:eastAsia="Times New Roman" w:cs="Times New Roman"/>
        </w:rPr>
        <w:t xml:space="preserve"> </w:t>
      </w:r>
      <w:r>
        <w:rPr>
          <w:rFonts w:ascii="Ebrima" w:hAnsi="Ebrima" w:eastAsia="Ebrima" w:cs="Ebrima"/>
        </w:rPr>
        <w:t>ለመሽሽ</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በላዖድቅያዊ</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በስሕተት</w:t>
      </w:r>
      <w:r>
        <w:rPr>
          <w:rFonts w:ascii="Times New Roman" w:hAnsi="Times New Roman" w:eastAsia="Times New Roman" w:cs="Times New Roman"/>
        </w:rPr>
        <w:t xml:space="preserve"> </w:t>
      </w:r>
      <w:r>
        <w:rPr>
          <w:rFonts w:ascii="Ebrima" w:hAnsi="Ebrima" w:eastAsia="Ebrima" w:cs="Ebrima"/>
        </w:rPr>
        <w:t>ተረድቷል።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66 </w:t>
      </w:r>
      <w:r>
        <w:rPr>
          <w:rFonts w:ascii="Ebrima" w:hAnsi="Ebrima" w:eastAsia="Ebrima" w:cs="Ebrima"/>
        </w:rPr>
        <w:t>እስከ</w:t>
      </w:r>
      <w:r>
        <w:rPr>
          <w:rFonts w:ascii="Times New Roman" w:hAnsi="Times New Roman" w:eastAsia="Times New Roman" w:cs="Times New Roman"/>
        </w:rPr>
        <w:t xml:space="preserve"> 70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የኢየሩሳሌም</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የማስጠንቀቂያውን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እንደሚሰጥ</w:t>
      </w:r>
      <w:r>
        <w:rPr>
          <w:rFonts w:ascii="Times New Roman" w:hAnsi="Times New Roman" w:eastAsia="Times New Roman" w:cs="Times New Roman"/>
        </w:rPr>
        <w:t xml:space="preserve"> </w:t>
      </w:r>
      <w:r>
        <w:rPr>
          <w:rFonts w:ascii="Ebrima" w:hAnsi="Ebrima" w:eastAsia="Ebrima" w:cs="Ebrima"/>
        </w:rPr>
        <w:t>ያሳውቀናል።</w:t>
      </w:r>
    </w:p>
    <w:p>
      <w:pPr>
        <w:pStyle w:val="ArticleScripture"/>
        <w:jc w:val="left"/>
      </w:pPr>
      <w:r>
        <w:rPr>
          <w:rFonts w:ascii="Times New Roman" w:hAnsi="Times New Roman" w:eastAsia="Times New Roman" w:cs="Times New Roman"/>
        </w:rPr>
        <w:t>«Ժամանակը հեռու չէ, երբ մենք, ինչպես վաղ շրջանի աշակերտները, հարկադրված պիտի լինենք ապաստան որոնելու ամայի և մեկուսի վայրերում։ Ինչպես Հռոմեական զորքերի կողմից Երուսաղեմի պաշարումը ազդանշան եղավ Հրեաստանի քրիստոնյաների փախուստի համար, այնպես էլ մեր ազգի կողմից իշխանության յուրացումը՝ պապական շաբաթը պարտադրող հրամանագրի միջոցով, մեզ համար նախազգուշացում պիտի լինի։ Այն ժամանակ պիտի գա մեծ քաղաքները թողնելու ժամանակը՝ նախապատրաստվելով փոքր քաղաքներն էլ թողնելու՝ լեռների մեջ մեկուսի վայրերում գտնվող առանձնացած բնակավայրեր գնալու համար»։ Վկայություններ, հ. 5, 464։</w:t>
      </w:r>
    </w:p>
    <w:p>
      <w:pPr>
        <w:pStyle w:val="ArticleBody"/>
        <w:jc w:val="left"/>
      </w:pPr>
      <w:r>
        <w:rPr>
          <w:rFonts w:ascii="Times New Roman" w:hAnsi="Times New Roman" w:eastAsia="Times New Roman" w:cs="Times New Roman"/>
        </w:rPr>
        <w:t>Верусалим урунуу тухай, зугтаха дохио боломн, Кестий авчирснә түрүнчү урунулһан болн. Иимәс Кестий түр зуур һалггдсан аюулые төлөөлнә, юундгевәл тэрэ урунулһан тогтоосныхоо һүүлдэ учир битүүлгээр гэдргээ татагдсан, тиихэдэ түүхэшэд энээниие хэхэ талаархи түүний логикые хэзээшье тогтоожо шадаагүй.</w:t>
      </w:r>
    </w:p>
    <w:p>
      <w:pPr>
        <w:pStyle w:val="ArticleScripture"/>
        <w:jc w:val="left"/>
      </w:pPr>
      <w:r>
        <w:rPr>
          <w:rFonts w:ascii="Times New Roman" w:hAnsi="Times New Roman" w:eastAsia="Times New Roman" w:cs="Times New Roman"/>
        </w:rPr>
        <w:t>“Romanakunaka Cestiuspa kamachikuyninwan llaqta muyurispanku, mana suyaypi muyuriyta saqirqanku, llapa imapas chay ratolla utqaylla maqanakuy qallarinanpaq allin hina rikuriptin.” The Great Controversy, 31.</w:t>
      </w:r>
    </w:p>
    <w:p>
      <w:pPr>
        <w:pStyle w:val="ArticleBody"/>
        <w:jc w:val="left"/>
      </w:pPr>
      <w:r>
        <w:rPr>
          <w:rFonts w:ascii="Times New Roman" w:hAnsi="Times New Roman" w:eastAsia="Times New Roman" w:cs="Times New Roman"/>
        </w:rPr>
        <w:t>Trong thập niên 1880 và 1890, Thượng nghị sĩ Henry W. Blair từ New Hampshire đã đệ trình lên Quốc hội một loạt dự luật nhằm chỉ định Chủ nhật là Ngày Nghỉ ngơi Toàn quốc. Những dự luật này thường được gọi là “Blair Sunday Bills.” Thượng nghị sĩ Blair là một người ủng hộ mạnh mẽ việc giữ ngày Chủ nhật như một ngày nghỉ ngơi và thực hành tôn giáo. Ông tin rằng một ngày nghỉ ngơi thống nhất sẽ đem lại những ảnh hưởng tích cực về mặt đạo đức và xã hội cho xã hội Hoa Kỳ. Tuy những nỗ lực của ông đã nhận được một số sự ủng hộ, đặc biệt từ các nhóm tôn giáo, chúng cũng vấp phải sự phản đối, bao gồm những quan ngại về sự phân ly giữa giáo hội và nhà nước.</w:t>
      </w:r>
    </w:p>
    <w:p>
      <w:pPr>
        <w:pStyle w:val="ArticleBody"/>
        <w:jc w:val="left"/>
      </w:pPr>
      <w:r>
        <w:rPr>
          <w:rFonts w:ascii="Times New Roman" w:hAnsi="Times New Roman" w:eastAsia="Times New Roman" w:cs="Times New Roman"/>
        </w:rPr>
        <w:t>Ten vaʼekue pe ñehaʼã peteĩha omoñepyrũ hag̃ua léi dominical ko yvy arymymbeʼu ryepýpe, pe mymba yvy rehegua rembiapokuepe, ojejapóva hag̃ua upéi oñeʼẽ vove peteĩ dragónicha ha amo ipahápe omyasãivo peteĩ léi dominical. Koʼãva hína umi léi Blair rehegua atykuéra, umi A. T. Jones—peteĩva umi marandu rerahaha 1888 ary General Conference aty guasúpe—oike hag̃ua Congreso róga kuérape ha iñeʼẽ porãite reheve oñemoĩ hag̃ua hese. Mbovymi ñehaʼã rire, senador Blair operde pe mbarete omotenondévo ipuʼaka hag̃ua peteĩ Tetãygua Pytuʼu Ára rehe. Upéva rehegua historia ndive joaju mbaretepe, ha peteĩ Tetãygua Pytuʼu Ára (Domingo) heʼiséva ndive, ikatu ojehecha jey pe registro histórico Ellen White ñeʼẽmeʼẽ ñemoñeʼẽ rehegua.</w:t>
      </w:r>
    </w:p>
    <w:p>
      <w:pPr>
        <w:pStyle w:val="ArticleBody"/>
        <w:jc w:val="left"/>
      </w:pPr>
      <w:r>
        <w:rPr>
          <w:rFonts w:ascii="Times New Roman" w:hAnsi="Times New Roman" w:eastAsia="Times New Roman" w:cs="Times New Roman"/>
        </w:rPr>
        <w:t>A yiw a na ay yi fɔlɔ ka baara kɛ i ka Sunday law la laadilikanw kɔrɔsilenna de la, o ye hakili bɔbaga ye, a siɲɛna kosɛbɛ ka sɔrɔ Laodike ka Adventisme kɔnɔ. Kɔfɛnin na, min ye a fɔ ko a ka kan ka bɔ dugu-baaw kɔnɔ, i n’a fɔ ka taa sigi kɔnɔ min y’a fɔlen da, a sɛbɛnna ko, “waati o waati la, a bɛna kɛ waati ye ka bɔ dugu-baw kɔnɔ, ka labɛn bɔli la dugun-denw kɔnɔ fana, ka taa sigi so dɔw la minnu bè yɔrɔ dantigɛlenw la kuluw cɛma.” A ka kalanw taamasiyɛn ye i la ka fɔ cogo caman na ko Ala ka mɔgɔw ka kan ka sigi buguda kɔnɔ; nka a ka laadilikanw minnu bɛ buguda sigili kan sani 1888, olu bɛ a ka fɔli, ka bɔ duguw kɔnɔ, sigi nin kɔfɛ la ko Ala ka mɔgɔw bɛna mako sɔrɔ kɛrɛnkɛrɛnnenna la ka bɔ duguw kɔnɔ. Kɔfɛ 1888, a ka sɛbɛnni laadilikanw minnu bɛ buguda sigili kan, a tɛ se ka bɔ yen fɔli ma ko an ka kan ka bɔ duguw kɔnɔ hali sisan.</w:t>
      </w:r>
    </w:p>
    <w:p>
      <w:pPr>
        <w:pStyle w:val="ArticleBody"/>
        <w:jc w:val="left"/>
      </w:pPr>
      <w:r>
        <w:rPr>
          <w:rFonts w:ascii="Times New Roman" w:hAnsi="Times New Roman" w:eastAsia="Times New Roman" w:cs="Times New Roman"/>
        </w:rPr>
        <w:t>تاریخ میں ظاہر ہونے والے بلیئر کے قومی یومِ آرام کے بل شہر چھوڑ دینے کی “علامت” تھے، اور اگرچہ بلیئر کے بل اس کام کو انجام دینے کے لیے درکار رفتار برقرار نہ رکھ سکے اور تاریخ کی تاریکی میں واپس چلے گئے، تاہم فرار ہونے کی “علامت” دے دی گئی تھی۔ یہ تاریخی نشانِ راہ، یعنی پہلے محاصرے کے موقع پر دی گئی تھی، جو سیسٹیئس کے ذریعے لایا گیا تھا۔ جلد آنے والا سنڈے لاؤ طیطس کے محاصرے سے ممثَّل ہے، اور اگر کوئی لاودیکیائی ایڈونٹسٹ اس محاصرے کے پہنچنے کے وقت تک ابھی تک شہروں میں ہوں، تو وہ شریروں کے ساتھ ہلاک ہو جائیں گے۔</w:t>
      </w:r>
    </w:p>
    <w:p>
      <w:pPr>
        <w:pStyle w:val="ArticleBody"/>
        <w:jc w:val="left"/>
      </w:pPr>
      <w:r>
        <w:rPr>
          <w:rFonts w:ascii="Times New Roman" w:hAnsi="Times New Roman" w:eastAsia="Times New Roman" w:cs="Times New Roman"/>
        </w:rPr>
        <w:t>ЏӀанэ пророческэ къэхъукӀэ гурэфым и къызэкӀуакӀэ щыӀэ. Ахэр къыхэгъэкӀа нэбжьэгъу зэманым къыкӀуэу къэкӀуэну Уик-хьэмахуэ и законымкӀэ. Япэ къэхъукӀэр — Лаодикийэ адыгэ-Адвентизмым щыщ псэуфэм я тешэрыӀуэ зэхущытыкӀэ-суд, етӀуанэр — Рим и фахишэм и ӀуэхущӀэхуэ суд. А къэхъукӀэ тӀур гулъытэу къыщагъэлъэгъуа дахэу-дахэу, сыт щхьэкӀэ жыпӀэмэ, пщащэ пшъашэ тӀокӀэм я гъэпсэпсэ псалъэр нэхъыщхьэу, псалъэм и хэтыкӀэм и щхьэхуэу, а къэхъукӀэ тӀум щыӀэу къыщызэфӀэкӀуэ, Миллеритхэм я тхыдэми къызэрыщыщӀар хуэдэу. Гъэпсэпсэм и къэгъазэ зэманыр — Аввакум и тӀуэтӀэ къалэн и къэгъазэ зэманырщ, аращи дэ къыдгъэщӀэну къыдщытет къэхъукӀэ тӀур Аввакум и тӀуэтӀэ къалэнымкӀэри къагъэлъэгъуащ. Пщащэ пшъашэ тӀокӀэм я гъэпсэпсэ псалъэр, Аввакум и тӀуэтӀэ къалэнымрэ, Миллеритхэм я тхыдэм псалъэм и хэтыкӀэм и щхьэхуэу къызэфӀэкӀуат, абы къызэфӀэкӀуамэ, Иезекииль и еплӀанэ тӀуэтӀэ къалэн, тӀокӀэ зырикӀуэ зиӀэм къыщыщ пщыкӀутӀыр я нэхъыщхьэмрэ къыдэкӀуат.</w:t>
      </w:r>
    </w:p>
    <w:p>
      <w:pPr>
        <w:pStyle w:val="ArticleBody"/>
        <w:jc w:val="left"/>
      </w:pPr>
      <w:r>
        <w:rPr>
          <w:rFonts w:ascii="Nirmala UI" w:hAnsi="Nirmala UI" w:eastAsia="Nirmala UI" w:cs="Nirmala UI"/>
        </w:rPr>
        <w:t>आयज़किएल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दोहराई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Abaxo abaala, abakiikiriddwa n’“akabonero” ak’okudduka, nga bwe kateekeddwawo Kristo mu nkolagana n’eky’omuzizo eky’okuzikiriza, waliwo ebiseera bibiri ebyawuliddwa, era okutandika n’okuggwa kwabyo birina “akabonero” ku ntandikwa y’ekiseera n’“obubonero” ku nkomerero yaakyo. “Akabonero” Kristo kye yalaga ng’ekikiikirira omulembe ogusembayo ogwandibaddewo okutuusa lwe yali agenda okujja mu bire, bwe bujulizi nti kaakano tuli mu mulembe ogusembayo ogw’ebyafaayo by’ensi.</w:t>
      </w:r>
    </w:p>
    <w:p>
      <w:pPr>
        <w:pStyle w:val="ArticleBody"/>
        <w:jc w:val="left"/>
      </w:pPr>
      <w:r>
        <w:rPr>
          <w:rFonts w:ascii="Times New Roman" w:hAnsi="Times New Roman" w:eastAsia="Times New Roman" w:cs="Times New Roman"/>
        </w:rPr>
        <w:t>С Лукын хорин нэгэн бүлэгт Есүс МЭ 66 оноос МЭ 70 он хүртэлх бодит Иерусалимын гурван жил хагасын турш гишгэлэгдэн сүйрсэн түүхээс эхлээд, 538 онд эхэлж 1798 онд дууссан сүнслэг Иерусалимын гурван жил хагасын турш гишгэлэгдсэн үеийн төгсгөл хүртэлх түүхийг тодорхойлдог.</w:t>
      </w:r>
    </w:p>
    <w:p>
      <w:pPr>
        <w:pStyle w:val="ArticleScripture"/>
        <w:jc w:val="left"/>
      </w:pPr>
      <w:r>
        <w:rPr>
          <w:rFonts w:ascii="Times New Roman" w:hAnsi="Times New Roman" w:eastAsia="Times New Roman" w:cs="Times New Roman"/>
        </w:rPr>
        <w:t xml:space="preserve">Me ana-kitábe Yerusalem tə-mekennäf be-sərawit, əməzzi ətəʿəwəqu ʾənna xərabəha qärib ʾəyu. Həzbi ʾəb Yəhuda yə-halləwu ʾab ʾəmtäw yə-ʾərḥaqu; ʾəlli ʾəb wəstaya ʾalläwu yə-wəṣʾu; ʾəlli kaʾa ʾəb ʾawrajan ʾalläwu ʾabəha ʾayəʾtuw. Səla ʾəllən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ʾəyän, kulu ʾəti </w:t>
      </w:r>
      <w:r>
        <w:rPr>
          <w:rFonts w:ascii="Ebrima" w:hAnsi="Ebrima" w:eastAsia="Ebrima" w:cs="Ebrima"/>
        </w:rPr>
        <w:t>ተጻሒፉ</w:t>
      </w:r>
      <w:r>
        <w:rPr>
          <w:rFonts w:ascii="Times New Roman" w:hAnsi="Times New Roman" w:eastAsia="Times New Roman" w:cs="Times New Roman"/>
        </w:rPr>
        <w:t xml:space="preserve"> ʾəmmä yə-fəṣṣəm. Näyti ʾəlli ḥərsən ʾalläwa, wə-näyti ʾəlli </w:t>
      </w:r>
      <w:r>
        <w:rPr>
          <w:rFonts w:ascii="Ebrima" w:hAnsi="Ebrima" w:eastAsia="Ebrima" w:cs="Ebrima"/>
        </w:rPr>
        <w:t>የጡብ</w:t>
      </w:r>
      <w:r>
        <w:rPr>
          <w:rFonts w:ascii="Times New Roman" w:hAnsi="Times New Roman" w:eastAsia="Times New Roman" w:cs="Times New Roman"/>
        </w:rPr>
        <w:t xml:space="preserve"> </w:t>
      </w:r>
      <w:r>
        <w:rPr>
          <w:rFonts w:ascii="Ebrima" w:hAnsi="Ebrima" w:eastAsia="Ebrima" w:cs="Ebrima"/>
        </w:rPr>
        <w:t>ዘለወን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ወይለን</w:t>
      </w:r>
      <w:r>
        <w:rPr>
          <w:rFonts w:ascii="Times New Roman" w:hAnsi="Times New Roman" w:eastAsia="Times New Roman" w:cs="Times New Roman"/>
        </w:rPr>
        <w:t xml:space="preserve">! Səla ʾəb </w:t>
      </w:r>
      <w:r>
        <w:rPr>
          <w:rFonts w:ascii="Ebrima" w:hAnsi="Ebrima" w:eastAsia="Ebrima" w:cs="Ebrima"/>
        </w:rPr>
        <w:t>ምድሪ</w:t>
      </w:r>
      <w:r>
        <w:rPr>
          <w:rFonts w:ascii="Times New Roman" w:hAnsi="Times New Roman" w:eastAsia="Times New Roman" w:cs="Times New Roman"/>
        </w:rPr>
        <w:t xml:space="preserve"> ʿabi </w:t>
      </w:r>
      <w:r>
        <w:rPr>
          <w:rFonts w:ascii="Ebrima" w:hAnsi="Ebrima" w:eastAsia="Ebrima" w:cs="Ebrima"/>
        </w:rPr>
        <w:t>ጭንቀት</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wə-qəṭʿi </w:t>
      </w:r>
      <w:r>
        <w:rPr>
          <w:rFonts w:ascii="Ebrima" w:hAnsi="Ebrima" w:eastAsia="Ebrima" w:cs="Ebrima"/>
        </w:rPr>
        <w:t>መቕጻዕቲ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ክወርድ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ብኣፍ</w:t>
      </w:r>
      <w:r>
        <w:rPr>
          <w:rFonts w:ascii="Times New Roman" w:hAnsi="Times New Roman" w:eastAsia="Times New Roman" w:cs="Times New Roman"/>
        </w:rPr>
        <w:t xml:space="preserve"> </w:t>
      </w:r>
      <w:r>
        <w:rPr>
          <w:rFonts w:ascii="Ebrima" w:hAnsi="Ebrima" w:eastAsia="Ebrima" w:cs="Ebrima"/>
        </w:rPr>
        <w:t>ሰይፊ</w:t>
      </w:r>
      <w:r>
        <w:rPr>
          <w:rFonts w:ascii="Times New Roman" w:hAnsi="Times New Roman" w:eastAsia="Times New Roman" w:cs="Times New Roman"/>
        </w:rPr>
        <w:t xml:space="preserve"> </w:t>
      </w:r>
      <w:r>
        <w:rPr>
          <w:rFonts w:ascii="Ebrima" w:hAnsi="Ebrima" w:eastAsia="Ebrima" w:cs="Ebrima"/>
        </w:rPr>
        <w:t>ክወድቁ</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ኣህዛብ</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ምሩኻት</w:t>
      </w:r>
      <w:r>
        <w:rPr>
          <w:rFonts w:ascii="Times New Roman" w:hAnsi="Times New Roman" w:eastAsia="Times New Roman" w:cs="Times New Roman"/>
        </w:rPr>
        <w:t xml:space="preserve"> </w:t>
      </w:r>
      <w:r>
        <w:rPr>
          <w:rFonts w:ascii="Ebrima" w:hAnsi="Ebrima" w:eastAsia="Ebrima" w:cs="Ebrima"/>
        </w:rPr>
        <w:t>ክወስዱ</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ኣህዛብ</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ዝፍጸም</w:t>
      </w:r>
      <w:r>
        <w:rPr>
          <w:rFonts w:ascii="Times New Roman" w:hAnsi="Times New Roman" w:eastAsia="Times New Roman" w:cs="Times New Roman"/>
        </w:rPr>
        <w:t xml:space="preserve">, </w:t>
      </w:r>
      <w:r>
        <w:rPr>
          <w:rFonts w:ascii="Ebrima" w:hAnsi="Ebrima" w:eastAsia="Ebrima" w:cs="Ebrima"/>
        </w:rPr>
        <w:t>ብኣህዛብ</w:t>
      </w:r>
      <w:r>
        <w:rPr>
          <w:rFonts w:ascii="Times New Roman" w:hAnsi="Times New Roman" w:eastAsia="Times New Roman" w:cs="Times New Roman"/>
        </w:rPr>
        <w:t xml:space="preserve"> </w:t>
      </w:r>
      <w:r>
        <w:rPr>
          <w:rFonts w:ascii="Ebrima" w:hAnsi="Ebrima" w:eastAsia="Ebrima" w:cs="Ebrima"/>
        </w:rPr>
        <w:t>ክትርገጽ</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ሉቃስ</w:t>
      </w:r>
      <w:r>
        <w:rPr>
          <w:rFonts w:ascii="Times New Roman" w:hAnsi="Times New Roman" w:eastAsia="Times New Roman" w:cs="Times New Roman"/>
        </w:rPr>
        <w:t xml:space="preserve"> 21:20–24</w:t>
      </w:r>
      <w:r>
        <w:rPr>
          <w:rFonts w:ascii="Ebrima" w:hAnsi="Ebrima" w:eastAsia="Ebrima" w:cs="Ebrima"/>
        </w:rPr>
        <w:t>።</w:t>
      </w:r>
    </w:p>
    <w:p>
      <w:pPr>
        <w:pStyle w:val="ArticleBody"/>
        <w:jc w:val="left"/>
      </w:pPr>
      <w:r>
        <w:rPr>
          <w:rFonts w:ascii="Times New Roman" w:hAnsi="Times New Roman" w:eastAsia="Times New Roman" w:cs="Times New Roman"/>
        </w:rPr>
        <w:t>«Uақикатсизләр»ниң Йерусалимни аяқ асти қилишиға беғишланған «заманлар» көплүк шәкилдә кәлтүрүлгән, чүнки у миладий 70-жили ахирлашқан әмәлий Йерусалимниң аяқ асти қилиниши билән, 1798-жили ахирлашқан роһий Йерусалимниң аяқ асти қилинишини ипадиләйду. Уммәтләр һәм бутпәрәсликкә, һәм папачилиққа вәкиллик қилиду; дәл шу икки һакимийәт Даниялниң сәккизинчи бабидики «Қачанғичә?» дәп соралидиған көрүнүшниң мавзусидур.</w:t>
      </w:r>
    </w:p>
    <w:p>
      <w:pPr>
        <w:pStyle w:val="ArticleScripture"/>
        <w:jc w:val="left"/>
      </w:pPr>
      <w:r>
        <w:rPr>
          <w:rFonts w:ascii="Times New Roman" w:hAnsi="Times New Roman" w:eastAsia="Times New Roman" w:cs="Times New Roman"/>
        </w:rPr>
        <w:t>Bài ấy, tôi nghe một vị thánh đang nói, và một vị thánh khác hỏi vị thánh ấy, là vị đang nói rằng: Khải tượng về của lễ hằng ngày và sự vi phạm gây nên hoang tàn, khiến cả nơi thánh lẫn đạo binh bị giày đạp dưới chân, sẽ kéo dài đến bao lâu? Daniel 8:13.</w:t>
      </w:r>
    </w:p>
    <w:p>
      <w:pPr>
        <w:pStyle w:val="ArticleBody"/>
        <w:jc w:val="left"/>
      </w:pPr>
      <w:r>
        <w:rPr>
          <w:rFonts w:ascii="Times New Roman" w:hAnsi="Times New Roman" w:eastAsia="Times New Roman" w:cs="Times New Roman"/>
        </w:rPr>
        <w:t>«Ազգերի ժամանակները» Ղուկասի քսանմեկերորդ գլխում վերաբերում են Աստծո վրեժխնդրության երկու հազար հինգ հարյուր քսան տարիներին հյուսիսային թագավորության վրա, որոնք սկսվեցին մ.թ.ա. 723 թվականին և ավարտվեցին 1798 թվականին։ 538 թվականը նշանավորում է այն պահը, երբ մեղքի մարդը կանգնեց սուրբ տեղում և հռչակեց, թե ինքն է Աստված, այսպիսով ժամանակահատվածը բաժանելով տասներկու հարյուր վաթսունական երկու հավասար ժամանակաշրջանների։ Երկրորդ տասներկու հարյուր վաթսուն տարվա ժամանակաշրջանը նույն պատմությունն է, որի ավարտը նշված է նաև Ղուկասի քսանմեկերորդ գլխի քսանչորսերորդ համարում, երբ «ազգերի ժամանակները» լրացան։ Այն պատմական շարադրանքի մեջ, որը Հիսուսը մատնանշում է Իր աշակերտների համար, քսանչորսերորդ համարը աշակերտներին տրված վկայությունը հասցնում է 1798 թվականի «վերջի ժամանակին»։ Այնտեղից Հիսուսը սկսում է մատնանշել Միլլերական շարժման հետ կապված «նշանները»։</w:t>
      </w:r>
    </w:p>
    <w:p>
      <w:pPr>
        <w:pStyle w:val="ArticleScripture"/>
        <w:jc w:val="left"/>
      </w:pPr>
      <w:r>
        <w:rPr>
          <w:rFonts w:ascii="Times New Roman" w:hAnsi="Times New Roman" w:eastAsia="Times New Roman" w:cs="Times New Roman"/>
        </w:rPr>
        <w:t>کە ئەمە نیشانەیان دەبێت لە خۆر و لە مانگ و لە ئەستێرەکاندا؛ و لەسەر زەوی تەنگانەی نەتەوەکان، لەگەڵ سەرلێشێواوی؛ دەریا و شەپۆلەکان هاوار دەکەن؛ دڵی مرۆڤەکان لە ترس و لە چاوەڕوانی ئەو شتانەی دەهاتنە سەر زەوی لاواز دەبن: چونکە هێزەکانی ئاسمان دەهەژێنرێن. و ئەوسا کوڕی مرۆڤ دەبینن کە لە هەورێکدا بە هێز و شکۆیەکی گەورە دێت. و کاتێک ئەم شتانە دەست پێ دەکەن بە ڕوودان، ئەوا سەر هەڵبڕن، و سەرتان بەرز بکەن؛ چونکە ڕزگاربوونتان نزیک دەبێتەوە. لۆقا 21:25–28.</w:t>
      </w:r>
    </w:p>
    <w:p>
      <w:pPr>
        <w:pStyle w:val="ArticleBody"/>
        <w:jc w:val="left"/>
      </w:pPr>
      <w:r>
        <w:rPr>
          <w:rFonts w:ascii="Times New Roman" w:hAnsi="Times New Roman" w:eastAsia="Times New Roman" w:cs="Times New Roman"/>
        </w:rPr>
        <w:t>Jesús declara que “habrá señales”, y las identifica como señales en el sol y en la luna, y en las estrellas, la angustia de las naciones, las potestades de los cielos siendo conmovidas, y luego el Hijo del hombre viene en una nube. Todas estas “señales” se cumplieron en la historia millerita.</w:t>
      </w:r>
    </w:p>
    <w:p>
      <w:pPr>
        <w:pStyle w:val="ArticleScripture"/>
        <w:jc w:val="left"/>
      </w:pPr>
      <w:r>
        <w:rPr>
          <w:rFonts w:ascii="Times New Roman" w:hAnsi="Times New Roman" w:eastAsia="Times New Roman" w:cs="Times New Roman"/>
        </w:rPr>
        <w:t>“Пророчество не только предвозвещает образ и цель пришествия Христа, но и указывает знамения, по которым люди должны узнать, когда оно близко. Иисус сказал: «И будут знамения в солнце, и луне, и звёздах». Луки 21:25. «Солнце померкнет, и луна не даст света своего, и звёзды небесные спадут, и силы небесные поколеблются. И тогда увидят Сына Человеческого, грядущего на облаках с великою силою и славою». Марка 13:24–26. Тайнозритель так описывает первое из знамений, которым надлежит предшествовать второму пришествию: «И произошло великое землетрясение; и солнце стало мрачно, как власяница, и луна сделалась как кровь». Откровение 6:12.”</w:t>
      </w:r>
    </w:p>
    <w:p>
      <w:pPr>
        <w:pStyle w:val="ArticleScripture"/>
        <w:jc w:val="left"/>
      </w:pPr>
      <w:r>
        <w:rPr>
          <w:rFonts w:ascii="Times New Roman" w:hAnsi="Times New Roman" w:eastAsia="Times New Roman" w:cs="Times New Roman"/>
        </w:rPr>
        <w:t>“Ñamandaguéra ojehecha vaʼekue siglo XIX ñepyrũ mboyve. Ko profesía oñekumpli hag̃ua oiko, ary 1755-pe, pe yvyryrýi ivaivéva ojehai hag̃ua oñeñongatúva apytépe....”</w:t>
      </w:r>
    </w:p>
    <w:p>
      <w:pPr>
        <w:pStyle w:val="ArticleScripture"/>
        <w:jc w:val="left"/>
      </w:pPr>
      <w:r>
        <w:rPr>
          <w:rFonts w:ascii="Times New Roman" w:hAnsi="Times New Roman" w:eastAsia="Times New Roman" w:cs="Times New Roman"/>
        </w:rPr>
        <w:t>“Nipásu sáasán óhohman áníhyá nitsó’ígísdáanígíí ályá doo hábitsiín dóó t’ááłá’í daʼooldzis. Díí baa nitsáhákeesgo doo hózhǫ́ǫgo bee hane’ dooleeł da, t’áá ajiłii’ígíí biniiyé hólǫ́ǫgo biki’doolwoł nídí t’áá ákót’éego yee hane’ nihá. Hááshą́ą́’ biniiyé Iináhíjiʼ Naaltsoos baa haneʼgo, Dził Olivetgi biniiyé łikaní dóó bikéyahdę́ę́ʼ dah naasháhígíí biyi’—éí éí 1260 naaltsoos yaa páhkééł bádah naasháhí papal bił haneʼígíí, háádę́ę́ʼ Haaʼaahjíhí nidí t’áá nihíjiʼ ádáhoot’ééłgo haneʼ yiká ájít’éego—áádóó háásht’éego Nihookááʼ deesdzáhígíí biyi’dę́ę́ʼ t’áá ajiłii’ígíí baa haneʼgo, áádóó hááshą́ą́’ biniiyé t’áá łahgo ályá dooleełígíí bikáa’ adinídíín: ‘T’áá íiyisí da, díí naayéé’ biyi’dę́ę́ʼ, doo hábitsiín át’éego deeshááł da, dóó t’ááłá’í ałtsʼíísí bee haneʼ da dooleeł.’ Mark 13:24. Díí 1260 jił, áádóó naaltsoos, 1798gi nihááhóódlį́į́ʼ. T’áá łáʼígo 25 jił daʼdíílwoʼígíí biyi’dę́ę́ʼ, bádah naasháhí t’áá łehgo da’ííłį́į́ʼ. Díí bádah naasháhí ádáhoot’ééłígíí biyi’dę́ę́ʼ, Christ bił haneʼígi bee, hábitsiín daʼooldzis dooleeł. May 19, 1780, díí nitsó’ígísdáhí yáhoot’ééł....”</w:t>
      </w:r>
    </w:p>
    <w:p>
      <w:pPr>
        <w:pStyle w:val="ArticleScripture"/>
        <w:jc w:val="left"/>
      </w:pPr>
      <w:r>
        <w:rPr>
          <w:rFonts w:ascii="Times New Roman" w:hAnsi="Times New Roman" w:eastAsia="Times New Roman" w:cs="Times New Roman"/>
        </w:rPr>
        <w:t>“</w:t>
      </w:r>
      <w:r>
        <w:rPr>
          <w:rFonts w:ascii="Sylfaen" w:hAnsi="Sylfaen" w:eastAsia="Sylfaen" w:cs="Sylfaen"/>
        </w:rPr>
        <w:t>ქრისტემ</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უბრძანა</w:t>
      </w:r>
      <w:r>
        <w:rPr>
          <w:rFonts w:ascii="Times New Roman" w:hAnsi="Times New Roman" w:eastAsia="Times New Roman" w:cs="Times New Roman"/>
        </w:rPr>
        <w:t xml:space="preserve">, </w:t>
      </w:r>
      <w:r>
        <w:rPr>
          <w:rFonts w:ascii="Sylfaen" w:hAnsi="Sylfaen" w:eastAsia="Sylfaen" w:cs="Sylfaen"/>
        </w:rPr>
        <w:t>ედარაჯათ</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ნიშნებისთვის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გაეხარათ</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მომავალი</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xml:space="preserve"> </w:t>
      </w:r>
      <w:r>
        <w:rPr>
          <w:rFonts w:ascii="Sylfaen" w:hAnsi="Sylfaen" w:eastAsia="Sylfaen" w:cs="Sylfaen"/>
        </w:rPr>
        <w:t>ნიშნებს</w:t>
      </w:r>
      <w:r>
        <w:rPr>
          <w:rFonts w:ascii="Times New Roman" w:hAnsi="Times New Roman" w:eastAsia="Times New Roman" w:cs="Times New Roman"/>
        </w:rPr>
        <w:t xml:space="preserve"> </w:t>
      </w:r>
      <w:r>
        <w:rPr>
          <w:rFonts w:ascii="Sylfaen" w:hAnsi="Sylfaen" w:eastAsia="Sylfaen" w:cs="Sylfaen"/>
        </w:rPr>
        <w:t>იხილავდნენ</w:t>
      </w:r>
      <w:r>
        <w:rPr>
          <w:rFonts w:ascii="Times New Roman" w:hAnsi="Times New Roman" w:eastAsia="Times New Roman" w:cs="Times New Roman"/>
        </w:rPr>
        <w:t>.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ესენი</w:t>
      </w:r>
      <w:r>
        <w:rPr>
          <w:rFonts w:ascii="Times New Roman" w:hAnsi="Times New Roman" w:eastAsia="Times New Roman" w:cs="Times New Roman"/>
        </w:rPr>
        <w:t xml:space="preserve"> </w:t>
      </w:r>
      <w:r>
        <w:rPr>
          <w:rFonts w:ascii="Sylfaen" w:hAnsi="Sylfaen" w:eastAsia="Sylfaen" w:cs="Sylfaen"/>
        </w:rPr>
        <w:t>დაიწყებს</w:t>
      </w:r>
      <w:r>
        <w:rPr>
          <w:rFonts w:ascii="Times New Roman" w:hAnsi="Times New Roman" w:eastAsia="Times New Roman" w:cs="Times New Roman"/>
        </w:rPr>
        <w:t xml:space="preserve"> </w:t>
      </w:r>
      <w:r>
        <w:rPr>
          <w:rFonts w:ascii="Sylfaen" w:hAnsi="Sylfaen" w:eastAsia="Sylfaen" w:cs="Sylfaen"/>
        </w:rPr>
        <w:t>ახდენას</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აღიხედეთ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ასწიეთ</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თავები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გამოხსნა</w:t>
      </w:r>
      <w:r>
        <w:rPr>
          <w:rFonts w:ascii="Times New Roman" w:hAnsi="Times New Roman" w:eastAsia="Times New Roman" w:cs="Times New Roman"/>
        </w:rPr>
        <w:t xml:space="preserve"> </w:t>
      </w:r>
      <w:r>
        <w:rPr>
          <w:rFonts w:ascii="Sylfaen" w:hAnsi="Sylfaen" w:eastAsia="Sylfaen" w:cs="Sylfaen"/>
        </w:rPr>
        <w:t>მოახლოებულია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მიმდევრებს</w:t>
      </w:r>
      <w:r>
        <w:rPr>
          <w:rFonts w:ascii="Times New Roman" w:hAnsi="Times New Roman" w:eastAsia="Times New Roman" w:cs="Times New Roman"/>
        </w:rPr>
        <w:t xml:space="preserve"> </w:t>
      </w:r>
      <w:r>
        <w:rPr>
          <w:rFonts w:ascii="Sylfaen" w:hAnsi="Sylfaen" w:eastAsia="Sylfaen" w:cs="Sylfaen"/>
        </w:rPr>
        <w:t>მიუთითა</w:t>
      </w:r>
      <w:r>
        <w:rPr>
          <w:rFonts w:ascii="Times New Roman" w:hAnsi="Times New Roman" w:eastAsia="Times New Roman" w:cs="Times New Roman"/>
        </w:rPr>
        <w:t xml:space="preserve"> </w:t>
      </w:r>
      <w:r>
        <w:rPr>
          <w:rFonts w:ascii="Sylfaen" w:hAnsi="Sylfaen" w:eastAsia="Sylfaen" w:cs="Sylfaen"/>
        </w:rPr>
        <w:t>გაზაფხულის</w:t>
      </w:r>
      <w:r>
        <w:rPr>
          <w:rFonts w:ascii="Times New Roman" w:hAnsi="Times New Roman" w:eastAsia="Times New Roman" w:cs="Times New Roman"/>
        </w:rPr>
        <w:t xml:space="preserve"> </w:t>
      </w:r>
      <w:r>
        <w:rPr>
          <w:rFonts w:ascii="Sylfaen" w:hAnsi="Sylfaen" w:eastAsia="Sylfaen" w:cs="Sylfaen"/>
        </w:rPr>
        <w:t>კვირტგამომსხმელ</w:t>
      </w:r>
      <w:r>
        <w:rPr>
          <w:rFonts w:ascii="Times New Roman" w:hAnsi="Times New Roman" w:eastAsia="Times New Roman" w:cs="Times New Roman"/>
        </w:rPr>
        <w:t xml:space="preserve"> </w:t>
      </w:r>
      <w:r>
        <w:rPr>
          <w:rFonts w:ascii="Sylfaen" w:hAnsi="Sylfaen" w:eastAsia="Sylfaen" w:cs="Sylfaen"/>
        </w:rPr>
        <w:t>ხეებზე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გაიფურჩქნებიან</w:t>
      </w:r>
      <w:r>
        <w:rPr>
          <w:rFonts w:ascii="Times New Roman" w:hAnsi="Times New Roman" w:eastAsia="Times New Roman" w:cs="Times New Roman"/>
        </w:rPr>
        <w:t xml:space="preserve">, </w:t>
      </w:r>
      <w:r>
        <w:rPr>
          <w:rFonts w:ascii="Sylfaen" w:hAnsi="Sylfaen" w:eastAsia="Sylfaen" w:cs="Sylfaen"/>
        </w:rPr>
        <w:t>თქვენ</w:t>
      </w:r>
      <w:r>
        <w:rPr>
          <w:rFonts w:ascii="Times New Roman" w:hAnsi="Times New Roman" w:eastAsia="Times New Roman" w:cs="Times New Roman"/>
        </w:rPr>
        <w:t xml:space="preserve"> </w:t>
      </w:r>
      <w:r>
        <w:rPr>
          <w:rFonts w:ascii="Sylfaen" w:hAnsi="Sylfaen" w:eastAsia="Sylfaen" w:cs="Sylfaen"/>
        </w:rPr>
        <w:t>თვითონვე</w:t>
      </w:r>
      <w:r>
        <w:rPr>
          <w:rFonts w:ascii="Times New Roman" w:hAnsi="Times New Roman" w:eastAsia="Times New Roman" w:cs="Times New Roman"/>
        </w:rPr>
        <w:t xml:space="preserve"> </w:t>
      </w:r>
      <w:r>
        <w:rPr>
          <w:rFonts w:ascii="Sylfaen" w:hAnsi="Sylfaen" w:eastAsia="Sylfaen" w:cs="Sylfaen"/>
        </w:rPr>
        <w:t>ხედავთ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ცნობთ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ზაფხული</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ახლოსაა</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თქვენც</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იხილავთ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ყოველივე</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იცოდეთ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სასუფეველი</w:t>
      </w:r>
      <w:r>
        <w:rPr>
          <w:rFonts w:ascii="Times New Roman" w:hAnsi="Times New Roman" w:eastAsia="Times New Roman" w:cs="Times New Roman"/>
        </w:rPr>
        <w:t xml:space="preserve"> </w:t>
      </w:r>
      <w:r>
        <w:rPr>
          <w:rFonts w:ascii="Sylfaen" w:hAnsi="Sylfaen" w:eastAsia="Sylfaen" w:cs="Sylfaen"/>
        </w:rPr>
        <w:t>ახლოსაა</w:t>
      </w:r>
      <w:r>
        <w:rPr>
          <w:rFonts w:ascii="Times New Roman" w:hAnsi="Times New Roman" w:eastAsia="Times New Roman" w:cs="Times New Roman"/>
        </w:rPr>
        <w:t xml:space="preserve">.“ </w:t>
      </w:r>
      <w:r>
        <w:rPr>
          <w:rFonts w:ascii="Sylfaen" w:hAnsi="Sylfaen" w:eastAsia="Sylfaen" w:cs="Sylfaen"/>
        </w:rPr>
        <w:t>ლუკა</w:t>
      </w:r>
      <w:r>
        <w:rPr>
          <w:rFonts w:ascii="Times New Roman" w:hAnsi="Times New Roman" w:eastAsia="Times New Roman" w:cs="Times New Roman"/>
        </w:rPr>
        <w:t xml:space="preserve"> 21:28, 30, 31.” </w:t>
      </w:r>
      <w:r>
        <w:rPr>
          <w:rFonts w:ascii="Sylfaen" w:hAnsi="Sylfaen" w:eastAsia="Sylfaen" w:cs="Sylfaen"/>
        </w:rPr>
        <w:t>დიადი</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304, 306–308.</w:t>
      </w:r>
    </w:p>
    <w:p>
      <w:pPr>
        <w:pStyle w:val="ArticleBody"/>
        <w:jc w:val="left"/>
      </w:pP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ત્રિવિધ</w:t>
      </w:r>
      <w:r>
        <w:rPr>
          <w:rFonts w:ascii="Times New Roman" w:hAnsi="Times New Roman" w:eastAsia="Times New Roman" w:cs="Times New Roman"/>
        </w:rPr>
        <w:t xml:space="preserve"> </w:t>
      </w:r>
      <w:r>
        <w:rPr>
          <w:rFonts w:ascii="Nirmala UI" w:hAnsi="Nirmala UI" w:eastAsia="Nirmala UI" w:cs="Nirmala UI"/>
        </w:rPr>
        <w:t>પ્રયોગથી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પદદલન</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પવિત્રસ્થાન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સૈન્યના</w:t>
      </w:r>
      <w:r>
        <w:rPr>
          <w:rFonts w:ascii="Times New Roman" w:hAnsi="Times New Roman" w:eastAsia="Times New Roman" w:cs="Times New Roman"/>
        </w:rPr>
        <w:t xml:space="preserve"> </w:t>
      </w:r>
      <w:r>
        <w:rPr>
          <w:rFonts w:ascii="Nirmala UI" w:hAnsi="Nirmala UI" w:eastAsia="Nirmala UI" w:cs="Nirmala UI"/>
        </w:rPr>
        <w:t>પદદલનનું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ક્યારેક</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સાઠ</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સાઠ</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સમયગાળાથી</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સાઠ</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બિયાલીસ</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થનારા</w:t>
      </w:r>
      <w:r>
        <w:rPr>
          <w:rFonts w:ascii="Times New Roman" w:hAnsi="Times New Roman" w:eastAsia="Times New Roman" w:cs="Times New Roman"/>
        </w:rPr>
        <w:t xml:space="preserve"> </w:t>
      </w:r>
      <w:r>
        <w:rPr>
          <w:rFonts w:ascii="Nirmala UI" w:hAnsi="Nirmala UI" w:eastAsia="Nirmala UI" w:cs="Nirmala UI"/>
        </w:rPr>
        <w:t>અત્યાચારના</w:t>
      </w:r>
      <w:r>
        <w:rPr>
          <w:rFonts w:ascii="Times New Roman" w:hAnsi="Times New Roman" w:eastAsia="Times New Roman" w:cs="Times New Roman"/>
        </w:rPr>
        <w:t xml:space="preserve"> </w:t>
      </w:r>
      <w:r>
        <w:rPr>
          <w:rFonts w:ascii="Nirmala UI" w:hAnsi="Nirmala UI" w:eastAsia="Nirmala UI" w:cs="Nirmala UI"/>
        </w:rPr>
        <w:t>સમયગાળાની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સમયગાળો</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જોડાયેલો</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સમયગાળાના</w:t>
      </w:r>
      <w:r>
        <w:rPr>
          <w:rFonts w:ascii="Times New Roman" w:hAnsi="Times New Roman" w:eastAsia="Times New Roman" w:cs="Times New Roman"/>
        </w:rPr>
        <w:t xml:space="preserve"> </w:t>
      </w:r>
      <w:r>
        <w:rPr>
          <w:rFonts w:ascii="Nirmala UI" w:hAnsi="Nirmala UI" w:eastAsia="Nirmala UI" w:cs="Nirmala UI"/>
        </w:rPr>
        <w:t>વિશ્વાસુઓ</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પલાયનનો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ત્રણેય</w:t>
      </w:r>
      <w:r>
        <w:rPr>
          <w:rFonts w:ascii="Times New Roman" w:hAnsi="Times New Roman" w:eastAsia="Times New Roman" w:cs="Times New Roman"/>
        </w:rPr>
        <w:t xml:space="preserve"> </w:t>
      </w:r>
      <w:r>
        <w:rPr>
          <w:rFonts w:ascii="Nirmala UI" w:hAnsi="Nirmala UI" w:eastAsia="Nirmala UI" w:cs="Nirmala UI"/>
        </w:rPr>
        <w:t>સમયગાળાઓમાં</w:t>
      </w:r>
      <w:r>
        <w:rPr>
          <w:rFonts w:ascii="Times New Roman" w:hAnsi="Times New Roman" w:eastAsia="Times New Roman" w:cs="Times New Roman"/>
        </w:rPr>
        <w:t xml:space="preserve"> </w:t>
      </w:r>
      <w:r>
        <w:rPr>
          <w:rFonts w:ascii="Nirmala UI" w:hAnsi="Nirmala UI" w:eastAsia="Nirmala UI" w:cs="Nirmala UI"/>
        </w:rPr>
        <w:t>દરેકનો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અનેક</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થવાથી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അർദ്ധരാത്രിയിലാണ്</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വിടുതലിനായി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വെളിപ്പെടുത്തുന്നത്</w:t>
      </w:r>
      <w:r>
        <w:rPr>
          <w:rFonts w:ascii="Times New Roman" w:hAnsi="Times New Roman" w:eastAsia="Times New Roman" w:cs="Times New Roman"/>
        </w:rPr>
        <w:t xml:space="preserve">. </w:t>
      </w:r>
      <w:r>
        <w:rPr>
          <w:rFonts w:ascii="Nirmala UI" w:hAnsi="Nirmala UI" w:eastAsia="Nirmala UI" w:cs="Nirmala UI"/>
        </w:rPr>
        <w:t>സൂര്യൻ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പൂർണ്ണപ്രഭയോടെ</w:t>
      </w:r>
      <w:r>
        <w:rPr>
          <w:rFonts w:ascii="Times New Roman" w:hAnsi="Times New Roman" w:eastAsia="Times New Roman" w:cs="Times New Roman"/>
        </w:rPr>
        <w:t xml:space="preserve"> </w:t>
      </w:r>
      <w:r>
        <w:rPr>
          <w:rFonts w:ascii="Nirmala UI" w:hAnsi="Nirmala UI" w:eastAsia="Nirmala UI" w:cs="Nirmala UI"/>
        </w:rPr>
        <w:t>ഉദിക്കുന്നു</w:t>
      </w:r>
      <w:r>
        <w:rPr>
          <w:rFonts w:ascii="Times New Roman" w:hAnsi="Times New Roman" w:eastAsia="Times New Roman" w:cs="Times New Roman"/>
        </w:rPr>
        <w:t xml:space="preserve">. </w:t>
      </w:r>
      <w:r>
        <w:rPr>
          <w:rFonts w:ascii="Nirmala UI" w:hAnsi="Nirmala UI" w:eastAsia="Nirmala UI" w:cs="Nirmala UI"/>
        </w:rPr>
        <w:t>അടയാളങ്ങളും</w:t>
      </w:r>
      <w:r>
        <w:rPr>
          <w:rFonts w:ascii="Times New Roman" w:hAnsi="Times New Roman" w:eastAsia="Times New Roman" w:cs="Times New Roman"/>
        </w:rPr>
        <w:t xml:space="preserve"> </w:t>
      </w:r>
      <w:r>
        <w:rPr>
          <w:rFonts w:ascii="Nirmala UI" w:hAnsi="Nirmala UI" w:eastAsia="Nirmala UI" w:cs="Nirmala UI"/>
        </w:rPr>
        <w:t>അത്ഭുതങ്ങളും</w:t>
      </w:r>
      <w:r>
        <w:rPr>
          <w:rFonts w:ascii="Times New Roman" w:hAnsi="Times New Roman" w:eastAsia="Times New Roman" w:cs="Times New Roman"/>
        </w:rPr>
        <w:t xml:space="preserve"> </w:t>
      </w:r>
      <w:r>
        <w:rPr>
          <w:rFonts w:ascii="Nirmala UI" w:hAnsi="Nirmala UI" w:eastAsia="Nirmala UI" w:cs="Nirmala UI"/>
        </w:rPr>
        <w:t>വേഗമേറിയ</w:t>
      </w:r>
      <w:r>
        <w:rPr>
          <w:rFonts w:ascii="Times New Roman" w:hAnsi="Times New Roman" w:eastAsia="Times New Roman" w:cs="Times New Roman"/>
        </w:rPr>
        <w:t xml:space="preserve"> </w:t>
      </w:r>
      <w:r>
        <w:rPr>
          <w:rFonts w:ascii="Nirmala UI" w:hAnsi="Nirmala UI" w:eastAsia="Nirmala UI" w:cs="Nirmala UI"/>
        </w:rPr>
        <w:t>അനുക്രമത്തിൽ</w:t>
      </w:r>
      <w:r>
        <w:rPr>
          <w:rFonts w:ascii="Times New Roman" w:hAnsi="Times New Roman" w:eastAsia="Times New Roman" w:cs="Times New Roman"/>
        </w:rPr>
        <w:t xml:space="preserve"> </w:t>
      </w:r>
      <w:r>
        <w:rPr>
          <w:rFonts w:ascii="Nirmala UI" w:hAnsi="Nirmala UI" w:eastAsia="Nirmala UI" w:cs="Nirmala UI"/>
        </w:rPr>
        <w:t>അനുഗമിക്കുന്നു</w:t>
      </w:r>
      <w:r>
        <w:rPr>
          <w:rFonts w:ascii="Times New Roman" w:hAnsi="Times New Roman" w:eastAsia="Times New Roman" w:cs="Times New Roman"/>
        </w:rPr>
        <w:t xml:space="preserve">. </w:t>
      </w:r>
      <w:r>
        <w:rPr>
          <w:rFonts w:ascii="Nirmala UI" w:hAnsi="Nirmala UI" w:eastAsia="Nirmala UI" w:cs="Nirmala UI"/>
        </w:rPr>
        <w:t>ദുഷ്ടന്മാർ</w:t>
      </w:r>
      <w:r>
        <w:rPr>
          <w:rFonts w:ascii="Times New Roman" w:hAnsi="Times New Roman" w:eastAsia="Times New Roman" w:cs="Times New Roman"/>
        </w:rPr>
        <w:t xml:space="preserve"> </w:t>
      </w:r>
      <w:r>
        <w:rPr>
          <w:rFonts w:ascii="Nirmala UI" w:hAnsi="Nirmala UI" w:eastAsia="Nirmala UI" w:cs="Nirmala UI"/>
        </w:rPr>
        <w:t>ഭയത്തോടും</w:t>
      </w:r>
      <w:r>
        <w:rPr>
          <w:rFonts w:ascii="Times New Roman" w:hAnsi="Times New Roman" w:eastAsia="Times New Roman" w:cs="Times New Roman"/>
        </w:rPr>
        <w:t xml:space="preserve"> </w:t>
      </w:r>
      <w:r>
        <w:rPr>
          <w:rFonts w:ascii="Nirmala UI" w:hAnsi="Nirmala UI" w:eastAsia="Nirmala UI" w:cs="Nirmala UI"/>
        </w:rPr>
        <w:t>വിസ്മയത്തോടും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ദൃശ്യത്തെ</w:t>
      </w:r>
      <w:r>
        <w:rPr>
          <w:rFonts w:ascii="Times New Roman" w:hAnsi="Times New Roman" w:eastAsia="Times New Roman" w:cs="Times New Roman"/>
        </w:rPr>
        <w:t xml:space="preserve"> </w:t>
      </w:r>
      <w:r>
        <w:rPr>
          <w:rFonts w:ascii="Nirmala UI" w:hAnsi="Nirmala UI" w:eastAsia="Nirmala UI" w:cs="Nirmala UI"/>
        </w:rPr>
        <w:t>നോക്കിക്കാണുമ്പോൾ</w:t>
      </w:r>
      <w:r>
        <w:rPr>
          <w:rFonts w:ascii="Times New Roman" w:hAnsi="Times New Roman" w:eastAsia="Times New Roman" w:cs="Times New Roman"/>
        </w:rPr>
        <w:t xml:space="preserve">, </w:t>
      </w:r>
      <w:r>
        <w:rPr>
          <w:rFonts w:ascii="Nirmala UI" w:hAnsi="Nirmala UI" w:eastAsia="Nirmala UI" w:cs="Nirmala UI"/>
        </w:rPr>
        <w:t>നീതിമാന്മാർ</w:t>
      </w:r>
      <w:r>
        <w:rPr>
          <w:rFonts w:ascii="Times New Roman" w:hAnsi="Times New Roman" w:eastAsia="Times New Roman" w:cs="Times New Roman"/>
        </w:rPr>
        <w:t xml:space="preserve"> </w:t>
      </w:r>
      <w:r>
        <w:rPr>
          <w:rFonts w:ascii="Nirmala UI" w:hAnsi="Nirmala UI" w:eastAsia="Nirmala UI" w:cs="Nirmala UI"/>
        </w:rPr>
        <w:t>ഗൗരവപൂർണമായ</w:t>
      </w:r>
      <w:r>
        <w:rPr>
          <w:rFonts w:ascii="Times New Roman" w:hAnsi="Times New Roman" w:eastAsia="Times New Roman" w:cs="Times New Roman"/>
        </w:rPr>
        <w:t xml:space="preserve"> </w:t>
      </w:r>
      <w:r>
        <w:rPr>
          <w:rFonts w:ascii="Nirmala UI" w:hAnsi="Nirmala UI" w:eastAsia="Nirmala UI" w:cs="Nirmala UI"/>
        </w:rPr>
        <w:t>ആനന്ദത്തോടെ</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വിടുതലിന്റെ</w:t>
      </w:r>
      <w:r>
        <w:rPr>
          <w:rFonts w:ascii="Times New Roman" w:hAnsi="Times New Roman" w:eastAsia="Times New Roman" w:cs="Times New Roman"/>
        </w:rPr>
        <w:t xml:space="preserve"> </w:t>
      </w:r>
      <w:r>
        <w:rPr>
          <w:rFonts w:ascii="Nirmala UI" w:hAnsi="Nirmala UI" w:eastAsia="Nirmala UI" w:cs="Nirmala UI"/>
        </w:rPr>
        <w:t>ലക്ഷണങ്ങളെ</w:t>
      </w:r>
      <w:r>
        <w:rPr>
          <w:rFonts w:ascii="Times New Roman" w:hAnsi="Times New Roman" w:eastAsia="Times New Roman" w:cs="Times New Roman"/>
        </w:rPr>
        <w:t xml:space="preserve"> </w:t>
      </w:r>
      <w:r>
        <w:rPr>
          <w:rFonts w:ascii="Nirmala UI" w:hAnsi="Nirmala UI" w:eastAsia="Nirmala UI" w:cs="Nirmala UI"/>
        </w:rPr>
        <w:t>ദർശിക്കുന്നു</w:t>
      </w:r>
      <w:r>
        <w:rPr>
          <w:rFonts w:ascii="Times New Roman" w:hAnsi="Times New Roman" w:eastAsia="Times New Roman" w:cs="Times New Roman"/>
        </w:rPr>
        <w:t xml:space="preserve">. </w:t>
      </w:r>
      <w:r>
        <w:rPr>
          <w:rFonts w:ascii="Nirmala UI" w:hAnsi="Nirmala UI" w:eastAsia="Nirmala UI" w:cs="Nirmala UI"/>
        </w:rPr>
        <w:t>പ്രകൃതിയിലെ</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ക്രമത്തിൽനിന്ന്</w:t>
      </w:r>
      <w:r>
        <w:rPr>
          <w:rFonts w:ascii="Times New Roman" w:hAnsi="Times New Roman" w:eastAsia="Times New Roman" w:cs="Times New Roman"/>
        </w:rPr>
        <w:t xml:space="preserve"> </w:t>
      </w:r>
      <w:r>
        <w:rPr>
          <w:rFonts w:ascii="Nirmala UI" w:hAnsi="Nirmala UI" w:eastAsia="Nirmala UI" w:cs="Nirmala UI"/>
        </w:rPr>
        <w:t>വഴിതെറ്റിയതുപോലെ</w:t>
      </w:r>
      <w:r>
        <w:rPr>
          <w:rFonts w:ascii="Times New Roman" w:hAnsi="Times New Roman" w:eastAsia="Times New Roman" w:cs="Times New Roman"/>
        </w:rPr>
        <w:t xml:space="preserve"> </w:t>
      </w:r>
      <w:r>
        <w:rPr>
          <w:rFonts w:ascii="Nirmala UI" w:hAnsi="Nirmala UI" w:eastAsia="Nirmala UI" w:cs="Nirmala UI"/>
        </w:rPr>
        <w:t>തോന്നുന്നു</w:t>
      </w:r>
      <w:r>
        <w:rPr>
          <w:rFonts w:ascii="Times New Roman" w:hAnsi="Times New Roman" w:eastAsia="Times New Roman" w:cs="Times New Roman"/>
        </w:rPr>
        <w:t xml:space="preserve">. </w:t>
      </w:r>
      <w:r>
        <w:rPr>
          <w:rFonts w:ascii="Nirmala UI" w:hAnsi="Nirmala UI" w:eastAsia="Nirmala UI" w:cs="Nirmala UI"/>
        </w:rPr>
        <w:t>നീരൊഴുക്കുകൾ</w:t>
      </w:r>
      <w:r>
        <w:rPr>
          <w:rFonts w:ascii="Times New Roman" w:hAnsi="Times New Roman" w:eastAsia="Times New Roman" w:cs="Times New Roman"/>
        </w:rPr>
        <w:t xml:space="preserve"> </w:t>
      </w:r>
      <w:r>
        <w:rPr>
          <w:rFonts w:ascii="Nirmala UI" w:hAnsi="Nirmala UI" w:eastAsia="Nirmala UI" w:cs="Nirmala UI"/>
        </w:rPr>
        <w:t>ഒഴുകുന്നത്</w:t>
      </w:r>
      <w:r>
        <w:rPr>
          <w:rFonts w:ascii="Times New Roman" w:hAnsi="Times New Roman" w:eastAsia="Times New Roman" w:cs="Times New Roman"/>
        </w:rPr>
        <w:t xml:space="preserve"> </w:t>
      </w:r>
      <w:r>
        <w:rPr>
          <w:rFonts w:ascii="Nirmala UI" w:hAnsi="Nirmala UI" w:eastAsia="Nirmala UI" w:cs="Nirmala UI"/>
        </w:rPr>
        <w:t>നിർത്തുന്നു</w:t>
      </w:r>
      <w:r>
        <w:rPr>
          <w:rFonts w:ascii="Times New Roman" w:hAnsi="Times New Roman" w:eastAsia="Times New Roman" w:cs="Times New Roman"/>
        </w:rPr>
        <w:t xml:space="preserve">. </w:t>
      </w:r>
      <w:r>
        <w:rPr>
          <w:rFonts w:ascii="Nirmala UI" w:hAnsi="Nirmala UI" w:eastAsia="Nirmala UI" w:cs="Nirmala UI"/>
        </w:rPr>
        <w:t>ഇരുണ്ടും</w:t>
      </w:r>
      <w:r>
        <w:rPr>
          <w:rFonts w:ascii="Times New Roman" w:hAnsi="Times New Roman" w:eastAsia="Times New Roman" w:cs="Times New Roman"/>
        </w:rPr>
        <w:t xml:space="preserve"> </w:t>
      </w:r>
      <w:r>
        <w:rPr>
          <w:rFonts w:ascii="Nirmala UI" w:hAnsi="Nirmala UI" w:eastAsia="Nirmala UI" w:cs="Nirmala UI"/>
        </w:rPr>
        <w:t>ഭാരമുള്ളതുമായ</w:t>
      </w:r>
      <w:r>
        <w:rPr>
          <w:rFonts w:ascii="Times New Roman" w:hAnsi="Times New Roman" w:eastAsia="Times New Roman" w:cs="Times New Roman"/>
        </w:rPr>
        <w:t xml:space="preserve"> </w:t>
      </w:r>
      <w:r>
        <w:rPr>
          <w:rFonts w:ascii="Nirmala UI" w:hAnsi="Nirmala UI" w:eastAsia="Nirmala UI" w:cs="Nirmala UI"/>
        </w:rPr>
        <w:t>മേഘങ്ങൾ</w:t>
      </w:r>
      <w:r>
        <w:rPr>
          <w:rFonts w:ascii="Times New Roman" w:hAnsi="Times New Roman" w:eastAsia="Times New Roman" w:cs="Times New Roman"/>
        </w:rPr>
        <w:t xml:space="preserve"> </w:t>
      </w:r>
      <w:r>
        <w:rPr>
          <w:rFonts w:ascii="Nirmala UI" w:hAnsi="Nirmala UI" w:eastAsia="Nirmala UI" w:cs="Nirmala UI"/>
        </w:rPr>
        <w:t>ഉയർന്ന്</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കൂട്ടിയിടിക്കുന്നു</w:t>
      </w:r>
      <w:r>
        <w:rPr>
          <w:rFonts w:ascii="Times New Roman" w:hAnsi="Times New Roman" w:eastAsia="Times New Roman" w:cs="Times New Roman"/>
        </w:rPr>
        <w:t xml:space="preserve">. </w:t>
      </w:r>
      <w:r>
        <w:rPr>
          <w:rFonts w:ascii="Nirmala UI" w:hAnsi="Nirmala UI" w:eastAsia="Nirmala UI" w:cs="Nirmala UI"/>
        </w:rPr>
        <w:t>ക്രുദ്ധമായ</w:t>
      </w:r>
      <w:r>
        <w:rPr>
          <w:rFonts w:ascii="Times New Roman" w:hAnsi="Times New Roman" w:eastAsia="Times New Roman" w:cs="Times New Roman"/>
        </w:rPr>
        <w:t xml:space="preserve"> </w:t>
      </w:r>
      <w:r>
        <w:rPr>
          <w:rFonts w:ascii="Nirmala UI" w:hAnsi="Nirmala UI" w:eastAsia="Nirmala UI" w:cs="Nirmala UI"/>
        </w:rPr>
        <w:t>ആകാശത്തിന്റെ</w:t>
      </w:r>
      <w:r>
        <w:rPr>
          <w:rFonts w:ascii="Times New Roman" w:hAnsi="Times New Roman" w:eastAsia="Times New Roman" w:cs="Times New Roman"/>
        </w:rPr>
        <w:t xml:space="preserve"> </w:t>
      </w:r>
      <w:r>
        <w:rPr>
          <w:rFonts w:ascii="Nirmala UI" w:hAnsi="Nirmala UI" w:eastAsia="Nirmala UI" w:cs="Nirmala UI"/>
        </w:rPr>
        <w:t>മദ്ധ്യേ</w:t>
      </w:r>
      <w:r>
        <w:rPr>
          <w:rFonts w:ascii="Times New Roman" w:hAnsi="Times New Roman" w:eastAsia="Times New Roman" w:cs="Times New Roman"/>
        </w:rPr>
        <w:t xml:space="preserve"> </w:t>
      </w:r>
      <w:r>
        <w:rPr>
          <w:rFonts w:ascii="Nirmala UI" w:hAnsi="Nirmala UI" w:eastAsia="Nirmala UI" w:cs="Nirmala UI"/>
        </w:rPr>
        <w:t>വിവരണം</w:t>
      </w:r>
      <w:r>
        <w:rPr>
          <w:rFonts w:ascii="Times New Roman" w:hAnsi="Times New Roman" w:eastAsia="Times New Roman" w:cs="Times New Roman"/>
        </w:rPr>
        <w:t xml:space="preserve"> </w:t>
      </w:r>
      <w:r>
        <w:rPr>
          <w:rFonts w:ascii="Nirmala UI" w:hAnsi="Nirmala UI" w:eastAsia="Nirmala UI" w:cs="Nirmala UI"/>
        </w:rPr>
        <w:t>കഴിക്കാനാകാത്ത</w:t>
      </w:r>
      <w:r>
        <w:rPr>
          <w:rFonts w:ascii="Times New Roman" w:hAnsi="Times New Roman" w:eastAsia="Times New Roman" w:cs="Times New Roman"/>
        </w:rPr>
        <w:t xml:space="preserve"> </w:t>
      </w:r>
      <w:r>
        <w:rPr>
          <w:rFonts w:ascii="Nirmala UI" w:hAnsi="Nirmala UI" w:eastAsia="Nirmala UI" w:cs="Nirmala UI"/>
        </w:rPr>
        <w:t>മഹത്വം</w:t>
      </w:r>
      <w:r>
        <w:rPr>
          <w:rFonts w:ascii="Times New Roman" w:hAnsi="Times New Roman" w:eastAsia="Times New Roman" w:cs="Times New Roman"/>
        </w:rPr>
        <w:t xml:space="preserve"> </w:t>
      </w:r>
      <w:r>
        <w:rPr>
          <w:rFonts w:ascii="Nirmala UI" w:hAnsi="Nirmala UI" w:eastAsia="Nirmala UI" w:cs="Nirmala UI"/>
        </w:rPr>
        <w:t>നിറഞ്ഞ</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സ്വച്ഛസ്ഥലം</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അവിടെനിന്ന്</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ജലങ്ങളുടെ</w:t>
      </w:r>
      <w:r>
        <w:rPr>
          <w:rFonts w:ascii="Times New Roman" w:hAnsi="Times New Roman" w:eastAsia="Times New Roman" w:cs="Times New Roman"/>
        </w:rPr>
        <w:t xml:space="preserve"> </w:t>
      </w:r>
      <w:r>
        <w:rPr>
          <w:rFonts w:ascii="Nirmala UI" w:hAnsi="Nirmala UI" w:eastAsia="Nirmala UI" w:cs="Nirmala UI"/>
        </w:rPr>
        <w:t>നാദംപോലെ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സംഭവിച്ചിരിക്കുന്നു</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16:17.” The Great Controversy, 636.</w:t>
      </w:r>
    </w:p>
    <w:p>
      <w:pPr>
        <w:pStyle w:val="ArticleBody"/>
        <w:jc w:val="left"/>
      </w:pPr>
      <w:r>
        <w:rPr>
          <w:rFonts w:ascii="Times New Roman" w:hAnsi="Times New Roman" w:eastAsia="Times New Roman" w:cs="Times New Roman"/>
        </w:rPr>
        <w:t>Ang kapanahunan ng ehekutibong paghuhukom laban sa patutot ng Roma ay nagsisimula sa pagtataas ng watawat na nagpapakilala na ang ibang kawan ng Diyos na nasa Babilonya pa ay dapat tumakas. Ang kapanahunang iyon ay nagtatapos sa “mga tanda at mga kababalaghan.” Ang kapanahunang iyon ay nagsisimula sa “ikalawang tinig” ng Apocalipsis kabanata labingwalo, at nagtatapos sa tinig ng Diyos. Mangyari pa, ang una at ikalawang tinig ng Apocalipsis kabanata labingwalo ay ang tinig ni Cristo. Ang unang tinig ay tumutukoy sa pasimula ng pangsiyasat na paghuhukom sa buháy na iglesiang Adventista ng Laodicea, at ang ikalawang tinig ay tumutukoy sa wakas ng panahong iyon, ngunit minamarkahan din ang pasimula ng ehekutibong paghuhukom laban sa patutot ng Roma.</w:t>
      </w:r>
    </w:p>
    <w:p>
      <w:pPr>
        <w:pStyle w:val="ArticleBody"/>
        <w:jc w:val="left"/>
      </w:pPr>
      <w:r>
        <w:rPr>
          <w:rFonts w:ascii="Times New Roman" w:hAnsi="Times New Roman" w:eastAsia="Times New Roman" w:cs="Times New Roman"/>
        </w:rPr>
        <w:t>La historia completa está regida por la semana en la cual Cristo confirmó el pacto, y la ley dominical de pronta imposición queda tipificada como la marca media, así como fue tipificada por la cruz. Ambas historias poseen la firma del Alfa y la Omega, pues el comienzo y el fin en cada historia están representados por la voz de Dios. También representan la verdad, porque la marca media es la rebelión de la ley dominical, y la palabra hebrea “verdad” fue formada con la primera, la decimotercera y la última letras del alfabeto hebreo. La primera voz de Apocalipsis capítulo dieciocho es la voz de Cristo, la última voz es la voz de Dios, y la voz en medio, siendo también la voz de Dios, es asimismo donde la rebelión de la decimotercera letra queda representada por la bestia de la tierra “hablando” como dragón, tal como se representa en Apocalipsis capítulo TRECE.</w:t>
      </w:r>
    </w:p>
    <w:p>
      <w:pPr>
        <w:pStyle w:val="ArticleBody"/>
        <w:jc w:val="left"/>
      </w:pPr>
      <w:r>
        <w:rPr>
          <w:rFonts w:ascii="Times New Roman" w:hAnsi="Times New Roman" w:eastAsia="Times New Roman" w:cs="Times New Roman"/>
        </w:rPr>
        <w:t>اینساین در آستانۀ قانون یکشنبه که به‌زودی خواهد آمد، برای امینان خدا «علامت» فرار را نمایندگی می‌کند؛ اما همچنین نشان می‌دهد که آغاز دورۀ نبوی‌ای که با برافراشته شدن اینساین پایان می‌یابد، باید «علامتی» نیز داشته باشد. آن «علامت» همان چیزی است که عیسی آن را به‌عنوان شاهدی معرفی می‌کند که نسل آخرِ سیارۀ زمین فرا رسیده است. در باب بیست‌ویکمِ لوقا، شاگردان می‌پرسند که مسیح از این سخن خود چه مقصودی داشت، آن‌گاه که بیان کرد هیکل قرار است ویران شود.</w:t>
      </w:r>
    </w:p>
    <w:p>
      <w:pPr>
        <w:pStyle w:val="ArticleScripture"/>
        <w:jc w:val="left"/>
      </w:pPr>
      <w:r>
        <w:rPr>
          <w:rFonts w:ascii="Times New Roman" w:hAnsi="Times New Roman" w:eastAsia="Times New Roman" w:cs="Times New Roman"/>
        </w:rPr>
        <w:t>Asna tapupurir, niwni: Yachachiq, ¿haykapitaq kaykuna kanqa? ¿imataq señas kanqa kaykuna hunt’akunanpaq? Lucas 21:7.</w:t>
      </w:r>
    </w:p>
    <w:p>
      <w:pPr>
        <w:pStyle w:val="ArticleBody"/>
        <w:jc w:val="left"/>
      </w:pPr>
      <w:r>
        <w:rPr>
          <w:rFonts w:ascii="Times New Roman" w:hAnsi="Times New Roman" w:eastAsia="Times New Roman" w:cs="Times New Roman"/>
        </w:rPr>
        <w:t>Ava ndwende kuzindikiritsa mbiri imene imatsogolera kufika m’chaka cha 70 pamene kachisi ndi mzinda zikanawonongedwa, ndipo akupitiriza kufika pa vesi la makumi awiri ndi anayi pamene Azindikiritsa nthawi imene “nthawi” za Amitundu zikanakwaniritsidwa.</w:t>
      </w:r>
    </w:p>
    <w:p>
      <w:pPr>
        <w:pStyle w:val="ArticleScripture"/>
        <w:jc w:val="left"/>
      </w:pPr>
      <w:r>
        <w:rPr>
          <w:rFonts w:ascii="Times New Roman" w:hAnsi="Times New Roman" w:eastAsia="Times New Roman" w:cs="Times New Roman"/>
        </w:rPr>
        <w:t>Аҳәмму улар қиличниң ағзи билән жиқилиду вә барлиқ хәлиқләр арасиға әсир елип кетилиду; Йерусалим болса, Ят хәлиқләрниң заманлири тамам болғучә, бутпәстләр тәрипидин дәпсәндичә тапилиду. Луқа 21:24.</w:t>
      </w:r>
    </w:p>
    <w:p>
      <w:pPr>
        <w:pStyle w:val="ArticleBody"/>
        <w:jc w:val="left"/>
      </w:pPr>
      <w:r>
        <w:rPr>
          <w:rFonts w:ascii="Times New Roman" w:hAnsi="Times New Roman" w:eastAsia="Times New Roman" w:cs="Times New Roman"/>
        </w:rPr>
        <w:t>دِ هٰغې آيت په لفظي بيت المقدس باندې دلالت کولو دا مفکوره د کاتوليک د هغه الهیاتي حماقت پر بنسټ ولاړه ده چې «فيوتريزم» بلل کېږي؛ کوم چې رمزي خبرې په لفظي ډول تطبيقوي او د نبوتونو پوره کېدل يوازې د نړۍ پای ته ځانګړي کوي. د دې آيت د سم تطبيق پر ضد بريد د نوې عهدنامې د لوستلو په ټوله موده کې د شيطان يو ستر بريد و. لفظي بيت المقدس د مسيح په زمانه کې نور د نبوي بيت المقدس نښه پاتې نه شوه، کله چې لفظي نبوت روحاني تطبيق ته واوښت. دا الهام هغه ستر تعليم و چې د رسول پولوس له خوا ټينګ شو. د بيت المقدس تر پښو لاندې کېدل د پاپي تيارې هغه يو زر او دوه سوه او شپېته کاله مشخصوي چې له 538 کال څخه تر 1798 پورې وو.</w:t>
      </w:r>
    </w:p>
    <w:p>
      <w:pPr>
        <w:pStyle w:val="ArticleScripture"/>
        <w:jc w:val="left"/>
      </w:pPr>
      <w:r>
        <w:rPr>
          <w:rFonts w:ascii="Times New Roman" w:hAnsi="Times New Roman" w:eastAsia="Times New Roman" w:cs="Times New Roman"/>
        </w:rPr>
        <w:t>Харин сүмийн гаднах хашааг орхиж, түүнийг бүү хэмж; учир нь тэр нь харь үндэстнүүдэд өгөгдсөн юм. Тэд ариун хотыг дөчин хоёр сарын турш хөл дороо гишгэнэ. Илчлэлт 11:2.</w:t>
      </w:r>
    </w:p>
    <w:p>
      <w:pPr>
        <w:pStyle w:val="ArticleBody"/>
        <w:jc w:val="left"/>
      </w:pPr>
      <w:r>
        <w:rPr>
          <w:rFonts w:ascii="Times New Roman" w:hAnsi="Times New Roman" w:eastAsia="Times New Roman" w:cs="Times New Roman"/>
        </w:rPr>
        <w:t>Ay Yerusalén de la profecía dejó de ser el símbolo de la ciudad escogida en la cruz.</w:t>
      </w:r>
    </w:p>
    <w:p>
      <w:pPr>
        <w:pStyle w:val="ArticleScripture"/>
        <w:jc w:val="left"/>
      </w:pPr>
      <w:r>
        <w:rPr>
          <w:rFonts w:ascii="Times New Roman" w:hAnsi="Times New Roman" w:eastAsia="Times New Roman" w:cs="Times New Roman"/>
        </w:rPr>
        <w:t>“</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ꯑꯣꯜꯗ</w:t>
      </w:r>
      <w:r>
        <w:rPr>
          <w:rFonts w:ascii="Times New Roman" w:hAnsi="Times New Roman" w:eastAsia="Times New Roman" w:cs="Times New Roman"/>
        </w:rPr>
        <w:t xml:space="preserve"> </w:t>
      </w:r>
      <w:r>
        <w:rPr>
          <w:rFonts w:ascii="Nirmala UI" w:hAnsi="Nirmala UI" w:eastAsia="Nirmala UI" w:cs="Nirmala UI"/>
        </w:rPr>
        <w:t>ꯖꯦꯔꯨꯁꯂꯦꯝꯒꯤ</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ꯅꯣꯟꯅꯥ</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ꯊꯧꯗꯣꯛ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ꯈꯨꯗꯣꯡꯆꯥꯕꯅꯥ</w:t>
      </w:r>
      <w:r>
        <w:rPr>
          <w:rFonts w:ascii="Times New Roman" w:hAnsi="Times New Roman" w:eastAsia="Times New Roman" w:cs="Times New Roman"/>
        </w:rPr>
        <w:t xml:space="preserve"> </w:t>
      </w:r>
      <w:r>
        <w:rPr>
          <w:rFonts w:ascii="Nirmala UI" w:hAnsi="Nirmala UI" w:eastAsia="Nirmala UI" w:cs="Nirmala UI"/>
        </w:rPr>
        <w:t>ꯄꯤꯗꯨꯅꯥ</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ꯀꯟꯅꯥ</w:t>
      </w:r>
      <w:r>
        <w:rPr>
          <w:rFonts w:ascii="Times New Roman" w:hAnsi="Times New Roman" w:eastAsia="Times New Roman" w:cs="Times New Roman"/>
        </w:rPr>
        <w:t xml:space="preserve"> </w:t>
      </w:r>
      <w:r>
        <w:rPr>
          <w:rFonts w:ascii="Nirmala UI" w:hAnsi="Nirmala UI" w:eastAsia="Nirmala UI" w:cs="Nirmala UI"/>
        </w:rPr>
        <w:t>ꯁꯦꯚꯤꯌꯔꯒꯤ</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ꯆꯪꯁꯤꯜꯂꯒꯥ।</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ꯑꯣꯜꯗ</w:t>
      </w:r>
      <w:r>
        <w:rPr>
          <w:rFonts w:ascii="Times New Roman" w:hAnsi="Times New Roman" w:eastAsia="Times New Roman" w:cs="Times New Roman"/>
        </w:rPr>
        <w:t xml:space="preserve"> </w:t>
      </w:r>
      <w:r>
        <w:rPr>
          <w:rFonts w:ascii="Nirmala UI" w:hAnsi="Nirmala UI" w:eastAsia="Nirmala UI" w:cs="Nirmala UI"/>
        </w:rPr>
        <w:t>ꯖꯦꯔꯨꯁꯂꯦꯝ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ꯁ꯭ꯋꯔꯒꯗꯒꯤ</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ꯁꯦꯝꯖꯤꯟꯕꯁꯤꯡꯅꯥ</w:t>
      </w:r>
      <w:r>
        <w:rPr>
          <w:rFonts w:ascii="Times New Roman" w:hAnsi="Times New Roman" w:eastAsia="Times New Roman" w:cs="Times New Roman"/>
        </w:rPr>
        <w:t xml:space="preserve"> </w:t>
      </w:r>
      <w:r>
        <w:rPr>
          <w:rFonts w:ascii="Nirmala UI" w:hAnsi="Nirmala UI" w:eastAsia="Nirmala UI" w:cs="Nirmala UI"/>
        </w:rPr>
        <w:t>ꯁꯦꯡꯗꯣꯀꯄ</w:t>
      </w:r>
      <w:r>
        <w:rPr>
          <w:rFonts w:ascii="Times New Roman" w:hAnsi="Times New Roman" w:eastAsia="Times New Roman" w:cs="Times New Roman"/>
        </w:rPr>
        <w:t xml:space="preserve"> </w:t>
      </w:r>
      <w:r>
        <w:rPr>
          <w:rFonts w:ascii="Nirmala UI" w:hAnsi="Nirmala UI" w:eastAsia="Nirmala UI" w:cs="Nirmala UI"/>
        </w:rPr>
        <w:t>ꯐꯥꯎꯗ꯭ꯔꯒꯥ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ꯁꯦꯛꯔꯦꯠ</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ꯑꯣꯏꯗꯣꯛꯀꯅꯤ।</w:t>
      </w:r>
      <w:r>
        <w:rPr>
          <w:rFonts w:ascii="Times New Roman" w:hAnsi="Times New Roman" w:eastAsia="Times New Roman" w:cs="Times New Roman"/>
        </w:rPr>
        <w:t>” Review and Herald, June 9, 1896.</w:t>
      </w:r>
    </w:p>
    <w:p>
      <w:pPr>
        <w:pStyle w:val="ArticleBody"/>
        <w:jc w:val="left"/>
      </w:pPr>
      <w:r>
        <w:rPr>
          <w:rFonts w:ascii="Times New Roman" w:hAnsi="Times New Roman" w:eastAsia="Times New Roman" w:cs="Times New Roman"/>
        </w:rPr>
        <w:t>Yslla Jesus chaskikunata pusanqa qhepa p’unchayman, 1798 watapi, iskay chunka tawa ñiqi versiculopi; chaymantaqa paymi riqsichirqan Milleritaq pacha tiemponta, maypichus ñawpaq angelpa willakuynin historiaman hamurqan.</w:t>
      </w:r>
    </w:p>
    <w:p>
      <w:pPr>
        <w:pStyle w:val="ArticleScripture"/>
        <w:jc w:val="left"/>
      </w:pPr>
      <w:r>
        <w:rPr>
          <w:rFonts w:ascii="Nirmala UI" w:hAnsi="Nirmala UI" w:eastAsia="Nirmala UI" w:cs="Nirmala UI"/>
        </w:rPr>
        <w:t>कळैय्यो</w:t>
      </w:r>
      <w:r>
        <w:rPr>
          <w:rFonts w:ascii="Times New Roman" w:hAnsi="Times New Roman" w:eastAsia="Times New Roman" w:cs="Times New Roman"/>
        </w:rPr>
        <w:t xml:space="preserve"> </w:t>
      </w:r>
      <w:r>
        <w:rPr>
          <w:rFonts w:ascii="Nirmala UI" w:hAnsi="Nirmala UI" w:eastAsia="Nirmala UI" w:cs="Nirmala UI"/>
        </w:rPr>
        <w:t>आदित्यत्तिलुं</w:t>
      </w:r>
      <w:r>
        <w:rPr>
          <w:rFonts w:ascii="Times New Roman" w:hAnsi="Times New Roman" w:eastAsia="Times New Roman" w:cs="Times New Roman"/>
        </w:rPr>
        <w:t xml:space="preserve"> </w:t>
      </w:r>
      <w:r>
        <w:rPr>
          <w:rFonts w:ascii="Nirmala UI" w:hAnsi="Nirmala UI" w:eastAsia="Nirmala UI" w:cs="Nirmala UI"/>
        </w:rPr>
        <w:t>चन्द्रनिलुं</w:t>
      </w:r>
      <w:r>
        <w:rPr>
          <w:rFonts w:ascii="Times New Roman" w:hAnsi="Times New Roman" w:eastAsia="Times New Roman" w:cs="Times New Roman"/>
        </w:rPr>
        <w:t xml:space="preserve"> </w:t>
      </w:r>
      <w:r>
        <w:rPr>
          <w:rFonts w:ascii="Nirmala UI" w:hAnsi="Nirmala UI" w:eastAsia="Nirmala UI" w:cs="Nirmala UI"/>
        </w:rPr>
        <w:t>नक्षत्रङ्ङळिलुं</w:t>
      </w:r>
      <w:r>
        <w:rPr>
          <w:rFonts w:ascii="Times New Roman" w:hAnsi="Times New Roman" w:eastAsia="Times New Roman" w:cs="Times New Roman"/>
        </w:rPr>
        <w:t xml:space="preserve">; </w:t>
      </w:r>
      <w:r>
        <w:rPr>
          <w:rFonts w:ascii="Nirmala UI" w:hAnsi="Nirmala UI" w:eastAsia="Nirmala UI" w:cs="Nirmala UI"/>
        </w:rPr>
        <w:t>भूमियिलോ</w:t>
      </w:r>
      <w:r>
        <w:rPr>
          <w:rFonts w:ascii="Times New Roman" w:hAnsi="Times New Roman" w:eastAsia="Times New Roman" w:cs="Times New Roman"/>
        </w:rPr>
        <w:t xml:space="preserve"> </w:t>
      </w:r>
      <w:r>
        <w:rPr>
          <w:rFonts w:ascii="Nirmala UI" w:hAnsi="Nirmala UI" w:eastAsia="Nirmala UI" w:cs="Nirmala UI"/>
        </w:rPr>
        <w:t>जनतकल्क्कु</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संभ्रमत्तोडे</w:t>
      </w:r>
      <w:r>
        <w:rPr>
          <w:rFonts w:ascii="Times New Roman" w:hAnsi="Times New Roman" w:eastAsia="Times New Roman" w:cs="Times New Roman"/>
        </w:rPr>
        <w:t xml:space="preserve">; </w:t>
      </w:r>
      <w:r>
        <w:rPr>
          <w:rFonts w:ascii="Nirmala UI" w:hAnsi="Nirmala UI" w:eastAsia="Nirmala UI" w:cs="Nirmala UI"/>
        </w:rPr>
        <w:t>समुद्रवुं</w:t>
      </w:r>
      <w:r>
        <w:rPr>
          <w:rFonts w:ascii="Times New Roman" w:hAnsi="Times New Roman" w:eastAsia="Times New Roman" w:cs="Times New Roman"/>
        </w:rPr>
        <w:t xml:space="preserve"> </w:t>
      </w:r>
      <w:r>
        <w:rPr>
          <w:rFonts w:ascii="Nirmala UI" w:hAnsi="Nirmala UI" w:eastAsia="Nirmala UI" w:cs="Nirmala UI"/>
        </w:rPr>
        <w:t>तरङ्ङळुं</w:t>
      </w:r>
      <w:r>
        <w:rPr>
          <w:rFonts w:ascii="Times New Roman" w:hAnsi="Times New Roman" w:eastAsia="Times New Roman" w:cs="Times New Roman"/>
        </w:rPr>
        <w:t xml:space="preserve"> </w:t>
      </w:r>
      <w:r>
        <w:rPr>
          <w:rFonts w:ascii="Nirmala UI" w:hAnsi="Nirmala UI" w:eastAsia="Nirmala UI" w:cs="Nirmala UI"/>
        </w:rPr>
        <w:t>गर्ज्जिक्कुन्नु</w:t>
      </w:r>
      <w:r>
        <w:rPr>
          <w:rFonts w:ascii="Times New Roman" w:hAnsi="Times New Roman" w:eastAsia="Times New Roman" w:cs="Times New Roman"/>
        </w:rPr>
        <w:t xml:space="preserve">. </w:t>
      </w:r>
      <w:r>
        <w:rPr>
          <w:rFonts w:ascii="Nirmala UI" w:hAnsi="Nirmala UI" w:eastAsia="Nirmala UI" w:cs="Nirmala UI"/>
        </w:rPr>
        <w:t>मनुष्यरुडे</w:t>
      </w:r>
      <w:r>
        <w:rPr>
          <w:rFonts w:ascii="Times New Roman" w:hAnsi="Times New Roman" w:eastAsia="Times New Roman" w:cs="Times New Roman"/>
        </w:rPr>
        <w:t xml:space="preserve"> </w:t>
      </w:r>
      <w:r>
        <w:rPr>
          <w:rFonts w:ascii="Nirmala UI" w:hAnsi="Nirmala UI" w:eastAsia="Nirmala UI" w:cs="Nirmala UI"/>
        </w:rPr>
        <w:t>हृदयङ्ङळ्</w:t>
      </w:r>
      <w:r>
        <w:rPr>
          <w:rFonts w:ascii="Times New Roman" w:hAnsi="Times New Roman" w:eastAsia="Times New Roman" w:cs="Times New Roman"/>
        </w:rPr>
        <w:t xml:space="preserve"> </w:t>
      </w:r>
      <w:r>
        <w:rPr>
          <w:rFonts w:ascii="Nirmala UI" w:hAnsi="Nirmala UI" w:eastAsia="Nirmala UI" w:cs="Nirmala UI"/>
        </w:rPr>
        <w:t>भयत्तालुं</w:t>
      </w:r>
      <w:r>
        <w:rPr>
          <w:rFonts w:ascii="Times New Roman" w:hAnsi="Times New Roman" w:eastAsia="Times New Roman" w:cs="Times New Roman"/>
        </w:rPr>
        <w:t xml:space="preserve"> </w:t>
      </w:r>
      <w:r>
        <w:rPr>
          <w:rFonts w:ascii="Nirmala UI" w:hAnsi="Nirmala UI" w:eastAsia="Nirmala UI" w:cs="Nirmala UI"/>
        </w:rPr>
        <w:t>भूमियिल्</w:t>
      </w:r>
      <w:r>
        <w:rPr>
          <w:rFonts w:ascii="Times New Roman" w:hAnsi="Times New Roman" w:eastAsia="Times New Roman" w:cs="Times New Roman"/>
        </w:rPr>
        <w:t xml:space="preserve"> </w:t>
      </w:r>
      <w:r>
        <w:rPr>
          <w:rFonts w:ascii="Nirmala UI" w:hAnsi="Nirmala UI" w:eastAsia="Nirmala UI" w:cs="Nirmala UI"/>
        </w:rPr>
        <w:t>वरुवानिरिक्कुन्न</w:t>
      </w:r>
      <w:r>
        <w:rPr>
          <w:rFonts w:ascii="Times New Roman" w:hAnsi="Times New Roman" w:eastAsia="Times New Roman" w:cs="Times New Roman"/>
        </w:rPr>
        <w:t xml:space="preserve"> </w:t>
      </w:r>
      <w:r>
        <w:rPr>
          <w:rFonts w:ascii="Nirmala UI" w:hAnsi="Nirmala UI" w:eastAsia="Nirmala UI" w:cs="Nirmala UI"/>
        </w:rPr>
        <w:t>कार्यङ्ङळे</w:t>
      </w:r>
      <w:r>
        <w:rPr>
          <w:rFonts w:ascii="Times New Roman" w:hAnsi="Times New Roman" w:eastAsia="Times New Roman" w:cs="Times New Roman"/>
        </w:rPr>
        <w:t xml:space="preserve"> </w:t>
      </w:r>
      <w:r>
        <w:rPr>
          <w:rFonts w:ascii="Nirmala UI" w:hAnsi="Nirmala UI" w:eastAsia="Nirmala UI" w:cs="Nirmala UI"/>
        </w:rPr>
        <w:t>प्रतीक्षिच्चुं</w:t>
      </w:r>
      <w:r>
        <w:rPr>
          <w:rFonts w:ascii="Times New Roman" w:hAnsi="Times New Roman" w:eastAsia="Times New Roman" w:cs="Times New Roman"/>
        </w:rPr>
        <w:t xml:space="preserve"> </w:t>
      </w:r>
      <w:r>
        <w:rPr>
          <w:rFonts w:ascii="Nirmala UI" w:hAnsi="Nirmala UI" w:eastAsia="Nirmala UI" w:cs="Nirmala UI"/>
        </w:rPr>
        <w:t>क्षीणिच्चुपोकुं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स्वर्गत्तिन्ते</w:t>
      </w:r>
      <w:r>
        <w:rPr>
          <w:rFonts w:ascii="Times New Roman" w:hAnsi="Times New Roman" w:eastAsia="Times New Roman" w:cs="Times New Roman"/>
        </w:rPr>
        <w:t xml:space="preserve"> </w:t>
      </w:r>
      <w:r>
        <w:rPr>
          <w:rFonts w:ascii="Nirmala UI" w:hAnsi="Nirmala UI" w:eastAsia="Nirmala UI" w:cs="Nirmala UI"/>
        </w:rPr>
        <w:t>शक्तिकल्</w:t>
      </w:r>
      <w:r>
        <w:rPr>
          <w:rFonts w:ascii="Times New Roman" w:hAnsi="Times New Roman" w:eastAsia="Times New Roman" w:cs="Times New Roman"/>
        </w:rPr>
        <w:t xml:space="preserve"> </w:t>
      </w:r>
      <w:r>
        <w:rPr>
          <w:rFonts w:ascii="Nirmala UI" w:hAnsi="Nirmala UI" w:eastAsia="Nirmala UI" w:cs="Nirmala UI"/>
        </w:rPr>
        <w:t>कुलुङ्ङिप्पोकुं</w:t>
      </w:r>
      <w:r>
        <w:rPr>
          <w:rFonts w:ascii="Times New Roman" w:hAnsi="Times New Roman" w:eastAsia="Times New Roman" w:cs="Times New Roman"/>
        </w:rPr>
        <w:t xml:space="preserve">. </w:t>
      </w:r>
      <w:r>
        <w:rPr>
          <w:rFonts w:ascii="Nirmala UI" w:hAnsi="Nirmala UI" w:eastAsia="Nirmala UI" w:cs="Nirmala UI"/>
        </w:rPr>
        <w:t>अप्पोल्</w:t>
      </w:r>
      <w:r>
        <w:rPr>
          <w:rFonts w:ascii="Times New Roman" w:hAnsi="Times New Roman" w:eastAsia="Times New Roman" w:cs="Times New Roman"/>
        </w:rPr>
        <w:t xml:space="preserve"> </w:t>
      </w:r>
      <w:r>
        <w:rPr>
          <w:rFonts w:ascii="Nirmala UI" w:hAnsi="Nirmala UI" w:eastAsia="Nirmala UI" w:cs="Nirmala UI"/>
        </w:rPr>
        <w:t>अवर्</w:t>
      </w:r>
      <w:r>
        <w:rPr>
          <w:rFonts w:ascii="Times New Roman" w:hAnsi="Times New Roman" w:eastAsia="Times New Roman" w:cs="Times New Roman"/>
        </w:rPr>
        <w:t xml:space="preserve"> </w:t>
      </w:r>
      <w:r>
        <w:rPr>
          <w:rFonts w:ascii="Nirmala UI" w:hAnsi="Nirmala UI" w:eastAsia="Nirmala UI" w:cs="Nirmala UI"/>
        </w:rPr>
        <w:t>मनुष्यपुत्रने</w:t>
      </w:r>
      <w:r>
        <w:rPr>
          <w:rFonts w:ascii="Times New Roman" w:hAnsi="Times New Roman" w:eastAsia="Times New Roman" w:cs="Times New Roman"/>
        </w:rPr>
        <w:t xml:space="preserve"> </w:t>
      </w:r>
      <w:r>
        <w:rPr>
          <w:rFonts w:ascii="Nirmala UI" w:hAnsi="Nirmala UI" w:eastAsia="Nirmala UI" w:cs="Nirmala UI"/>
        </w:rPr>
        <w:t>शक्तियोटुं</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महिमयोटुं</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मेघत्तिल्</w:t>
      </w:r>
      <w:r>
        <w:rPr>
          <w:rFonts w:ascii="Times New Roman" w:hAnsi="Times New Roman" w:eastAsia="Times New Roman" w:cs="Times New Roman"/>
        </w:rPr>
        <w:t xml:space="preserve"> </w:t>
      </w:r>
      <w:r>
        <w:rPr>
          <w:rFonts w:ascii="Nirmala UI" w:hAnsi="Nirmala UI" w:eastAsia="Nirmala UI" w:cs="Nirmala UI"/>
        </w:rPr>
        <w:t>वरुन्नतायि</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इवय्</w:t>
      </w:r>
      <w:r>
        <w:rPr>
          <w:rFonts w:ascii="Times New Roman" w:hAnsi="Times New Roman" w:eastAsia="Times New Roman" w:cs="Times New Roman"/>
        </w:rPr>
        <w:t xml:space="preserve"> </w:t>
      </w:r>
      <w:r>
        <w:rPr>
          <w:rFonts w:ascii="Nirmala UI" w:hAnsi="Nirmala UI" w:eastAsia="Nirmala UI" w:cs="Nirmala UI"/>
        </w:rPr>
        <w:t>सम्भविच्चुतुडङ्ङुम्पोल्</w:t>
      </w:r>
      <w:r>
        <w:rPr>
          <w:rFonts w:ascii="Times New Roman" w:hAnsi="Times New Roman" w:eastAsia="Times New Roman" w:cs="Times New Roman"/>
        </w:rPr>
        <w:t xml:space="preserve"> </w:t>
      </w:r>
      <w:r>
        <w:rPr>
          <w:rFonts w:ascii="Nirmala UI" w:hAnsi="Nirmala UI" w:eastAsia="Nirmala UI" w:cs="Nirmala UI"/>
        </w:rPr>
        <w:t>नीङ्ङळ्</w:t>
      </w:r>
      <w:r>
        <w:rPr>
          <w:rFonts w:ascii="Times New Roman" w:hAnsi="Times New Roman" w:eastAsia="Times New Roman" w:cs="Times New Roman"/>
        </w:rPr>
        <w:t xml:space="preserve"> </w:t>
      </w:r>
      <w:r>
        <w:rPr>
          <w:rFonts w:ascii="Nirmala UI" w:hAnsi="Nirmala UI" w:eastAsia="Nirmala UI" w:cs="Nirmala UI"/>
        </w:rPr>
        <w:t>मेलोट्टु</w:t>
      </w:r>
      <w:r>
        <w:rPr>
          <w:rFonts w:ascii="Times New Roman" w:hAnsi="Times New Roman" w:eastAsia="Times New Roman" w:cs="Times New Roman"/>
        </w:rPr>
        <w:t xml:space="preserve"> </w:t>
      </w:r>
      <w:r>
        <w:rPr>
          <w:rFonts w:ascii="Nirmala UI" w:hAnsi="Nirmala UI" w:eastAsia="Nirmala UI" w:cs="Nirmala UI"/>
        </w:rPr>
        <w:t>नोक्कुकयुं</w:t>
      </w:r>
      <w:r>
        <w:rPr>
          <w:rFonts w:ascii="Times New Roman" w:hAnsi="Times New Roman" w:eastAsia="Times New Roman" w:cs="Times New Roman"/>
        </w:rPr>
        <w:t xml:space="preserve"> </w:t>
      </w:r>
      <w:r>
        <w:rPr>
          <w:rFonts w:ascii="Nirmala UI" w:hAnsi="Nirmala UI" w:eastAsia="Nirmala UI" w:cs="Nirmala UI"/>
        </w:rPr>
        <w:t>निङ्ङळुडे</w:t>
      </w:r>
      <w:r>
        <w:rPr>
          <w:rFonts w:ascii="Times New Roman" w:hAnsi="Times New Roman" w:eastAsia="Times New Roman" w:cs="Times New Roman"/>
        </w:rPr>
        <w:t xml:space="preserve"> </w:t>
      </w:r>
      <w:r>
        <w:rPr>
          <w:rFonts w:ascii="Nirmala UI" w:hAnsi="Nirmala UI" w:eastAsia="Nirmala UI" w:cs="Nirmala UI"/>
        </w:rPr>
        <w:t>तलकल्</w:t>
      </w:r>
      <w:r>
        <w:rPr>
          <w:rFonts w:ascii="Times New Roman" w:hAnsi="Times New Roman" w:eastAsia="Times New Roman" w:cs="Times New Roman"/>
        </w:rPr>
        <w:t xml:space="preserve"> </w:t>
      </w:r>
      <w:r>
        <w:rPr>
          <w:rFonts w:ascii="Nirmala UI" w:hAnsi="Nirmala UI" w:eastAsia="Nirmala UI" w:cs="Nirmala UI"/>
        </w:rPr>
        <w:t>उच्चत्तिल्</w:t>
      </w:r>
      <w:r>
        <w:rPr>
          <w:rFonts w:ascii="Times New Roman" w:hAnsi="Times New Roman" w:eastAsia="Times New Roman" w:cs="Times New Roman"/>
        </w:rPr>
        <w:t xml:space="preserve"> </w:t>
      </w:r>
      <w:r>
        <w:rPr>
          <w:rFonts w:ascii="Nirmala UI" w:hAnsi="Nirmala UI" w:eastAsia="Nirmala UI" w:cs="Nirmala UI"/>
        </w:rPr>
        <w:t>एटुकयुं</w:t>
      </w:r>
      <w:r>
        <w:rPr>
          <w:rFonts w:ascii="Times New Roman" w:hAnsi="Times New Roman" w:eastAsia="Times New Roman" w:cs="Times New Roman"/>
        </w:rPr>
        <w:t xml:space="preserve"> </w:t>
      </w:r>
      <w:r>
        <w:rPr>
          <w:rFonts w:ascii="Nirmala UI" w:hAnsi="Nirmala UI" w:eastAsia="Nirmala UI" w:cs="Nirmala UI"/>
        </w:rPr>
        <w:t>चेय्विन्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निङ्ङळुडे</w:t>
      </w:r>
      <w:r>
        <w:rPr>
          <w:rFonts w:ascii="Times New Roman" w:hAnsi="Times New Roman" w:eastAsia="Times New Roman" w:cs="Times New Roman"/>
        </w:rPr>
        <w:t xml:space="preserve"> </w:t>
      </w:r>
      <w:r>
        <w:rPr>
          <w:rFonts w:ascii="Nirmala UI" w:hAnsi="Nirmala UI" w:eastAsia="Nirmala UI" w:cs="Nirmala UI"/>
        </w:rPr>
        <w:t>विमोचनं</w:t>
      </w:r>
      <w:r>
        <w:rPr>
          <w:rFonts w:ascii="Times New Roman" w:hAnsi="Times New Roman" w:eastAsia="Times New Roman" w:cs="Times New Roman"/>
        </w:rPr>
        <w:t xml:space="preserve"> </w:t>
      </w:r>
      <w:r>
        <w:rPr>
          <w:rFonts w:ascii="Nirmala UI" w:hAnsi="Nirmala UI" w:eastAsia="Nirmala UI" w:cs="Nirmala UI"/>
        </w:rPr>
        <w:t>समीपिच्चिरिक्कुन्नु</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21:25–28.</w:t>
      </w:r>
    </w:p>
    <w:p>
      <w:pPr>
        <w:pStyle w:val="ArticleBody"/>
        <w:jc w:val="left"/>
      </w:pPr>
      <w:r>
        <w:rPr>
          <w:rFonts w:ascii="Times New Roman" w:hAnsi="Times New Roman" w:eastAsia="Times New Roman" w:cs="Times New Roman"/>
        </w:rPr>
        <w:t>Millerçi tarixini təqdim edən əlamətlər Allahın Kəlamının əsla yanılmayan qüdrətinə uyğun olaraq yerinə yetdi.</w:t>
      </w:r>
    </w:p>
    <w:p>
      <w:pPr>
        <w:pStyle w:val="ArticleScripture"/>
        <w:jc w:val="left"/>
      </w:pPr>
      <w:r>
        <w:rPr>
          <w:rFonts w:ascii="Times New Roman" w:hAnsi="Times New Roman" w:eastAsia="Times New Roman" w:cs="Times New Roman"/>
        </w:rPr>
        <w:t>«Нар, ай, одод дахь тэмдгүүд биелсэн.» Review and Herald, 1906 оны 11 дүгээр сарын 22.</w:t>
      </w:r>
    </w:p>
    <w:p>
      <w:pPr>
        <w:pStyle w:val="ArticleBody"/>
        <w:jc w:val="left"/>
      </w:pPr>
      <w:r>
        <w:rPr>
          <w:rFonts w:ascii="Nirmala UI" w:hAnsi="Nirmala UI" w:eastAsia="Nirmala UI" w:cs="Nirmala UI"/>
        </w:rPr>
        <w:t>नाङ्नि</w:t>
      </w:r>
      <w:r>
        <w:rPr>
          <w:rFonts w:ascii="Times New Roman" w:hAnsi="Times New Roman" w:eastAsia="Times New Roman" w:cs="Times New Roman"/>
        </w:rPr>
        <w:t xml:space="preserve"> </w:t>
      </w:r>
      <w:r>
        <w:rPr>
          <w:rFonts w:ascii="Nirmala UI" w:hAnsi="Nirmala UI" w:eastAsia="Nirmala UI" w:cs="Nirmala UI"/>
        </w:rPr>
        <w:t>आलेखआव</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एक्कीसनि</w:t>
      </w:r>
      <w:r>
        <w:rPr>
          <w:rFonts w:ascii="Times New Roman" w:hAnsi="Times New Roman" w:eastAsia="Times New Roman" w:cs="Times New Roman"/>
        </w:rPr>
        <w:t xml:space="preserve"> </w:t>
      </w:r>
      <w:r>
        <w:rPr>
          <w:rFonts w:ascii="Nirmala UI" w:hAnsi="Nirmala UI" w:eastAsia="Nirmala UI" w:cs="Nirmala UI"/>
        </w:rPr>
        <w:t>मावथायनि</w:t>
      </w:r>
      <w:r>
        <w:rPr>
          <w:rFonts w:ascii="Times New Roman" w:hAnsi="Times New Roman" w:eastAsia="Times New Roman" w:cs="Times New Roman"/>
        </w:rPr>
        <w:t xml:space="preserve"> </w:t>
      </w:r>
      <w:r>
        <w:rPr>
          <w:rFonts w:ascii="Nirmala UI" w:hAnsi="Nirmala UI" w:eastAsia="Nirmala UI" w:cs="Nirmala UI"/>
        </w:rPr>
        <w:t>भागखौ</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दं।</w:t>
      </w:r>
    </w:p>
    <w:p>
      <w:pPr>
        <w:pStyle w:val="ArticleScripture"/>
        <w:jc w:val="left"/>
      </w:pPr>
      <w:r>
        <w:rPr>
          <w:rFonts w:ascii="Times New Roman" w:hAnsi="Times New Roman" w:eastAsia="Times New Roman" w:cs="Times New Roman"/>
        </w:rPr>
        <w:t>“1848 ncı ilin Dekabrın 16-da Rəbb mənə göylərin qüvvələrinin sarsılması barədə bir görünüş verdi. Mən gördüm ki, Rəbb Matta, Mark və Luka tərəfindən yazılmış əlamətləri verərkən ‘göy’ dedikdə, həqiqətən göyü nəzərdə tuturdu, ‘yer’ dedikdə isə yeri nəzərdə tuturdu. Göyün qüvvələri günəş, ay və ulduzlardır. Onlar göylərdə hökmranlıq edirlər. Yerin qüvvələri isə yer üzündə hökm edənlərdir. Göyün qüvvələri Allahın səsi ilə sarsılacaq. O zaman günəş, ay və ulduzlar öz yerlərindən hərəkət etdiriləcək. Onlar yox olmayacaq, lakin Allahın səsi ilə sarsılacaqlar.</w:t>
      </w:r>
    </w:p>
    <w:p>
      <w:pPr>
        <w:pStyle w:val="ArticleScripture"/>
        <w:jc w:val="left"/>
      </w:pPr>
      <w:r>
        <w:rPr>
          <w:rFonts w:ascii="Times New Roman" w:hAnsi="Times New Roman" w:eastAsia="Times New Roman" w:cs="Times New Roman"/>
        </w:rPr>
        <w:t>«Թանձր, ծանր ամպեր բարձրացան և բախվեցին միմյանց։ Մթնոլորտը ճեղքվեց և ետ գլորվեց. ապա մենք կարողացանք վեր նայել Օրիոնի այն բացվածքով, որտեղից եկավ Աստծո ձայնը։ Սուրբ Քաղաքը պիտի իջնի այդ բացվածքով։ Ես տեսա, որ երկրի զորություններն այժմ սասանվում են, և որ իրադարձությունները գալիս են հերթականությամբ։ Պատերազմը և պատերազմների լուրերը, սուրը, սովը և ժանտախտը նախ պիտի սասանեն երկրի զորությունները, ապա Աստծո ձայնը պիտի սասանի արևը, լուսինը և աստղերը, և նաև այս երկիրը։ Ես տեսա, որ Եվրոպայում զորությունների սասանումը, ինչպես ոմանք ուսուցանում են, երկնքի զորությունների սասանումը չէ, այլ բարկացած ազգերի սասանումն է»։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Sembilan Belas</dc:title>
  <dc:subject>历史路标的预言性意义：借着圣经象征理解末后的日子</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