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ئەندامى دانيال — يۈز قىرىق سەككىزىنچىسى</w:t>
      </w:r>
    </w:p>
    <w:p>
      <w:pPr>
        <w:pStyle w:val="ArticleSubtitle"/>
        <w:jc w:val="left"/>
      </w:pPr>
      <w:r>
        <w:rPr>
          <w:rFonts w:ascii="Nirmala UI" w:hAnsi="Nirmala UI" w:eastAsia="Nirmala UI" w:cs="Nirmala UI"/>
        </w:rPr>
        <w:t>ᱦᱟᱵᱟᱠᱠᱩᱠᱟᱹ</w:t>
      </w:r>
      <w:r>
        <w:rPr>
          <w:rFonts w:ascii="Arial" w:hAnsi="Arial" w:eastAsia="Arial" w:cs="Arial"/>
        </w:rPr>
        <w:t xml:space="preserve"> </w:t>
      </w:r>
      <w:r>
        <w:rPr>
          <w:rFonts w:ascii="Nirmala UI" w:hAnsi="Nirmala UI" w:eastAsia="Nirmala UI" w:cs="Nirmala UI"/>
        </w:rPr>
        <w:t>ᱨᱮᱱ</w:t>
      </w:r>
      <w:r>
        <w:rPr>
          <w:rFonts w:ascii="Arial" w:hAnsi="Arial" w:eastAsia="Arial" w:cs="Arial"/>
        </w:rPr>
        <w:t xml:space="preserve"> </w:t>
      </w:r>
      <w:r>
        <w:rPr>
          <w:rFonts w:ascii="Nirmala UI" w:hAnsi="Nirmala UI" w:eastAsia="Nirmala UI" w:cs="Nirmala UI"/>
        </w:rPr>
        <w:t>ᱫᱟᱨᱥᱚᱱ</w:t>
      </w:r>
      <w:r>
        <w:rPr>
          <w:rFonts w:ascii="Arial" w:hAnsi="Arial" w:eastAsia="Arial" w:cs="Arial"/>
        </w:rPr>
        <w:t xml:space="preserve"> </w:t>
      </w:r>
      <w:r>
        <w:rPr>
          <w:rFonts w:ascii="Nirmala UI" w:hAnsi="Nirmala UI" w:eastAsia="Nirmala UI" w:cs="Nirmala UI"/>
        </w:rPr>
        <w:t>ᱟᱨ</w:t>
      </w:r>
      <w:r>
        <w:rPr>
          <w:rFonts w:ascii="Arial" w:hAnsi="Arial" w:eastAsia="Arial" w:cs="Arial"/>
        </w:rPr>
        <w:t xml:space="preserve"> </w:t>
      </w:r>
      <w:r>
        <w:rPr>
          <w:rFonts w:ascii="Nirmala UI" w:hAnsi="Nirmala UI" w:eastAsia="Nirmala UI" w:cs="Nirmala UI"/>
        </w:rPr>
        <w:t>ᱢᱤᱞᱞᱟᱨ</w:t>
      </w:r>
      <w:r>
        <w:rPr>
          <w:rFonts w:ascii="Arial" w:hAnsi="Arial" w:eastAsia="Arial" w:cs="Arial"/>
        </w:rPr>
        <w:t xml:space="preserve"> </w:t>
      </w:r>
      <w:r>
        <w:rPr>
          <w:rFonts w:ascii="Nirmala UI" w:hAnsi="Nirmala UI" w:eastAsia="Nirmala UI" w:cs="Nirmala UI"/>
        </w:rPr>
        <w:t>ᱨᱮᱱ</w:t>
      </w:r>
      <w:r>
        <w:rPr>
          <w:rFonts w:ascii="Arial" w:hAnsi="Arial" w:eastAsia="Arial" w:cs="Arial"/>
        </w:rPr>
        <w:t xml:space="preserve"> </w:t>
      </w:r>
      <w:r>
        <w:rPr>
          <w:rFonts w:ascii="Nirmala UI" w:hAnsi="Nirmala UI" w:eastAsia="Nirmala UI" w:cs="Nirmala UI"/>
        </w:rPr>
        <w:t>ᱥᱩᱯᱱᱟᱹ</w:t>
      </w:r>
      <w:r>
        <w:rPr>
          <w:rFonts w:ascii="Arial" w:hAnsi="Arial" w:eastAsia="Arial" w:cs="Arial"/>
        </w:rPr>
        <w:t xml:space="preserve">: </w:t>
      </w:r>
      <w:r>
        <w:rPr>
          <w:rFonts w:ascii="Nirmala UI" w:hAnsi="Nirmala UI" w:eastAsia="Nirmala UI" w:cs="Nirmala UI"/>
        </w:rPr>
        <w:t>ᱵᱷᱟᱵᱤᱥᱭᱚᱫᱽᱵᱟᱱᱤᱭᱟᱹ</w:t>
      </w:r>
      <w:r>
        <w:rPr>
          <w:rFonts w:ascii="Arial" w:hAnsi="Arial" w:eastAsia="Arial" w:cs="Arial"/>
        </w:rPr>
        <w:t xml:space="preserve"> </w:t>
      </w:r>
      <w:r>
        <w:rPr>
          <w:rFonts w:ascii="Nirmala UI" w:hAnsi="Nirmala UI" w:eastAsia="Nirmala UI" w:cs="Nirmala UI"/>
        </w:rPr>
        <w:t>ᱴᱮᱵᱩᱞᱠᱚ</w:t>
      </w:r>
      <w:r>
        <w:rPr>
          <w:rFonts w:ascii="Arial" w:hAnsi="Arial" w:eastAsia="Arial" w:cs="Arial"/>
        </w:rPr>
        <w:t xml:space="preserve"> </w:t>
      </w:r>
      <w:r>
        <w:rPr>
          <w:rFonts w:ascii="Nirmala UI" w:hAnsi="Nirmala UI" w:eastAsia="Nirmala UI" w:cs="Nirmala UI"/>
        </w:rPr>
        <w:t>ᱨᱮᱱ</w:t>
      </w:r>
      <w:r>
        <w:rPr>
          <w:rFonts w:ascii="Arial" w:hAnsi="Arial" w:eastAsia="Arial" w:cs="Arial"/>
        </w:rPr>
        <w:t xml:space="preserve"> </w:t>
      </w:r>
      <w:r>
        <w:rPr>
          <w:rFonts w:ascii="Nirmala UI" w:hAnsi="Nirmala UI" w:eastAsia="Nirmala UI" w:cs="Nirmala UI"/>
        </w:rPr>
        <w:t>ᱩᱫᱽᱜᱷᱟᱴᱚᱱ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Ulai Ñajumayu rikch’arisqan yachaypa yapakuyninmi, tukukuypi, Habacucpa iskay tablankunapi qillqasqa karqan.</w:t>
      </w:r>
    </w:p>
    <w:p>
      <w:pPr>
        <w:pStyle w:val="ArticleScripture"/>
        <w:jc w:val="left"/>
      </w:pPr>
      <w:r>
        <w:rPr>
          <w:rFonts w:ascii="Times New Roman" w:hAnsi="Times New Roman" w:eastAsia="Times New Roman" w:cs="Times New Roman"/>
        </w:rPr>
        <w:t>“</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अनिश्चितता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उत्कंठा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अनुकूल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धैर्यपूर्वक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प्रोत्साहित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अंधकारमय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«آنه‌نه ناوچەی پەیامەڕەکانی حەبەقووق 2:1–4 بوو: “لەسەر پاسەوانگاەکەم دەوەستم، و خۆم لەسەر قەڵاکە دادەنێم، و چاودێری دەکەم بۆ ئەوەی ببینم ئەو چی پێم دەفەرمووێت، و لە کاتی سەرزەنشتکردنم چی وەڵام بدەم. جا یەزدان وەڵامی دامەوە و فەرمووی: بینینەکە بنووسە، و لەسەر تەختەکان بە ڕوونی بنووسە، بۆ ئەوەی ئەوەی دەیخوێنێت بە خێرایی بڕوات. چونکە ئەم بینینە هێشتا بۆ کاتێکی دیاریکراوە، بەڵام لە کۆتایییدا دەدوێت و درۆ ناکات: ئەگەر دواکەوت، چاوەڕێی بکە؛ چونکە بە دڵنیایی دێت، دواتر ناکەوێت. ئاگاداربە، ئەو کەسەی گیانی بەرزبووەتەوە، لە ناوخۆیدا ڕاست نییە؛ بەڵام ئادڵ بە باوەڕی خۆی دەژیێت.”»</w:t>
      </w:r>
    </w:p>
    <w:p>
      <w:pPr>
        <w:pStyle w:val="ArticleScripture"/>
        <w:jc w:val="left"/>
      </w:pPr>
      <w:r>
        <w:rPr>
          <w:rFonts w:ascii="Times New Roman" w:hAnsi="Times New Roman" w:eastAsia="Times New Roman" w:cs="Times New Roman"/>
        </w:rPr>
        <w:t>“</w:t>
      </w:r>
      <w:r>
        <w:rPr>
          <w:rFonts w:ascii="Nirmala UI" w:hAnsi="Nirmala UI" w:eastAsia="Nirmala UI" w:cs="Nirmala UI"/>
        </w:rPr>
        <w:t>निजी</w:t>
      </w:r>
      <w:r>
        <w:rPr>
          <w:rFonts w:ascii="Times New Roman" w:hAnsi="Times New Roman" w:eastAsia="Times New Roman" w:cs="Times New Roman"/>
        </w:rPr>
        <w:t xml:space="preserve"> 1842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अगोरकी</w:t>
      </w:r>
      <w:r>
        <w:rPr>
          <w:rFonts w:ascii="Times New Roman" w:hAnsi="Times New Roman" w:eastAsia="Times New Roman" w:cs="Times New Roman"/>
        </w:rPr>
        <w:t xml:space="preserve"> </w:t>
      </w:r>
      <w:r>
        <w:rPr>
          <w:rFonts w:ascii="Nirmala UI" w:hAnsi="Nirmala UI" w:eastAsia="Nirmala UI" w:cs="Nirmala UI"/>
        </w:rPr>
        <w:t>हेचक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ओल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टाबुलको</w:t>
      </w:r>
      <w:r>
        <w:rPr>
          <w:rFonts w:ascii="Times New Roman" w:hAnsi="Times New Roman" w:eastAsia="Times New Roman" w:cs="Times New Roman"/>
        </w:rPr>
        <w:t xml:space="preserve"> </w:t>
      </w:r>
      <w:r>
        <w:rPr>
          <w:rFonts w:ascii="Nirmala UI" w:hAnsi="Nirmala UI" w:eastAsia="Nirmala UI" w:cs="Nirmala UI"/>
        </w:rPr>
        <w:t>चेतान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उडुके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एनेन</w:t>
      </w:r>
      <w:r>
        <w:rPr>
          <w:rFonts w:ascii="Times New Roman" w:hAnsi="Times New Roman" w:eastAsia="Times New Roman" w:cs="Times New Roman"/>
        </w:rPr>
        <w:t xml:space="preserve"> </w:t>
      </w:r>
      <w:r>
        <w:rPr>
          <w:rFonts w:ascii="Nirmala UI" w:hAnsi="Nirmala UI" w:eastAsia="Nirmala UI" w:cs="Nirmala UI"/>
        </w:rPr>
        <w:t>ओल</w:t>
      </w:r>
      <w:r>
        <w:rPr>
          <w:rFonts w:ascii="Times New Roman" w:hAnsi="Times New Roman" w:eastAsia="Times New Roman" w:cs="Times New Roman"/>
        </w:rPr>
        <w:t xml:space="preserve"> </w:t>
      </w:r>
      <w:r>
        <w:rPr>
          <w:rFonts w:ascii="Nirmala UI" w:hAnsi="Nirmala UI" w:eastAsia="Nirmala UI" w:cs="Nirmala UI"/>
        </w:rPr>
        <w:t>पाड़ाव</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होड़</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दाड़ेयाक्</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एटाकाद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प्रोफेसी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एमाकाना</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चार्ल्स</w:t>
      </w:r>
      <w:r>
        <w:rPr>
          <w:rFonts w:ascii="Times New Roman" w:hAnsi="Times New Roman" w:eastAsia="Times New Roman" w:cs="Times New Roman"/>
        </w:rPr>
        <w:t xml:space="preserve"> </w:t>
      </w:r>
      <w:r>
        <w:rPr>
          <w:rFonts w:ascii="Nirmala UI" w:hAnsi="Nirmala UI" w:eastAsia="Nirmala UI" w:cs="Nirmala UI"/>
        </w:rPr>
        <w:t>फिच</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रेवेलेशन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दर्शनको</w:t>
      </w:r>
      <w:r>
        <w:rPr>
          <w:rFonts w:ascii="Times New Roman" w:hAnsi="Times New Roman" w:eastAsia="Times New Roman" w:cs="Times New Roman"/>
        </w:rPr>
        <w:t xml:space="preserve"> </w:t>
      </w:r>
      <w:r>
        <w:rPr>
          <w:rFonts w:ascii="Nirmala UI" w:hAnsi="Nirmala UI" w:eastAsia="Nirmala UI" w:cs="Nirmala UI"/>
        </w:rPr>
        <w:t>उडुके</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करा़व</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उसकुरिञा।</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होचोयाकाना</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एमाकाना</w:t>
      </w:r>
      <w:r>
        <w:rPr>
          <w:rFonts w:ascii="Times New Roman" w:hAnsi="Times New Roman" w:eastAsia="Times New Roman" w:cs="Times New Roman"/>
        </w:rPr>
        <w:t xml:space="preserve"> </w:t>
      </w:r>
      <w:r>
        <w:rPr>
          <w:rFonts w:ascii="Nirmala UI" w:hAnsi="Nirmala UI" w:eastAsia="Nirmala UI" w:cs="Nirmala UI"/>
        </w:rPr>
        <w:t>हुकुम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होचोयाकाना</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होचोयाकाना।</w:t>
      </w:r>
      <w:r>
        <w:rPr>
          <w:rFonts w:ascii="Times New Roman" w:hAnsi="Times New Roman" w:eastAsia="Times New Roman" w:cs="Times New Roman"/>
        </w:rPr>
        <w:t xml:space="preserve"> </w:t>
      </w:r>
      <w:r>
        <w:rPr>
          <w:rFonts w:ascii="Nirmala UI" w:hAnsi="Nirmala UI" w:eastAsia="Nirmala UI" w:cs="Nirmala UI"/>
        </w:rPr>
        <w:t>मेनखान</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जाहांय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एटा</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लेदा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देताकाना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होचोयाकाना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थाबड़ाव</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एनेन</w:t>
      </w:r>
      <w:r>
        <w:rPr>
          <w:rFonts w:ascii="Times New Roman" w:hAnsi="Times New Roman" w:eastAsia="Times New Roman" w:cs="Times New Roman"/>
        </w:rPr>
        <w:t xml:space="preserve"> </w:t>
      </w:r>
      <w:r>
        <w:rPr>
          <w:rFonts w:ascii="Nirmala UI" w:hAnsi="Nirmala UI" w:eastAsia="Nirmala UI" w:cs="Nirmala UI"/>
        </w:rPr>
        <w:t>प्रोफेसी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 xml:space="preserve"> </w:t>
      </w:r>
      <w:r>
        <w:rPr>
          <w:rFonts w:ascii="Nirmala UI" w:hAnsi="Nirmala UI" w:eastAsia="Nirmala UI" w:cs="Nirmala UI"/>
        </w:rPr>
        <w:t>दारायाकाना।</w:t>
      </w:r>
      <w:r>
        <w:rPr>
          <w:rFonts w:ascii="Times New Roman" w:hAnsi="Times New Roman" w:eastAsia="Times New Roman" w:cs="Times New Roman"/>
        </w:rPr>
        <w:t xml:space="preserve"> </w:t>
      </w:r>
      <w:r>
        <w:rPr>
          <w:rFonts w:ascii="Nirmala UI" w:hAnsi="Nirmala UI" w:eastAsia="Nirmala UI" w:cs="Nirmala UI"/>
        </w:rPr>
        <w:t>निरास</w:t>
      </w:r>
      <w:r>
        <w:rPr>
          <w:rFonts w:ascii="Times New Roman" w:hAnsi="Times New Roman" w:eastAsia="Times New Roman" w:cs="Times New Roman"/>
        </w:rPr>
        <w:t xml:space="preserve"> </w:t>
      </w:r>
      <w:r>
        <w:rPr>
          <w:rFonts w:ascii="Nirmala UI" w:hAnsi="Nirmala UI" w:eastAsia="Nirmala UI" w:cs="Nirmala UI"/>
        </w:rPr>
        <w:t>होचोयाकाना</w:t>
      </w:r>
      <w:r>
        <w:rPr>
          <w:rFonts w:ascii="Times New Roman" w:hAnsi="Times New Roman" w:eastAsia="Times New Roman" w:cs="Times New Roman"/>
        </w:rPr>
        <w:t xml:space="preserve"> </w:t>
      </w:r>
      <w:r>
        <w:rPr>
          <w:rFonts w:ascii="Nirmala UI" w:hAnsi="Nirmala UI" w:eastAsia="Nirmala UI" w:cs="Nirmala UI"/>
        </w:rPr>
        <w:t>तायोम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शास्त्र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महत्त्व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होचोयाना</w:t>
      </w:r>
      <w:r>
        <w:rPr>
          <w:rFonts w:ascii="Times New Roman" w:hAnsi="Times New Roman" w:eastAsia="Times New Roman" w:cs="Times New Roman"/>
        </w:rPr>
        <w:t>: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ठहरा़वाकाना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मेनखान</w:t>
      </w:r>
      <w:r>
        <w:rPr>
          <w:rFonts w:ascii="Times New Roman" w:hAnsi="Times New Roman" w:eastAsia="Times New Roman" w:cs="Times New Roman"/>
        </w:rPr>
        <w:t xml:space="preserve"> </w:t>
      </w:r>
      <w:r>
        <w:rPr>
          <w:rFonts w:ascii="Nirmala UI" w:hAnsi="Nirmala UI" w:eastAsia="Nirmala UI" w:cs="Nirmala UI"/>
        </w:rPr>
        <w:t>मुचा़त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चेदाक्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निश्चयते</w:t>
      </w:r>
      <w:r>
        <w:rPr>
          <w:rFonts w:ascii="Times New Roman" w:hAnsi="Times New Roman" w:eastAsia="Times New Roman" w:cs="Times New Roman"/>
        </w:rPr>
        <w:t xml:space="preserve"> </w:t>
      </w:r>
      <w:r>
        <w:rPr>
          <w:rFonts w:ascii="Nirmala UI" w:hAnsi="Nirmala UI" w:eastAsia="Nirmala UI" w:cs="Nirmala UI"/>
        </w:rPr>
        <w:t>हिजुःआ</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होड़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बिसवास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जिउया़।</w:t>
      </w:r>
      <w:r>
        <w:rPr>
          <w:rFonts w:ascii="Times New Roman" w:hAnsi="Times New Roman" w:eastAsia="Times New Roman" w:cs="Times New Roman"/>
        </w:rPr>
        <w:t>’ The Great Controversy, 391, 392.”</w:t>
      </w:r>
    </w:p>
    <w:p>
      <w:pPr>
        <w:pStyle w:val="ArticleBody"/>
        <w:jc w:val="left"/>
      </w:pP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የዕንባቆም</w:t>
      </w:r>
      <w:r>
        <w:rPr>
          <w:rFonts w:ascii="Times New Roman" w:hAnsi="Times New Roman" w:eastAsia="Times New Roman" w:cs="Times New Roman"/>
        </w:rPr>
        <w:t xml:space="preserve"> </w:t>
      </w:r>
      <w:r>
        <w:rPr>
          <w:rFonts w:ascii="Ebrima" w:hAnsi="Ebrima" w:eastAsia="Ebrima" w:cs="Ebrima"/>
        </w:rPr>
        <w:t>ጽላቶች</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ቅዱሳዊ</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ለማቋቋም</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መቀራረብ</w:t>
      </w:r>
      <w:r>
        <w:rPr>
          <w:rFonts w:ascii="Times New Roman" w:hAnsi="Times New Roman" w:eastAsia="Times New Roman" w:cs="Times New Roman"/>
        </w:rPr>
        <w:t xml:space="preserve"> </w:t>
      </w:r>
      <w:r>
        <w:rPr>
          <w:rFonts w:ascii="Ebrima" w:hAnsi="Ebrima" w:eastAsia="Ebrima" w:cs="Ebrima"/>
        </w:rPr>
        <w:t>አለባቸው።</w:t>
      </w:r>
    </w:p>
    <w:p>
      <w:pPr>
        <w:pStyle w:val="ArticleScripture"/>
        <w:jc w:val="left"/>
      </w:pPr>
      <w:r>
        <w:rPr>
          <w:rFonts w:ascii="Times New Roman" w:hAnsi="Times New Roman" w:eastAsia="Times New Roman" w:cs="Times New Roman"/>
        </w:rPr>
        <w:t>Naxa ak böggul la, andal ak moom benn walla ñaar yu ci des, ngir ci gémmiñu ñaar walla ñetti seede lépp lu waxees di dëgër. Màttye 8:16.</w:t>
      </w:r>
    </w:p>
    <w:p>
      <w:pPr>
        <w:pStyle w:val="ArticleBody"/>
        <w:jc w:val="left"/>
      </w:pP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హబక్కూకు</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పలకలు</w:t>
      </w:r>
      <w:r>
        <w:rPr>
          <w:rFonts w:ascii="Times New Roman" w:hAnsi="Times New Roman" w:eastAsia="Times New Roman" w:cs="Times New Roman"/>
        </w:rPr>
        <w:t xml:space="preserve"> (1843 </w:t>
      </w:r>
      <w:r>
        <w:rPr>
          <w:rFonts w:ascii="Nirmala UI" w:hAnsi="Nirmala UI" w:eastAsia="Nirmala UI" w:cs="Nirmala UI"/>
        </w:rPr>
        <w:t>మరియు</w:t>
      </w:r>
      <w:r>
        <w:rPr>
          <w:rFonts w:ascii="Times New Roman" w:hAnsi="Times New Roman" w:eastAsia="Times New Roman" w:cs="Times New Roman"/>
        </w:rPr>
        <w:t xml:space="preserve"> 1850 </w:t>
      </w:r>
      <w:r>
        <w:rPr>
          <w:rFonts w:ascii="Nirmala UI" w:hAnsi="Nirmala UI" w:eastAsia="Nirmala UI" w:cs="Nirmala UI"/>
        </w:rPr>
        <w:t>పయనీరుల</w:t>
      </w:r>
      <w:r>
        <w:rPr>
          <w:rFonts w:ascii="Times New Roman" w:hAnsi="Times New Roman" w:eastAsia="Times New Roman" w:cs="Times New Roman"/>
        </w:rPr>
        <w:t xml:space="preserve"> </w:t>
      </w:r>
      <w:r>
        <w:rPr>
          <w:rFonts w:ascii="Nirmala UI" w:hAnsi="Nirmala UI" w:eastAsia="Nirmala UI" w:cs="Nirmala UI"/>
        </w:rPr>
        <w:t>చార్టులు</w:t>
      </w:r>
      <w:r>
        <w:rPr>
          <w:rFonts w:ascii="Times New Roman" w:hAnsi="Times New Roman" w:eastAsia="Times New Roman" w:cs="Times New Roman"/>
        </w:rPr>
        <w:t xml:space="preserve">) </w:t>
      </w:r>
      <w:r>
        <w:rPr>
          <w:rFonts w:ascii="Nirmala UI" w:hAnsi="Nirmala UI" w:eastAsia="Nirmala UI" w:cs="Nirmala UI"/>
        </w:rPr>
        <w:t>ఒకదానిపై</w:t>
      </w:r>
      <w:r>
        <w:rPr>
          <w:rFonts w:ascii="Times New Roman" w:hAnsi="Times New Roman" w:eastAsia="Times New Roman" w:cs="Times New Roman"/>
        </w:rPr>
        <w:t xml:space="preserve"> </w:t>
      </w:r>
      <w:r>
        <w:rPr>
          <w:rFonts w:ascii="Nirmala UI" w:hAnsi="Nirmala UI" w:eastAsia="Nirmala UI" w:cs="Nirmala UI"/>
        </w:rPr>
        <w:t>మరొకటి</w:t>
      </w:r>
      <w:r>
        <w:rPr>
          <w:rFonts w:ascii="Times New Roman" w:hAnsi="Times New Roman" w:eastAsia="Times New Roman" w:cs="Times New Roman"/>
        </w:rPr>
        <w:t xml:space="preserve"> </w:t>
      </w:r>
      <w:r>
        <w:rPr>
          <w:rFonts w:ascii="Nirmala UI" w:hAnsi="Nirmala UI" w:eastAsia="Nirmala UI" w:cs="Nirmala UI"/>
        </w:rPr>
        <w:t>ఉంచబడినప్పుడు</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మిల్లర్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స్వప్నంలోని</w:t>
      </w:r>
      <w:r>
        <w:rPr>
          <w:rFonts w:ascii="Times New Roman" w:hAnsi="Times New Roman" w:eastAsia="Times New Roman" w:cs="Times New Roman"/>
        </w:rPr>
        <w:t xml:space="preserve"> “</w:t>
      </w:r>
      <w:r>
        <w:rPr>
          <w:rFonts w:ascii="Nirmala UI" w:hAnsi="Nirmala UI" w:eastAsia="Nirmala UI" w:cs="Nirmala UI"/>
        </w:rPr>
        <w:t>రత్నములు</w:t>
      </w:r>
      <w:r>
        <w:rPr>
          <w:rFonts w:ascii="Times New Roman" w:hAnsi="Times New Roman" w:eastAsia="Times New Roman" w:cs="Times New Roman"/>
        </w:rPr>
        <w:t xml:space="preserve">” </w:t>
      </w:r>
      <w:r>
        <w:rPr>
          <w:rFonts w:ascii="Nirmala UI" w:hAnsi="Nirmala UI" w:eastAsia="Nirmala UI" w:cs="Nirmala UI"/>
        </w:rPr>
        <w:t>అయిన</w:t>
      </w:r>
      <w:r>
        <w:rPr>
          <w:rFonts w:ascii="Times New Roman" w:hAnsi="Times New Roman" w:eastAsia="Times New Roman" w:cs="Times New Roman"/>
        </w:rPr>
        <w:t xml:space="preserve"> </w:t>
      </w:r>
      <w:r>
        <w:rPr>
          <w:rFonts w:ascii="Nirmala UI" w:hAnsi="Nirmala UI" w:eastAsia="Nirmala UI" w:cs="Nirmala UI"/>
        </w:rPr>
        <w:t>సత్యాలను</w:t>
      </w:r>
      <w:r>
        <w:rPr>
          <w:rFonts w:ascii="Times New Roman" w:hAnsi="Times New Roman" w:eastAsia="Times New Roman" w:cs="Times New Roman"/>
        </w:rPr>
        <w:t xml:space="preserve"> </w:t>
      </w:r>
      <w:r>
        <w:rPr>
          <w:rFonts w:ascii="Nirmala UI" w:hAnsi="Nirmala UI" w:eastAsia="Nirmala UI" w:cs="Nirmala UI"/>
        </w:rPr>
        <w:t>స్థిరపరుస్తాయి</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పలకపై</w:t>
      </w:r>
      <w:r>
        <w:rPr>
          <w:rFonts w:ascii="Times New Roman" w:hAnsi="Times New Roman" w:eastAsia="Times New Roman" w:cs="Times New Roman"/>
        </w:rPr>
        <w:t xml:space="preserve"> </w:t>
      </w:r>
      <w:r>
        <w:rPr>
          <w:rFonts w:ascii="Nirmala UI" w:hAnsi="Nirmala UI" w:eastAsia="Nirmala UI" w:cs="Nirmala UI"/>
        </w:rPr>
        <w:t>సూచించబడిన</w:t>
      </w:r>
      <w:r>
        <w:rPr>
          <w:rFonts w:ascii="Times New Roman" w:hAnsi="Times New Roman" w:eastAsia="Times New Roman" w:cs="Times New Roman"/>
        </w:rPr>
        <w:t xml:space="preserve"> 1843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పొరపాటు</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పలకతో</w:t>
      </w:r>
      <w:r>
        <w:rPr>
          <w:rFonts w:ascii="Times New Roman" w:hAnsi="Times New Roman" w:eastAsia="Times New Roman" w:cs="Times New Roman"/>
        </w:rPr>
        <w:t xml:space="preserve"> </w:t>
      </w:r>
      <w:r>
        <w:rPr>
          <w:rFonts w:ascii="Nirmala UI" w:hAnsi="Nirmala UI" w:eastAsia="Nirmala UI" w:cs="Nirmala UI"/>
        </w:rPr>
        <w:t>ఒకదానిపై</w:t>
      </w:r>
      <w:r>
        <w:rPr>
          <w:rFonts w:ascii="Times New Roman" w:hAnsi="Times New Roman" w:eastAsia="Times New Roman" w:cs="Times New Roman"/>
        </w:rPr>
        <w:t xml:space="preserve"> </w:t>
      </w:r>
      <w:r>
        <w:rPr>
          <w:rFonts w:ascii="Nirmala UI" w:hAnsi="Nirmala UI" w:eastAsia="Nirmala UI" w:cs="Nirmala UI"/>
        </w:rPr>
        <w:t>మరొకటి</w:t>
      </w:r>
      <w:r>
        <w:rPr>
          <w:rFonts w:ascii="Times New Roman" w:hAnsi="Times New Roman" w:eastAsia="Times New Roman" w:cs="Times New Roman"/>
        </w:rPr>
        <w:t xml:space="preserve"> </w:t>
      </w:r>
      <w:r>
        <w:rPr>
          <w:rFonts w:ascii="Nirmala UI" w:hAnsi="Nirmala UI" w:eastAsia="Nirmala UI" w:cs="Nirmala UI"/>
        </w:rPr>
        <w:t>ఉంచబడినప్పుడు</w:t>
      </w:r>
      <w:r>
        <w:rPr>
          <w:rFonts w:ascii="Times New Roman" w:hAnsi="Times New Roman" w:eastAsia="Times New Roman" w:cs="Times New Roman"/>
        </w:rPr>
        <w:t xml:space="preserve">, </w:t>
      </w:r>
      <w:r>
        <w:rPr>
          <w:rFonts w:ascii="Nirmala UI" w:hAnsi="Nirmala UI" w:eastAsia="Nirmala UI" w:cs="Nirmala UI"/>
        </w:rPr>
        <w:t>దర్శనంలోని</w:t>
      </w:r>
      <w:r>
        <w:rPr>
          <w:rFonts w:ascii="Times New Roman" w:hAnsi="Times New Roman" w:eastAsia="Times New Roman" w:cs="Times New Roman"/>
        </w:rPr>
        <w:t xml:space="preserve"> “</w:t>
      </w:r>
      <w:r>
        <w:rPr>
          <w:rFonts w:ascii="Nirmala UI" w:hAnsi="Nirmala UI" w:eastAsia="Nirmala UI" w:cs="Nirmala UI"/>
        </w:rPr>
        <w:t>తడవు</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స్థాపిస్తుంది</w:t>
      </w:r>
      <w:r>
        <w:rPr>
          <w:rFonts w:ascii="Times New Roman" w:hAnsi="Times New Roman" w:eastAsia="Times New Roman" w:cs="Times New Roman"/>
        </w:rPr>
        <w:t xml:space="preserve">. </w:t>
      </w:r>
      <w:r>
        <w:rPr>
          <w:rFonts w:ascii="Nirmala UI" w:hAnsi="Nirmala UI" w:eastAsia="Nirmala UI" w:cs="Nirmala UI"/>
        </w:rPr>
        <w:t>మిల్లర్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సంకేతాత్మక</w:t>
      </w:r>
      <w:r>
        <w:rPr>
          <w:rFonts w:ascii="Times New Roman" w:hAnsi="Times New Roman" w:eastAsia="Times New Roman" w:cs="Times New Roman"/>
        </w:rPr>
        <w:t xml:space="preserve"> </w:t>
      </w:r>
      <w:r>
        <w:rPr>
          <w:rFonts w:ascii="Nirmala UI" w:hAnsi="Nirmala UI" w:eastAsia="Nirmala UI" w:cs="Nirmala UI"/>
        </w:rPr>
        <w:t>కాపలాదారుడు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జరిగిన</w:t>
      </w:r>
      <w:r>
        <w:rPr>
          <w:rFonts w:ascii="Times New Roman" w:hAnsi="Times New Roman" w:eastAsia="Times New Roman" w:cs="Times New Roman"/>
        </w:rPr>
        <w:t xml:space="preserve"> </w:t>
      </w:r>
      <w:r>
        <w:rPr>
          <w:rFonts w:ascii="Nirmala UI" w:hAnsi="Nirmala UI" w:eastAsia="Nirmala UI" w:cs="Nirmala UI"/>
        </w:rPr>
        <w:t>వాదవివాద</w:t>
      </w:r>
      <w:r>
        <w:rPr>
          <w:rFonts w:ascii="Times New Roman" w:hAnsi="Times New Roman" w:eastAsia="Times New Roman" w:cs="Times New Roman"/>
        </w:rPr>
        <w:t xml:space="preserve"> </w:t>
      </w:r>
      <w:r>
        <w:rPr>
          <w:rFonts w:ascii="Nirmala UI" w:hAnsi="Nirmala UI" w:eastAsia="Nirmala UI" w:cs="Nirmala UI"/>
        </w:rPr>
        <w:t>సమయములో</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ఏమి</w:t>
      </w:r>
      <w:r>
        <w:rPr>
          <w:rFonts w:ascii="Times New Roman" w:hAnsi="Times New Roman" w:eastAsia="Times New Roman" w:cs="Times New Roman"/>
        </w:rPr>
        <w:t xml:space="preserve"> </w:t>
      </w:r>
      <w:r>
        <w:rPr>
          <w:rFonts w:ascii="Nirmala UI" w:hAnsi="Nirmala UI" w:eastAsia="Nirmala UI" w:cs="Nirmala UI"/>
        </w:rPr>
        <w:t>చెప్పవలెనని</w:t>
      </w:r>
      <w:r>
        <w:rPr>
          <w:rFonts w:ascii="Times New Roman" w:hAnsi="Times New Roman" w:eastAsia="Times New Roman" w:cs="Times New Roman"/>
        </w:rPr>
        <w:t xml:space="preserve"> </w:t>
      </w:r>
      <w:r>
        <w:rPr>
          <w:rFonts w:ascii="Nirmala UI" w:hAnsi="Nirmala UI" w:eastAsia="Nirmala UI" w:cs="Nirmala UI"/>
        </w:rPr>
        <w:t>అడిగెను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Nayaxa nayanakañ taypiruw sayt’ä, torre patxarusti sayt’asaw uñch’ukiskä what he will say unto me, ukhamarak kunsa nayajj kutt’ayañäni kunapachatï nayar cheqañchaskitäna ukhajja. Habacuc 2:1.</w:t>
      </w:r>
    </w:p>
    <w:p>
      <w:pPr>
        <w:pStyle w:val="ArticleBody"/>
        <w:jc w:val="left"/>
      </w:pPr>
      <w:r>
        <w:rPr>
          <w:rFonts w:ascii="Times New Roman" w:hAnsi="Times New Roman" w:eastAsia="Times New Roman" w:cs="Times New Roman"/>
        </w:rPr>
        <w:t>Rabbiin Milleri mul’ata barreessuuf isa ajaje; innis abjuu isaa keessatti saanduqa mul’ata sana qabate sana kutaa isaa gidduutti minjaala irra kaa’e.</w:t>
      </w:r>
    </w:p>
    <w:p>
      <w:pPr>
        <w:pStyle w:val="ArticleScripture"/>
        <w:jc w:val="left"/>
      </w:pPr>
      <w:r>
        <w:rPr>
          <w:rFonts w:ascii="Times New Roman" w:hAnsi="Times New Roman" w:eastAsia="Times New Roman" w:cs="Times New Roman"/>
        </w:rPr>
        <w:t>ئەمەش پەروەردگار وەڵامی دامەوە و فەرمووی: «بینینەکە بنووسە و لەسەر تەختەکان بە ڕوونی بیخە، تاکو ئەوەی دەیخوێنێتەوە بە خێرایی ڕابکات.» حەبەقوق 2:2.</w:t>
      </w:r>
    </w:p>
    <w:p>
      <w:pPr>
        <w:pStyle w:val="ArticleBody"/>
        <w:jc w:val="left"/>
      </w:pP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तालिकाएँ</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Karena penglihatan itu masih menanti waktu yang telah ditetapkan, tetapi pada akhirnya itu akan berbicara, dan tidak berdusta; sekalipun itu berlambat-lambat, nantikanlah itu; sebab itu pasti akan datang, itu tidak akan berlambat-lambat. Habakuk 2:3.</w:t>
      </w:r>
    </w:p>
    <w:p>
      <w:pPr>
        <w:pStyle w:val="ArticleBody"/>
        <w:jc w:val="left"/>
      </w:pPr>
      <w:r>
        <w:rPr>
          <w:rFonts w:ascii="Times New Roman" w:hAnsi="Times New Roman" w:eastAsia="Times New Roman" w:cs="Times New Roman"/>
        </w:rPr>
        <w:t>Hukmi biyu waɗanda ake bayyanawa bisa ga ƙaruwa cikin ilimi ne ake wakilta a nan.</w:t>
      </w:r>
    </w:p>
    <w:p>
      <w:pPr>
        <w:pStyle w:val="ArticleScripture"/>
        <w:jc w:val="left"/>
      </w:pPr>
      <w:r>
        <w:rPr>
          <w:rFonts w:ascii="Times New Roman" w:hAnsi="Times New Roman" w:eastAsia="Times New Roman" w:cs="Times New Roman"/>
        </w:rPr>
        <w:t>Aña, isam almajj jachʼat tʼaqhisita, janiw cheqaparukïkiti jupan taypinxa; ukampis cheqapar jaqix iyawsäwipampiw jakani. Habacuc 2:4.</w:t>
      </w:r>
    </w:p>
    <w:p>
      <w:pPr>
        <w:pStyle w:val="ArticleBody"/>
        <w:jc w:val="left"/>
      </w:pPr>
      <w:r>
        <w:rPr>
          <w:rFonts w:ascii="Times New Roman" w:hAnsi="Times New Roman" w:eastAsia="Times New Roman" w:cs="Times New Roman"/>
        </w:rPr>
        <w:t>ئىبادەت قىلغۇچىلارنىڭ ئىككى تۈرى دانىيال كىتابىنىڭ ئون ئىككىنچى بابىدىكى سىناق جەريانى ئارقىلىق ئاشكارا بولىدۇ.</w:t>
      </w:r>
    </w:p>
    <w:p>
      <w:pPr>
        <w:pStyle w:val="ArticleScripture"/>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क्यूँजो</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ताईं</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रहण</w:t>
      </w:r>
      <w:r>
        <w:rPr>
          <w:rFonts w:ascii="Times New Roman" w:hAnsi="Times New Roman" w:eastAsia="Times New Roman" w:cs="Times New Roman"/>
        </w:rPr>
        <w:t xml:space="preserve"> </w:t>
      </w:r>
      <w:r>
        <w:rPr>
          <w:rFonts w:ascii="Nirmala UI" w:hAnsi="Nirmala UI" w:eastAsia="Nirmala UI" w:cs="Nirmala UI"/>
        </w:rPr>
        <w:t>गल्लियां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बहुतेरे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जाणगे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उजले</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जाणगे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आजमाए</w:t>
      </w:r>
      <w:r>
        <w:rPr>
          <w:rFonts w:ascii="Times New Roman" w:hAnsi="Times New Roman" w:eastAsia="Times New Roman" w:cs="Times New Roman"/>
        </w:rPr>
        <w:t xml:space="preserve"> </w:t>
      </w:r>
      <w:r>
        <w:rPr>
          <w:rFonts w:ascii="Nirmala UI" w:hAnsi="Nirmala UI" w:eastAsia="Nirmala UI" w:cs="Nirmala UI"/>
        </w:rPr>
        <w:t>जाणगे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रहणगे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विच्चों</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समझणगे।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12:9, 10.</w:t>
      </w:r>
    </w:p>
    <w:p>
      <w:pPr>
        <w:pStyle w:val="ArticleBody"/>
        <w:jc w:val="left"/>
      </w:pP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ጥበበኞች</w:t>
      </w:r>
      <w:r>
        <w:rPr>
          <w:rFonts w:ascii="Times New Roman" w:hAnsi="Times New Roman" w:eastAsia="Times New Roman" w:cs="Times New Roman"/>
        </w:rPr>
        <w:t xml:space="preserve">” </w:t>
      </w:r>
      <w:r>
        <w:rPr>
          <w:rFonts w:ascii="Ebrima" w:hAnsi="Ebrima" w:eastAsia="Ebrima" w:cs="Ebrima"/>
        </w:rPr>
        <w:t>በማቴዎስ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በእምነት</w:t>
      </w:r>
      <w:r>
        <w:rPr>
          <w:rFonts w:ascii="Times New Roman" w:hAnsi="Times New Roman" w:eastAsia="Times New Roman" w:cs="Times New Roman"/>
        </w:rPr>
        <w:t xml:space="preserve"> </w:t>
      </w:r>
      <w:r>
        <w:rPr>
          <w:rFonts w:ascii="Ebrima" w:hAnsi="Ebrima" w:eastAsia="Ebrima" w:cs="Ebrima"/>
        </w:rPr>
        <w:t>የጸደቁት</w:t>
      </w:r>
      <w:r>
        <w:rPr>
          <w:rFonts w:ascii="Times New Roman" w:hAnsi="Times New Roman" w:eastAsia="Times New Roman" w:cs="Times New Roman"/>
        </w:rPr>
        <w:t xml:space="preserve"> </w:t>
      </w:r>
      <w:r>
        <w:rPr>
          <w:rFonts w:ascii="Ebrima" w:hAnsi="Ebrima" w:eastAsia="Ebrima" w:cs="Ebrima"/>
        </w:rPr>
        <w:t>ጥበበኛ</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ክፉዎችም</w:t>
      </w:r>
      <w:r>
        <w:rPr>
          <w:rFonts w:ascii="Times New Roman" w:hAnsi="Times New Roman" w:eastAsia="Times New Roman" w:cs="Times New Roman"/>
        </w:rPr>
        <w:t xml:space="preserve"> </w:t>
      </w:r>
      <w:r>
        <w:rPr>
          <w:rFonts w:ascii="Ebrima" w:hAnsi="Ebrima" w:eastAsia="Ebrima" w:cs="Ebrima"/>
        </w:rPr>
        <w:t>በትዕቢት</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የተደረጉት</w:t>
      </w:r>
      <w:r>
        <w:rPr>
          <w:rFonts w:ascii="Times New Roman" w:hAnsi="Times New Roman" w:eastAsia="Times New Roman" w:cs="Times New Roman"/>
        </w:rPr>
        <w:t xml:space="preserve"> </w:t>
      </w:r>
      <w:r>
        <w:rPr>
          <w:rFonts w:ascii="Ebrima" w:hAnsi="Ebrima" w:eastAsia="Ebrima" w:cs="Ebrima"/>
        </w:rPr>
        <w:t>ሞኞች</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በሚለር</w:t>
      </w:r>
      <w:r>
        <w:rPr>
          <w:rFonts w:ascii="Times New Roman" w:hAnsi="Times New Roman" w:eastAsia="Times New Roman" w:cs="Times New Roman"/>
        </w:rPr>
        <w:t xml:space="preserve"> </w:t>
      </w:r>
      <w:r>
        <w:rPr>
          <w:rFonts w:ascii="Ebrima" w:hAnsi="Ebrima" w:eastAsia="Ebrima" w:cs="Ebrima"/>
        </w:rPr>
        <w:t>ሕልም</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ዕንቁዎቹ</w:t>
      </w:r>
      <w:r>
        <w:rPr>
          <w:rFonts w:ascii="Times New Roman" w:hAnsi="Times New Roman" w:eastAsia="Times New Roman" w:cs="Times New Roman"/>
        </w:rPr>
        <w:t xml:space="preserve"> </w:t>
      </w:r>
      <w:r>
        <w:rPr>
          <w:rFonts w:ascii="Ebrima" w:hAnsi="Ebrima" w:eastAsia="Ebrima" w:cs="Ebrima"/>
        </w:rPr>
        <w:t>በአሥሩ</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ዘይት</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«خدا بی‌حرمت می‌گردد آنگاه که ما پیام‌هایی را که او برای ما می‌فرستد دریافت نمی‌کنیم. بدین‌سان ما آن روغنِ زرّین را که او می‌خواست در جان‌های ما فرو ریزد تا به کسانی که در تاریکی‌اند رسانیده شود، رد می‌کنیم. هنگامی که ندا دررسد: «اینک داماد می‌آید؛ بیرون آیید تا به استقبال او بروید»، آنان که روغن مقدّس را دریافت نکرده‌اند، و فیض مسیح را در دل‌های خود گرامی نداشته‌اند، مانند باکره‌های نادان خواهند یافت که برای ملاقاتِ خداوندِ خویش آماده نیستند. آنان در خود توانی برای به‌دست‌آوردن آن روغن ندارند، و زندگی‌شان تباه می‌گردد.» Review and Herald, July 20, 1897.</w:t>
      </w:r>
    </w:p>
    <w:p>
      <w:pPr>
        <w:pStyle w:val="ArticleBody"/>
        <w:jc w:val="left"/>
      </w:pPr>
      <w:r>
        <w:rPr>
          <w:rFonts w:ascii="Times New Roman" w:hAnsi="Times New Roman" w:eastAsia="Times New Roman" w:cs="Times New Roman"/>
        </w:rPr>
        <w:t>Miller-ipa qhipa urunakapan joyanakapaxa tunka kuti juk’ampi qhant’asipxaspäna, ukatxa tunka jakhusa yant’awi chimpuniwa, qhanasa ukhamarakiwa. Qhipa urunakapanxa, Miller-an samkañapa tukuyar uñacht’ayata, Habacuc-an tablapan qillqata chiqapa qhanaxa mä yant’äwi yatiyäwi utjayi, ukasti tunka tawaqanakan uñacht’äwipanxa Chika Aruman Arnaqäwipa sat yant’äwi yatiyäwiwa. Uka yant’awi lurawi xa millerita sarnaqäwin yant’awi lurawipa mayampi kutt’atawa, kunattixa tunka tawaqanakan uñacht’äwipaxa qhipa urunakapanxa aruta aruru mayampi phuqhasi.</w:t>
      </w:r>
    </w:p>
    <w:p>
      <w:pPr>
        <w:pStyle w:val="ArticleScripture"/>
        <w:jc w:val="left"/>
      </w:pPr>
      <w:r>
        <w:rPr>
          <w:rFonts w:ascii="Times New Roman" w:hAnsi="Times New Roman" w:eastAsia="Times New Roman" w:cs="Times New Roman"/>
        </w:rPr>
        <w:t>«Савазны санныг хойргалай зургалта жэшээндэ намайе олонтоо хандуулдаг; тэдэнэй табаниинь ухаатай, табаниинь тэнэг байба. Энэ жэшээ үгэ бүхэндөө хүртэл биелүүлэгдэһэншье, биелүүлэгдэхэшье байна, юуб гэбэл, энэ үе сагта тусхай хэрэглээтэй бөгөөд, гурбадахи элшэн тэнгэрэй мэдээсэлтэй адлигаар, биелүүлэгдэһэншье, сагай түгэсхэл хүрэтэр мүнөө үеын үнэн байһааршье байхал.» Review and Herald, August 19, 1890.</w:t>
      </w:r>
    </w:p>
    <w:p>
      <w:pPr>
        <w:pStyle w:val="ArticleBody"/>
        <w:jc w:val="left"/>
      </w:pPr>
      <w:r>
        <w:rPr>
          <w:rFonts w:ascii="Times New Roman" w:hAnsi="Times New Roman" w:eastAsia="Times New Roman" w:cs="Times New Roman"/>
        </w:rPr>
        <w:t>د میلر د خوب په پای کې به د ځنډ وخت تجربه په هماغه لفظي ډول تکرارېده، او د هغه ګاڼې به بیا د لمر څخه لس چنده ډېرې ځلېدې؛ په دې توګه دا څرګندېږي چې دغه ګاڼې د لسو پېغلو په تمثیل کې د وروستۍ ازموینې استازولي کوي. لس د ازموینې نښه ده، او د لسو ورځو په پای کې دانیال او هغه درې درانه سړي په بڼه تر هغو کسانو ډېر ښکلي او چاغ ښکارېدل چې د بابل خواړه یې خوړل. هغه مغرور کسان چې په حبقوق کې یاد شوي، د ایمان پر ځای په بې‌بنسټه جرأت ژوند کاوه، او د بابل خوی یې رامنځته کړ. د میلریتي تاریخ په بهیر کې هغوی د بابل لوڼې شوې، او په حبقوق کې د هغوی د خوی د پېژندلو لپاره له پاپیتوب څخه کار اخیستل شوی دی.</w:t>
      </w:r>
    </w:p>
    <w:p>
      <w:pPr>
        <w:pStyle w:val="ArticleScripture"/>
        <w:jc w:val="left"/>
      </w:pPr>
      <w:r>
        <w:rPr>
          <w:rFonts w:ascii="Times New Roman" w:hAnsi="Times New Roman" w:eastAsia="Times New Roman" w:cs="Times New Roman"/>
        </w:rPr>
        <w:t>اے دیکھ، اُس کی جان جو غرور سے پھولی ہوئی ہے، اُس میں راستی نہیں؛ لیکن صادق اپنے ایمان سے زندہ رہے گا۔ ہاں، چونکہ وہ مَے کے سبب سے حد سے بڑھتا ہے، وہ ایک مغرور آدمی ہے، نہ اپنے گھر میں ٹھہرتا ہے؛ وہ اپنی خواہش کو پاتال کی مانند وسیع کرتا ہے، اور موت کی مانند ہے، اور آسودہ نہیں ہو سکتا، بلکہ سب قوموں کو اپنے پاس جمع کرتا ہے، اور سب امتوں کو اپنے لیے ڈھیر کرتا ہے۔ کیا یہ سب اُس کے خلاف ایک مثل نہ کہیں گے، اور ایک طعن آمیز کہاوت نہ اٹھائیں گے، اور نہ کہیں گے، افسوس اُس پر جو اُس چیز کو بڑھاتا ہے جو اُس کی نہیں! کب تک؟ اور اُس پر جو اپنے اوپر گاڑی مٹی کا بوجھ لادتا ہے! کیا وہ جو تجھے کاٹیں گے ناگہاں نہ اٹھ کھڑے ہوں گے، اور وہ جو تجھے ستائیں گے بیدار نہ ہوں گے، اور تو اُن کے لیے لُوٹ نہ ٹھہرے گا؟ چونکہ تو نے بہت سی قوموں کو لُوٹا ہے، اس لیے لوگوں کا سارا بقیہ تجھے لُوٹے گا؛ آدمیوں کے خون کے سبب سے، اور زمین پر، اور شہر پر، اور اُس کے سب باشندوں پر کیے گئے ظلم کے باعث۔ حبقوق 2:4–8۔</w:t>
      </w:r>
    </w:p>
    <w:p>
      <w:pPr>
        <w:pStyle w:val="ArticleBody"/>
        <w:jc w:val="left"/>
      </w:pPr>
      <w:r>
        <w:rPr>
          <w:rFonts w:ascii="Times New Roman" w:hAnsi="Times New Roman" w:eastAsia="Times New Roman" w:cs="Times New Roman"/>
        </w:rPr>
        <w:t>Pangproseso nga pagsulay nga ginpahamtang sa mga ulay sang Mateo bente-singko nagaproduce sang isa ka hut-ong sang mga manugsimba nga nakadebelop sang karakter sang hari sang amihanan (ang kapapahan), nga amo man ang gahum nga “nangagaw sang madamo nga mga nasyon.”</w:t>
      </w:r>
    </w:p>
    <w:p>
      <w:pPr>
        <w:pStyle w:val="ArticleScripture"/>
        <w:jc w:val="left"/>
      </w:pPr>
      <w:r>
        <w:rPr>
          <w:rFonts w:ascii="Times New Roman" w:hAnsi="Times New Roman" w:eastAsia="Times New Roman" w:cs="Times New Roman"/>
        </w:rPr>
        <w:t>Thengpâin hian Lalpan a sawi a, “Ngai teh u, hmâr lam ram atangin mihringte an lo kal ang a, hnam ropui tak chu lei hmun hrang hrang atangin an lo kaihthawh ang. Anni chuan thal leh fiam an keng ang; an hmuhsitthlak hle a, lainatna an nei lo; an aw chu tuifinriat angin a ri ring ang; sakawr chungah an chuang ang, indonaa mite angin remruat takin, i chunga an inrâl ang, aw Zion fanu. Keini chuan an thangchhuahna thu kan hre tawh a; kan kutte chu an chak lo ta: mangangna chuan min tuah a, nu chhunga nau paih tuma natna angin min man. Loah chhuak suh u, kawngah kal suh u; hmélma chem a awm a, tihphahna chu kimkimin a awm. Aw ka mite fanu, buanpuan inkhâi la, vûi zingah inbual rawh; fapa pakhat chauh nei tana tahngaihna angin inngui rawh, rimawi takin vau rawh: a tichhettu chu thutthlengin kan chunga a lo thleng dawn si.” Jeremiah 6:22–26.</w:t>
      </w:r>
    </w:p>
    <w:p>
      <w:pPr>
        <w:pStyle w:val="ArticleBody"/>
        <w:jc w:val="left"/>
      </w:pP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የሐበቁቅ</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በእምነት</w:t>
      </w:r>
      <w:r>
        <w:rPr>
          <w:rFonts w:ascii="Times New Roman" w:hAnsi="Times New Roman" w:eastAsia="Times New Roman" w:cs="Times New Roman"/>
        </w:rPr>
        <w:t xml:space="preserve"> </w:t>
      </w:r>
      <w:r>
        <w:rPr>
          <w:rFonts w:ascii="Ebrima" w:hAnsi="Ebrima" w:eastAsia="Ebrima" w:cs="Ebrima"/>
        </w:rPr>
        <w:t>የሚጸድቁትና</w:t>
      </w:r>
      <w:r>
        <w:rPr>
          <w:rFonts w:ascii="Times New Roman" w:hAnsi="Times New Roman" w:eastAsia="Times New Roman" w:cs="Times New Roman"/>
        </w:rPr>
        <w:t xml:space="preserve"> </w:t>
      </w:r>
      <w:r>
        <w:rPr>
          <w:rFonts w:ascii="Ebrima" w:hAnsi="Ebrima" w:eastAsia="Ebrima" w:cs="Ebrima"/>
        </w:rPr>
        <w:t>የባቢሎንን</w:t>
      </w:r>
      <w:r>
        <w:rPr>
          <w:rFonts w:ascii="Times New Roman" w:hAnsi="Times New Roman" w:eastAsia="Times New Roman" w:cs="Times New Roman"/>
        </w:rPr>
        <w:t xml:space="preserve"> </w:t>
      </w:r>
      <w:r>
        <w:rPr>
          <w:rFonts w:ascii="Ebrima" w:hAnsi="Ebrima" w:eastAsia="Ebrima" w:cs="Ebrima"/>
        </w:rPr>
        <w:t>ትምህርቶች</w:t>
      </w:r>
      <w:r>
        <w:rPr>
          <w:rFonts w:ascii="Times New Roman" w:hAnsi="Times New Roman" w:eastAsia="Times New Roman" w:cs="Times New Roman"/>
        </w:rPr>
        <w:t xml:space="preserve"> </w:t>
      </w:r>
      <w:r>
        <w:rPr>
          <w:rFonts w:ascii="Ebrima" w:hAnsi="Ebrima" w:eastAsia="Ebrima" w:cs="Ebrima"/>
        </w:rPr>
        <w:t>የበሉና</w:t>
      </w:r>
      <w:r>
        <w:rPr>
          <w:rFonts w:ascii="Times New Roman" w:hAnsi="Times New Roman" w:eastAsia="Times New Roman" w:cs="Times New Roman"/>
        </w:rPr>
        <w:t xml:space="preserve"> </w:t>
      </w:r>
      <w:r>
        <w:rPr>
          <w:rFonts w:ascii="Ebrima" w:hAnsi="Ebrima" w:eastAsia="Ebrima" w:cs="Ebrima"/>
        </w:rPr>
        <w:t>የጠጡት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በሚለር</w:t>
      </w:r>
      <w:r>
        <w:rPr>
          <w:rFonts w:ascii="Times New Roman" w:hAnsi="Times New Roman" w:eastAsia="Times New Roman" w:cs="Times New Roman"/>
        </w:rPr>
        <w:t xml:space="preserve"> </w:t>
      </w:r>
      <w:r>
        <w:rPr>
          <w:rFonts w:ascii="Ebrima" w:hAnsi="Ebrima" w:eastAsia="Ebrima" w:cs="Ebrima"/>
        </w:rPr>
        <w:t>ሕልም</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ድንግል</w:t>
      </w:r>
      <w:r>
        <w:rPr>
          <w:rFonts w:ascii="Times New Roman" w:hAnsi="Times New Roman" w:eastAsia="Times New Roman" w:cs="Times New Roman"/>
        </w:rPr>
        <w:t xml:space="preserve"> </w:t>
      </w:r>
      <w:r>
        <w:rPr>
          <w:rFonts w:ascii="Ebrima" w:hAnsi="Ebrima" w:eastAsia="Ebrima" w:cs="Ebrima"/>
        </w:rPr>
        <w:t>የተወከሉት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ያበረታታሉ፣</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ይቀበላሉ፤</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የጳጳሳዊነትን</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ያበረታታሉ</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የአውሬውን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ይቀበላሉ።</w:t>
      </w:r>
    </w:p>
    <w:p>
      <w:pPr>
        <w:pStyle w:val="ArticleScripture"/>
        <w:jc w:val="left"/>
      </w:pPr>
      <w:r>
        <w:rPr>
          <w:rFonts w:ascii="Times New Roman" w:hAnsi="Times New Roman" w:eastAsia="Times New Roman" w:cs="Times New Roman"/>
        </w:rPr>
        <w:t>“Orasën napanay iti pudno a lawag tapno agsilnag iti tengnga ti kinasipnget a nainget iti kinatao. Ti damag ti maikatlo nga anghel naipablaak iti lubong, a mangballaag kadagiti tattao a saan da nga awaten ti marka ti animal wenno ti ladawanna iti rangda wenno kadagiti imam-ima da. Ti umawat iti daytoy a marka ket kayatna a sawen a sumrek iti isu met laeng a pangngeddeng a inaramid ti animal, ken mangipablaak kadagiti isu met laeng a kapanunotan, a direkta a manglaban iti sao ti Dios. Maipapan kadagiti amin a umawat iti daytoy a marka, kunana ti Dios, ‘Isu met uminumto iti arak ti pungtot ti Dios, a naibukbok a saan a naallukoy iti kopa ti ungetna; ket marigrigatanto isuna babaen ti apuy ken asupre iti sangoanan dagiti nasantoan nga anghél, ken iti sangoanan ti Cordero.’” Review and Herald, Julio 13, 1897.</w:t>
      </w:r>
    </w:p>
    <w:p>
      <w:pPr>
        <w:pStyle w:val="ArticleBody"/>
        <w:jc w:val="left"/>
      </w:pPr>
      <w:r>
        <w:rPr>
          <w:rFonts w:ascii="Times New Roman" w:hAnsi="Times New Roman" w:eastAsia="Times New Roman" w:cs="Times New Roman"/>
        </w:rPr>
        <w:t>Բաբելոնի գինին խմող կույսերը ի վերջո պիտի խմեն Աստծու բարկության գինին։ Եսայիայում Եփրեմի հարբեցողները իրենց կույր հարբեցողությունը դրսևորում են՝ ամեն բան գլխիվայր շուռ տալով, և այդ արարքը պիտի համարվի «բրուտի կավ»։</w:t>
      </w:r>
    </w:p>
    <w:p>
      <w:pPr>
        <w:pStyle w:val="ArticleBody"/>
        <w:jc w:val="left"/>
      </w:pPr>
      <w:r>
        <w:rPr>
          <w:rFonts w:ascii="Times New Roman" w:hAnsi="Times New Roman" w:eastAsia="Times New Roman" w:cs="Times New Roman"/>
        </w:rPr>
        <w:t>“</w:t>
      </w:r>
      <w:r>
        <w:rPr>
          <w:rFonts w:ascii="Nirmala UI" w:hAnsi="Nirmala UI" w:eastAsia="Nirmala UI" w:cs="Nirmala UI"/>
        </w:rPr>
        <w:t>मुंजोप</w:t>
      </w:r>
      <w:r>
        <w:rPr>
          <w:rFonts w:ascii="Times New Roman" w:hAnsi="Times New Roman" w:eastAsia="Times New Roman" w:cs="Times New Roman"/>
        </w:rPr>
        <w:t xml:space="preserve">” </w:t>
      </w:r>
      <w:r>
        <w:rPr>
          <w:rFonts w:ascii="Nirmala UI" w:hAnsi="Nirmala UI" w:eastAsia="Nirmala UI" w:cs="Nirmala UI"/>
        </w:rPr>
        <w:t>क्राइस्टक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चिन्हायनाया</w:t>
      </w:r>
      <w:r>
        <w:rPr>
          <w:rFonts w:ascii="Times New Roman" w:hAnsi="Times New Roman" w:eastAsia="Times New Roman" w:cs="Times New Roman"/>
        </w:rPr>
        <w:t xml:space="preserve"> “</w:t>
      </w:r>
      <w:r>
        <w:rPr>
          <w:rFonts w:ascii="Nirmala UI" w:hAnsi="Nirmala UI" w:eastAsia="Nirmala UI" w:cs="Nirmala UI"/>
        </w:rPr>
        <w:t>मुंजोप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फोरमायखौ</w:t>
      </w:r>
      <w:r>
        <w:rPr>
          <w:rFonts w:ascii="Times New Roman" w:hAnsi="Times New Roman" w:eastAsia="Times New Roman" w:cs="Times New Roman"/>
        </w:rPr>
        <w:t xml:space="preserve"> </w:t>
      </w:r>
      <w:r>
        <w:rPr>
          <w:rFonts w:ascii="Nirmala UI" w:hAnsi="Nirmala UI" w:eastAsia="Nirmala UI" w:cs="Nirmala UI"/>
        </w:rPr>
        <w:t>उल्था</w:t>
      </w:r>
      <w:r>
        <w:rPr>
          <w:rFonts w:ascii="Times New Roman" w:hAnsi="Times New Roman" w:eastAsia="Times New Roman" w:cs="Times New Roman"/>
        </w:rPr>
        <w:t>-</w:t>
      </w:r>
      <w:r>
        <w:rPr>
          <w:rFonts w:ascii="Nirmala UI" w:hAnsi="Nirmala UI" w:eastAsia="Nirmala UI" w:cs="Nirmala UI"/>
        </w:rPr>
        <w:t>पाल्था</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मुंजोप</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दैथायनि</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मुंजोप</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पगानिज्म</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मिल्लारनि</w:t>
      </w:r>
      <w:r>
        <w:rPr>
          <w:rFonts w:ascii="Times New Roman" w:hAnsi="Times New Roman" w:eastAsia="Times New Roman" w:cs="Times New Roman"/>
        </w:rPr>
        <w:t xml:space="preserve"> </w:t>
      </w:r>
      <w:r>
        <w:rPr>
          <w:rFonts w:ascii="Nirmala UI" w:hAnsi="Nirmala UI" w:eastAsia="Nirmala UI" w:cs="Nirmala UI"/>
        </w:rPr>
        <w:t>चिन्हायनाया</w:t>
      </w:r>
      <w:r>
        <w:rPr>
          <w:rFonts w:ascii="Times New Roman" w:hAnsi="Times New Roman" w:eastAsia="Times New Roman" w:cs="Times New Roman"/>
        </w:rPr>
        <w:t xml:space="preserve"> </w:t>
      </w:r>
      <w:r>
        <w:rPr>
          <w:rFonts w:ascii="Nirmala UI" w:hAnsi="Nirmala UI" w:eastAsia="Nirmala UI" w:cs="Nirmala UI"/>
        </w:rPr>
        <w:t>हबाक्कुकनि</w:t>
      </w:r>
      <w:r>
        <w:rPr>
          <w:rFonts w:ascii="Times New Roman" w:hAnsi="Times New Roman" w:eastAsia="Times New Roman" w:cs="Times New Roman"/>
        </w:rPr>
        <w:t xml:space="preserve"> </w:t>
      </w:r>
      <w:r>
        <w:rPr>
          <w:rFonts w:ascii="Nirmala UI" w:hAnsi="Nirmala UI" w:eastAsia="Nirmala UI" w:cs="Nirmala UI"/>
        </w:rPr>
        <w:t>फोरखोआं</w:t>
      </w:r>
      <w:r>
        <w:rPr>
          <w:rFonts w:ascii="Times New Roman" w:hAnsi="Times New Roman" w:eastAsia="Times New Roman" w:cs="Times New Roman"/>
        </w:rPr>
        <w:t xml:space="preserve"> </w:t>
      </w:r>
      <w:r>
        <w:rPr>
          <w:rFonts w:ascii="Nirmala UI" w:hAnsi="Nirmala UI" w:eastAsia="Nirmala UI" w:cs="Nirmala UI"/>
        </w:rPr>
        <w:t>मेजाङाव</w:t>
      </w:r>
      <w:r>
        <w:rPr>
          <w:rFonts w:ascii="Times New Roman" w:hAnsi="Times New Roman" w:eastAsia="Times New Roman" w:cs="Times New Roman"/>
        </w:rPr>
        <w:t xml:space="preserve"> </w:t>
      </w:r>
      <w:r>
        <w:rPr>
          <w:rFonts w:ascii="Nirmala UI" w:hAnsi="Nirmala UI" w:eastAsia="Nirmala UI" w:cs="Nirmala UI"/>
        </w:rPr>
        <w:t>सोजासुजु</w:t>
      </w:r>
      <w:r>
        <w:rPr>
          <w:rFonts w:ascii="Times New Roman" w:hAnsi="Times New Roman" w:eastAsia="Times New Roman" w:cs="Times New Roman"/>
        </w:rPr>
        <w:t xml:space="preserve"> </w:t>
      </w:r>
      <w:r>
        <w:rPr>
          <w:rFonts w:ascii="Nirmala UI" w:hAnsi="Nirmala UI" w:eastAsia="Nirmala UI" w:cs="Nirmala UI"/>
        </w:rPr>
        <w:t>फोखायजेनाय</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थेस्सलोनिकियानाव</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बोखांबाय</w:t>
      </w:r>
      <w:r>
        <w:rPr>
          <w:rFonts w:ascii="Times New Roman" w:hAnsi="Times New Roman" w:eastAsia="Times New Roman" w:cs="Times New Roman"/>
        </w:rPr>
        <w:t xml:space="preserve"> </w:t>
      </w:r>
      <w:r>
        <w:rPr>
          <w:rFonts w:ascii="Nirmala UI" w:hAnsi="Nirmala UI" w:eastAsia="Nirmala UI" w:cs="Nirmala UI"/>
        </w:rPr>
        <w:t>दिहुनखौ</w:t>
      </w:r>
      <w:r>
        <w:rPr>
          <w:rFonts w:ascii="Times New Roman" w:hAnsi="Times New Roman" w:eastAsia="Times New Roman" w:cs="Times New Roman"/>
        </w:rPr>
        <w:t xml:space="preserve"> </w:t>
      </w:r>
      <w:r>
        <w:rPr>
          <w:rFonts w:ascii="Nirmala UI" w:hAnsi="Nirmala UI" w:eastAsia="Nirmala UI" w:cs="Nirmala UI"/>
        </w:rPr>
        <w:t>मिल्लारे</w:t>
      </w:r>
      <w:r>
        <w:rPr>
          <w:rFonts w:ascii="Times New Roman" w:hAnsi="Times New Roman" w:eastAsia="Times New Roman" w:cs="Times New Roman"/>
        </w:rPr>
        <w:t xml:space="preserve"> </w:t>
      </w:r>
      <w:r>
        <w:rPr>
          <w:rFonts w:ascii="Nirmala UI" w:hAnsi="Nirmala UI" w:eastAsia="Nirmala UI" w:cs="Nirmala UI"/>
        </w:rPr>
        <w:t>जायगासिन</w:t>
      </w:r>
      <w:r>
        <w:rPr>
          <w:rFonts w:ascii="Times New Roman" w:hAnsi="Times New Roman" w:eastAsia="Times New Roman" w:cs="Times New Roman"/>
        </w:rPr>
        <w:t xml:space="preserve"> </w:t>
      </w:r>
      <w:r>
        <w:rPr>
          <w:rFonts w:ascii="Nirmala UI" w:hAnsi="Nirmala UI" w:eastAsia="Nirmala UI" w:cs="Nirmala UI"/>
        </w:rPr>
        <w:t>दिहुनलायनाय</w:t>
      </w:r>
      <w:r>
        <w:rPr>
          <w:rFonts w:ascii="Times New Roman" w:hAnsi="Times New Roman" w:eastAsia="Times New Roman" w:cs="Times New Roman"/>
        </w:rPr>
        <w:t xml:space="preserve">, </w:t>
      </w:r>
      <w:r>
        <w:rPr>
          <w:rFonts w:ascii="Nirmala UI" w:hAnsi="Nirmala UI" w:eastAsia="Nirmala UI" w:cs="Nirmala UI"/>
        </w:rPr>
        <w:t>जायनि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बुजायनो</w:t>
      </w:r>
      <w:r>
        <w:rPr>
          <w:rFonts w:ascii="Times New Roman" w:hAnsi="Times New Roman" w:eastAsia="Times New Roman" w:cs="Times New Roman"/>
        </w:rPr>
        <w:t xml:space="preserve"> </w:t>
      </w:r>
      <w:r>
        <w:rPr>
          <w:rFonts w:ascii="Nirmala UI" w:hAnsi="Nirmala UI" w:eastAsia="Nirmala UI" w:cs="Nirmala UI"/>
        </w:rPr>
        <w:t>हायजायो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गाबथायनाय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पगानिज्म</w:t>
      </w:r>
      <w:r>
        <w:rPr>
          <w:rFonts w:ascii="Times New Roman" w:hAnsi="Times New Roman" w:eastAsia="Times New Roman" w:cs="Times New Roman"/>
        </w:rPr>
        <w:t xml:space="preserve">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जाहाथे</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देवालायाव</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फोरखानायजों</w:t>
      </w:r>
      <w:r>
        <w:rPr>
          <w:rFonts w:ascii="Times New Roman" w:hAnsi="Times New Roman" w:eastAsia="Times New Roman" w:cs="Times New Roman"/>
        </w:rPr>
        <w:t xml:space="preserve"> </w:t>
      </w:r>
      <w:r>
        <w:rPr>
          <w:rFonts w:ascii="Nirmala UI" w:hAnsi="Nirmala UI" w:eastAsia="Nirmala UI" w:cs="Nirmala UI"/>
        </w:rPr>
        <w:t>दिन्थिजेनो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2 Thessalonians, chapter two-</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दङना</w:t>
      </w:r>
      <w:r>
        <w:rPr>
          <w:rFonts w:ascii="Times New Roman" w:hAnsi="Times New Roman" w:eastAsia="Times New Roman" w:cs="Times New Roman"/>
        </w:rPr>
        <w:t xml:space="preserve"> </w:t>
      </w:r>
      <w:r>
        <w:rPr>
          <w:rFonts w:ascii="Nirmala UI" w:hAnsi="Nirmala UI" w:eastAsia="Nirmala UI" w:cs="Nirmala UI"/>
        </w:rPr>
        <w:t>गाहाय</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मानेया।</w:t>
      </w:r>
    </w:p>
    <w:p>
      <w:pPr>
        <w:pStyle w:val="ArticleScripture"/>
        <w:jc w:val="left"/>
      </w:pPr>
      <w:r>
        <w:rPr>
          <w:rFonts w:ascii="Times New Roman" w:hAnsi="Times New Roman" w:eastAsia="Times New Roman" w:cs="Times New Roman"/>
        </w:rPr>
        <w:t>«Дар пай хондам ва ҳеҷ мавриди дигаре наёфтам, ки он [қурбонии доимӣ] дар ҷое ғайр аз китоби Дониёл омада бошад. Сипас ман [бо ёрии як конкорданс] он калимаҳоро, ки бо он вобаста буданд, гирифтам: “дур кунад”; ӯ қурбонии доимиро дур хоҳад кард; “аз вақте ки қурбонии доимӣ дур карда шавад”, ва ғайра. Ман боз хондам ва гумон доштам, ки аз ин матн ҳеҷ рӯшноие нахоҳам ёфт; ниҳоят ба 2 Таслӯникиён 2:7, 8 расидам. “Зеро ки сирри шарорат аллакай амал мекунад; фақат он касе ки ҳоло монеъ мешавад, монеъ хоҳад шуд, то даме ки аз миён бардошта шавад, ва он гоҳ он шарир ошкор хоҳад гардид”, ва ғайра. Ва ҳангоме ки ба он матн расидам, о, ҳақиқат чӣ қадар равшан ва пурҷалол намудор шуд! Ана он аст! Ин аст қурбонии доимӣ! Хуб, акнун Павлус аз “он касе ки ҳоло монеъ мешавад”, ё садд мегардад, чӣ маъно дорад? Аз “марди гуноҳ” ва “шарир” папизм дар назар аст. Хуб, пас он чист, ки ошкор шудани папизмро бозмедорад? Албатта, он бутпарастист; пас, “қурбонии доимӣ” бояд ба маънои бутпарастӣ бошад».—Уилям Миллер, Second Advent Manual, саҳифаи 66.» Advent Review and Sabbath Herald, 6 январи соли 1853.</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ཉིན་རེ</w:t>
      </w:r>
      <w:r>
        <w:rPr>
          <w:rFonts w:ascii="Times New Roman" w:hAnsi="Times New Roman" w:eastAsia="Times New Roman" w:cs="Times New Roman"/>
        </w:rPr>
        <w:t xml:space="preserve">” </w:t>
      </w:r>
      <w:r>
        <w:rPr>
          <w:rFonts w:ascii="Microsoft Himalaya" w:hAnsi="Microsoft Himalaya" w:eastAsia="Microsoft Himalaya" w:cs="Microsoft Himalaya"/>
        </w:rPr>
        <w:t>ཞེས་པའི་དོན་ནི་ཐེས་ས་ལོ་ནི་ཀེའི་ནང་དུ་མི་ལེར་གྱིས་རྙེད་པ་དེ་ཡིན་ལ།</w:t>
      </w:r>
      <w:r>
        <w:rPr>
          <w:rFonts w:ascii="Times New Roman" w:hAnsi="Times New Roman" w:eastAsia="Times New Roman" w:cs="Times New Roman"/>
        </w:rPr>
        <w:t xml:space="preserve"> </w:t>
      </w:r>
      <w:r>
        <w:rPr>
          <w:rFonts w:ascii="Microsoft Himalaya" w:hAnsi="Microsoft Himalaya" w:eastAsia="Microsoft Himalaya" w:cs="Microsoft Himalaya"/>
        </w:rPr>
        <w:t>དེ་ནི་ཚན་པ་དེའི་གཙོ་བོའི་བདེན་པ་ཡིན།</w:t>
      </w:r>
      <w:r>
        <w:rPr>
          <w:rFonts w:ascii="Times New Roman" w:hAnsi="Times New Roman" w:eastAsia="Times New Roman" w:cs="Times New Roman"/>
        </w:rPr>
        <w:t xml:space="preserve"> </w:t>
      </w:r>
      <w:r>
        <w:rPr>
          <w:rFonts w:ascii="Microsoft Himalaya" w:hAnsi="Microsoft Himalaya" w:eastAsia="Microsoft Himalaya" w:cs="Microsoft Himalaya"/>
        </w:rPr>
        <w:t>ཕོལ་གྱིས་བདེན་པ་ལ་དགའ་བ་མེད་པའི་མི་དག་ངོས་འཛིན་ནས།</w:t>
      </w:r>
      <w:r>
        <w:rPr>
          <w:rFonts w:ascii="Times New Roman" w:hAnsi="Times New Roman" w:eastAsia="Times New Roman" w:cs="Times New Roman"/>
        </w:rPr>
        <w:t xml:space="preserve"> </w:t>
      </w:r>
      <w:r>
        <w:rPr>
          <w:rFonts w:ascii="Microsoft Himalaya" w:hAnsi="Microsoft Himalaya" w:eastAsia="Microsoft Himalaya" w:cs="Microsoft Himalaya"/>
        </w:rPr>
        <w:t>དེའི་ཕྱིར་ཁོང་ཚོས་མགོ་འཁྲུལ་ཤུགས་ཆེན་པོ་ཞིག་འཐོབ་པར་འགྱུར་ཞེས་གསུངས་པ་ན།</w:t>
      </w:r>
      <w:r>
        <w:rPr>
          <w:rFonts w:ascii="Times New Roman" w:hAnsi="Times New Roman" w:eastAsia="Times New Roman" w:cs="Times New Roman"/>
        </w:rPr>
        <w:t xml:space="preserve"> </w:t>
      </w:r>
      <w:r>
        <w:rPr>
          <w:rFonts w:ascii="Microsoft Himalaya" w:hAnsi="Microsoft Himalaya" w:eastAsia="Microsoft Himalaya" w:cs="Microsoft Himalaya"/>
        </w:rPr>
        <w:t>ཁོང་གིས་ངེས་པར་དུ་བདེན་པ་ལ་སྡང་བ་ཞེས་པ་སྤྱིའི་དོན་དུ་ངོས་འཛིན་གནང་བ་ཡིན།</w:t>
      </w:r>
      <w:r>
        <w:rPr>
          <w:rFonts w:ascii="Times New Roman" w:hAnsi="Times New Roman" w:eastAsia="Times New Roman" w:cs="Times New Roman"/>
        </w:rPr>
        <w:t xml:space="preserve"> </w:t>
      </w:r>
      <w:r>
        <w:rPr>
          <w:rFonts w:ascii="Microsoft Himalaya" w:hAnsi="Microsoft Himalaya" w:eastAsia="Microsoft Himalaya" w:cs="Microsoft Himalaya"/>
        </w:rPr>
        <w:t>འོན་ཀྱང་ཚན་པ་དེའི་ནང་དུ་ཐད་ཀར་བསྟན་པའི་བདེན་པ་ནི</w:t>
      </w:r>
      <w:r>
        <w:rPr>
          <w:rFonts w:ascii="Times New Roman" w:hAnsi="Times New Roman" w:eastAsia="Times New Roman" w:cs="Times New Roman"/>
        </w:rPr>
        <w:t xml:space="preserve"> “</w:t>
      </w:r>
      <w:r>
        <w:rPr>
          <w:rFonts w:ascii="Microsoft Himalaya" w:hAnsi="Microsoft Himalaya" w:eastAsia="Microsoft Himalaya" w:cs="Microsoft Himalaya"/>
        </w:rPr>
        <w:t>ཉིན་རེ</w:t>
      </w:r>
      <w:r>
        <w:rPr>
          <w:rFonts w:ascii="Times New Roman" w:hAnsi="Times New Roman" w:eastAsia="Times New Roman" w:cs="Times New Roman"/>
        </w:rPr>
        <w:t xml:space="preserve">” </w:t>
      </w:r>
      <w:r>
        <w:rPr>
          <w:rFonts w:ascii="Microsoft Himalaya" w:hAnsi="Microsoft Himalaya" w:eastAsia="Microsoft Himalaya" w:cs="Microsoft Himalaya"/>
        </w:rPr>
        <w:t>ཞེས་པས་པ་གན་རོམ་ཞེས་པ་མཚོན་པ་དེ་ཡིན།</w:t>
      </w:r>
    </w:p>
    <w:p>
      <w:pPr>
        <w:pStyle w:val="ArticleScripture"/>
        <w:jc w:val="left"/>
      </w:pPr>
      <w:r>
        <w:rPr>
          <w:rFonts w:ascii="Times New Roman" w:hAnsi="Times New Roman" w:eastAsia="Times New Roman" w:cs="Times New Roman"/>
        </w:rPr>
        <w:t>نايُسفێئ بڕى نى توۇر: ئەگەر بۆيە چاوەکت یەك‌دڵ بێت، هەموو لەشەکت پڕ لە ڕووناکی دەبێت. بەڵام ئەگەر چاوەکت خراپ بێت، هەموو لەشەکت پڕ لە تاریکی دەبێت. ئەگەر بۆيە ئەو ڕووناکییەی لە ناوتدایە تاریکی بێت، ئەو تاریکییە چەندە گەورە دەبێت! هیچ کەسێک ناتوانێت خزمەتی دوو گەورە بکات: چونکە یان یەکەیان دەڕقێت و ئەوی دیکە خۆش دەوێت؛ یان بە یەکێکەوە دەچەسپێت و ئەوی دیکە بە سووک دەزانێت. ناتوانن خزمەتی خودا و مامۆن بکەن. مەتا 6:22–24.</w:t>
      </w:r>
    </w:p>
    <w:p>
      <w:pPr>
        <w:pStyle w:val="ArticleBody"/>
        <w:jc w:val="left"/>
      </w:pPr>
      <w:r>
        <w:rPr>
          <w:rFonts w:ascii="Times New Roman" w:hAnsi="Times New Roman" w:eastAsia="Times New Roman" w:cs="Times New Roman"/>
        </w:rPr>
        <w:t>Андакъ гъалатсыз хакъикъаткъа юрюк бир севги, я да хакъикъаткъа бир нефрет бар. Орта йол ёкътур. Матфей йигирми бештеки акъылсыз къызлар устюне келген кучлю алданыш, сон сынавны темсиль эткен Миллернинъ джевахирлерини рэд этмелерине негизлене. Къадимки Исраилнинъ сон сынавы — оларнынъ онынджы сынавы эди, ве ахыр заманларда Миллернинъ джевахирлери он кере даа парлакъ ялтырай. Миллернинъ джевахирлерини рэд этменинъ темсили — «кунделик», оны Адвентизмнинъ учюнджи несилинде Эфраимнинъ сархошлары аякъустю чевирди. «Кунделик» — путперестликнинъ шайтаний бир темсилидир. Сархошлар ялан бир джевахир къоштылар; оны мюртед протестантизмден кетирип, «кунделик»ни Месихнинъ темсили оларакъ таныттылар.</w:t>
      </w:r>
    </w:p>
    <w:p>
      <w:pPr>
        <w:pStyle w:val="ArticleBody"/>
        <w:jc w:val="left"/>
      </w:pPr>
      <w:r>
        <w:rPr>
          <w:rFonts w:ascii="Times New Roman" w:hAnsi="Times New Roman" w:eastAsia="Times New Roman" w:cs="Times New Roman"/>
        </w:rPr>
        <w:t>ڕۆشنبیرى میلڵەر لەبارەى گۆهەرەکانى خۆى سنووردار بوو بەو مێژووەى تێیدا هەڵگیرا. بە باوەڕى ئەوەى هاتنەوەى دووەم نزیکترین ڕووداوى پێشبینیکراو بوو، برینى کوشندەى پاپایەتى لە ساڵى 1798دا، تەنها دەتوانى نوێنەرایەتى چوارەمین و دوا شانشینى زەمینیى دانیال دوو بکات. هەروەها میلڵەر لە تێگەیشتنى خۆى بۆ «هەمیشەیى»دا سنووردار بوو، چونکە شایەتحاڵى ئەو ئەوەیە کە بە ڕێگەى وەحى بۆ شێوازێکى دیاریکراوى خوێندن ڕێنمایى کرا، کە تێیدا وتى کتێبى پیرۆزى خۆى، Concordance ـى Cruden، و هەندێک ڕۆژنامەى خوێندووەتەوە. بڕیارەکەى بۆ ئەوەى بەو شێوەیە بخوێنێت، تەنها هاتبووە ناو مێشکى.</w:t>
      </w:r>
    </w:p>
    <w:p>
      <w:pPr>
        <w:pStyle w:val="ArticleScripture"/>
        <w:jc w:val="left"/>
      </w:pPr>
      <w:r>
        <w:rPr>
          <w:rFonts w:ascii="Times New Roman" w:hAnsi="Times New Roman" w:eastAsia="Times New Roman" w:cs="Times New Roman"/>
        </w:rPr>
        <w:t>«دەورانَ ئەو دوازدە ساڵەی کە من دئیست بووم، هەموو ئەو مێژووانەی دەم‌دۆزییەوە خوێندەوە؛ بەڵام ئێستا من حەزم لە پەرتووکی پیرۆز بوو، چونکە لە عیسا فێر دەکرد! بەڵام هێشتا بەشێکی زۆر لە پەرتووکی پیرۆز لام تاریک بوو. لە ساڵی 1818 یان 19، کاتێک لەگەڵ هاوڕێیەک قسەم دەکرد، کە چووبووم بۆ سەردانی و ئەو کە منی ناسیووە و [بیستوویەتی] کە لە کاتی دئیست بوونمدا قسەم کردووە، بە شێوەیەکی تا ڕادەیەک پڕمانا لێی پرسی: “سەبارەت بە ئەم دەقە و ئەو دەقە چی دەڵێیت؟” ئاماژەی بەو دەقانە کۆنانە دەکرد کە من لە کاتی دئیست بوونمدا پێیان ناڕەزامەند بووم. تێگەیشتم کە مەبەستی چییە، وەڵامم دایەوە—ئەگەر کاتم بدەیت، پێت دەڵێم کە واتایان چییە. “چەند کاتت دەوێت؟” نازانم، بەڵام پێت دەڵێم، وەڵامم دایەوە، چونکە نەم‌توانی باوەڕ بکەم کە خودا وەحییەکی دابێت کە تێنەگەیشتن لێی نەبێت. ئینجا بڕیارم دا پەرتووکی پیرۆزم بخوێنمەوە و لێی بکۆڵمەوە، بەو باوەڕەی کە دەتوانم بزانم ڕۆحی پیرۆز چی مەبەستە. بەڵام هەر زوو کە ئەم بڕیارەم گرت، ئەم بیرە هاتە لام—“ئەگەر دەروازەیەک بدۆزیتەوە کە ناتوانیت تێی بگەیت، چی دەکەیت؟” ئەم شێوازەی خوێندنەوەی پەرتووکی پیرۆز ئینجا هاتە مێشکم:—وشەکانی ئەو جۆرە دەقانە وەردەگرم، و بە درێژایی پەرتووکی پیرۆز بەدوایاندا دەگەڕێم، و بەم شێوەیە واتایان دەدۆزمەوە. Concordanceی Crudenم هەبوو، کە پێم وایە باشترینە لە جیهاندا؛ بۆیە ئەو و پەرتووکی پیرۆزم هەڵگرت و لەسەر مێزی نووسینم دانیشتم، و هیچ شتێکی دیکەم نەخوێندەوە، جگە لە هەندێک لە ڕۆژنامەکان، چونکە سوور بووم لەسەر ئەوەی بزانم پەرتووکی پیرۆزم چی واتایە. Apollos Hale, The Second Advent Manual, 65.»</w:t>
      </w:r>
    </w:p>
    <w:p>
      <w:pPr>
        <w:pStyle w:val="ArticleBody"/>
        <w:jc w:val="left"/>
      </w:pPr>
      <w:r>
        <w:rPr>
          <w:rFonts w:ascii="Times New Roman" w:hAnsi="Times New Roman" w:eastAsia="Times New Roman" w:cs="Times New Roman"/>
        </w:rPr>
        <w:t>Miillerin ləl-cəvahiratı təkcə onun tədqiqat üsulu ilə tanınmadı, həm də Allahdan gələn birbaşa vəhy vasitəsilə aşkar edildi.</w:t>
      </w:r>
    </w:p>
    <w:p>
      <w:pPr>
        <w:pStyle w:val="ArticleScripture"/>
        <w:jc w:val="left"/>
      </w:pPr>
      <w:r>
        <w:rPr>
          <w:rFonts w:ascii="Times New Roman" w:hAnsi="Times New Roman" w:eastAsia="Times New Roman" w:cs="Times New Roman"/>
        </w:rPr>
        <w:t>«یئوَب آپُن ملاک کو باغیر آیان مو دل نان پتن بَـوکِر کِه بایبل را باور نَکَردَه بَـو، تا او را رهنمون شَوَد کِه نبوّت‌ها را بجوید. ملاکانِ یئوَب بارها آن برگزیده را دیدار کَردَه بَون، تا اندیشهٔ او را هدایت کُنَن و نبوّت‌هایی را کِه همواره بر قوم یئوَب تاریک مانده بَـو، بر فهمِ او بگشایَن. آغازِ زنجیرهٔ حقیقت بَه او داده شَد، و او گام‌به‌گام رهنمون شَد تا پیوندی پس از پیوندِ دیگر را بجوید، تا آن‌گاه کِه با شگفتی و تحسین بر کلامِ یئوَب نِگَرِست. او در آن‌جا زنجیره‌ای کامل از حقیقت دید. آن کلامی کِه او بی‌الهام می‌پنداشت، اکنون در زیبایی و جلالِ خویش پیشِ دیدگانِ او گشوده شَد. او دید کِه بخشی از کلامِ مقدّس، بخشِ دیگر را توضیح می‌دِهَد، و هرگاه آیه‌ای بر فهمِ او بسته می‌شَد، در بخشی دیگر از کلام آنچه را می‌یافت کِه آن را روشن می‌ساخت. او کلامِ مقدّسِ یئوَب را با شادی و با ژرف‌ترین احترام و هیبت ارج می‌نِهاد.» Early Writings, 230.</w:t>
      </w:r>
    </w:p>
    <w:p>
      <w:pPr>
        <w:pStyle w:val="ArticleBody"/>
        <w:jc w:val="left"/>
      </w:pPr>
      <w:r>
        <w:rPr>
          <w:rFonts w:ascii="Times New Roman" w:hAnsi="Times New Roman" w:eastAsia="Times New Roman" w:cs="Times New Roman"/>
        </w:rPr>
        <w:t>Awurade White ka tsegye mu se, “Nyame somaa Ne bɔfo” baa Miller nkyɛn no, ɛkyerɛ sɛ Gabriel ne bɔfo a wɔsomaa no baa Miller nkyɛn no, efisɛ “Ne bɔfo” yɛ asɛmfua a wɔde ma Gabriel.</w:t>
      </w:r>
    </w:p>
    <w:p>
      <w:pPr>
        <w:pStyle w:val="ArticleScripture"/>
        <w:jc w:val="left"/>
      </w:pPr>
      <w:r>
        <w:rPr>
          <w:rFonts w:ascii="Times New Roman" w:hAnsi="Times New Roman" w:eastAsia="Times New Roman" w:cs="Times New Roman"/>
        </w:rPr>
        <w:t>مەلەکەکەی قسەکان: «من جبرائیلم، ئەوەی لە بەردەم خودا وەستاوە»، ئەوە پیشان دەدات کە لە دادگاکانی ئاسمانی دا پلەیەکی بەرزی ڕێز و شکۆی هەیە. کاتێک بە پەیامێک هات بۆ دانیال، وتی: «لە ئەم شتانەدا کەس نییە لەگەڵ من بوەستێت، جگە لە میکائیل [مەسیح] ئەمیری تۆ.» دانیال 10:21. لەبارەی جبرائیلەوە، ڕزگارکەر لە مکاشفەدا دەفەرموێت کە: «ئەویش ناردی و بە مەلەکەی خۆی نیشانیدا بۆ خزمەتکارەکەی یۆحەنا.» مکاشفە 1:1. «ئارەزووی تەمەنەکان»، 99.</w:t>
      </w:r>
    </w:p>
    <w:p>
      <w:pPr>
        <w:pStyle w:val="ArticleBody"/>
        <w:jc w:val="left"/>
      </w:pPr>
      <w:r>
        <w:rPr>
          <w:rFonts w:ascii="Times New Roman" w:hAnsi="Times New Roman" w:eastAsia="Times New Roman" w:cs="Times New Roman"/>
        </w:rPr>
        <w:t>Gabriel y otros ángeles guiaron la “mente” de Miller y abrieron “a su entendimiento profecías que siempre habían sido oscuras para el pueblo de Dios”. Su mensaje no fue desarrollado simplemente mediante su método de estudio, sino también por revelación Divina. El mismo método que empleó para estudiar la Biblia sencillamente vino a su mente. Cuando Dios trae verdad a nuestra mente, ello es una revelación Divina, en contraste con llegar a la verdad mediante el proceso de trazar rectamente la Biblia. Miller hizo ambas cosas, pero la revelación Divina fue parte de cómo Miller llegó a entender el tema de “el continuo”.</w:t>
      </w:r>
    </w:p>
    <w:p>
      <w:pPr>
        <w:pStyle w:val="ArticleBody"/>
        <w:jc w:val="left"/>
      </w:pPr>
      <w:r>
        <w:rPr>
          <w:rFonts w:ascii="Times New Roman" w:hAnsi="Times New Roman" w:eastAsia="Times New Roman" w:cs="Times New Roman"/>
        </w:rPr>
        <w:t>Miller-otqaw Daniel paqta pusin kaq pusaq ñiqin capítulo, isqonmanta chunka iskayniyuq versículokuna ukhupi género tikrayta mana reqsisqachu, imaraykuchus paypaqqa Bibliallam karqa chaymanta huk concordancialla, bíblicopi simikunamanta mana ima yachayniyuq. Mana rikunmanchu karqa ‘sur’ hinallataq ‘rum’ nisqakunapa sapaqchasqanta, iskayninkutaq “take away” nispa t’ikrasqa kashaqtin. Hinallataq mana rikunmanchu karqa ‘miqdash’ hinallataq ‘qodesh’ nisqakunapa sapaqchasqanta, iskayninkutaq “sanctuary” nispa t’ikrasqa kashaqtin.</w:t>
      </w:r>
    </w:p>
    <w:p>
      <w:pPr>
        <w:pStyle w:val="ArticleBody"/>
        <w:jc w:val="left"/>
      </w:pPr>
      <w:r>
        <w:rPr>
          <w:rFonts w:ascii="Times New Roman" w:hAnsi="Times New Roman" w:eastAsia="Times New Roman" w:cs="Times New Roman"/>
        </w:rPr>
        <w:t>Nune te Bibliapi ‘tamid’ sas maj peajli šel e truth. E truth kaj so naša dikhelas—sar vi e truth savo dikhelas—si kadaj, kaj anda o jekh šel taj štarvar kaj o hebrajiko lav ‘tamid’ si uprebašdo ande Biblia, numa ande o lil ando Daniel si o hebrajiko lav ‘tamid’ uprebašdo sar substantivo. ‘Tamid’ si o hebrajiko lav savo značinela “kontinualno”, thaj ande o lil ando Daniel si traducišdo sar “o sako divesesko”.</w:t>
      </w:r>
    </w:p>
    <w:p>
      <w:pPr>
        <w:pStyle w:val="ArticleBody"/>
        <w:jc w:val="left"/>
      </w:pPr>
      <w:r>
        <w:rPr>
          <w:rFonts w:ascii="Nirmala UI" w:hAnsi="Nirmala UI" w:eastAsia="Nirmala UI" w:cs="Nirmala UI"/>
        </w:rPr>
        <w:t>తెవ్వు</w:t>
      </w:r>
      <w:r>
        <w:rPr>
          <w:rFonts w:ascii="Times New Roman" w:hAnsi="Times New Roman" w:eastAsia="Times New Roman" w:cs="Times New Roman"/>
        </w:rPr>
        <w:t xml:space="preserve"> </w:t>
      </w:r>
      <w:r>
        <w:rPr>
          <w:rFonts w:ascii="Nirmala UI" w:hAnsi="Nirmala UI" w:eastAsia="Nirmala UI" w:cs="Nirmala UI"/>
        </w:rPr>
        <w:t>గ్రంథములోనే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పదము</w:t>
      </w:r>
      <w:r>
        <w:rPr>
          <w:rFonts w:ascii="Times New Roman" w:hAnsi="Times New Roman" w:eastAsia="Times New Roman" w:cs="Times New Roman"/>
        </w:rPr>
        <w:t xml:space="preserve"> </w:t>
      </w:r>
      <w:r>
        <w:rPr>
          <w:rFonts w:ascii="Nirmala UI" w:hAnsi="Nirmala UI" w:eastAsia="Nirmala UI" w:cs="Nirmala UI"/>
        </w:rPr>
        <w:t>నామవాచకముగా</w:t>
      </w:r>
      <w:r>
        <w:rPr>
          <w:rFonts w:ascii="Times New Roman" w:hAnsi="Times New Roman" w:eastAsia="Times New Roman" w:cs="Times New Roman"/>
        </w:rPr>
        <w:t xml:space="preserve"> </w:t>
      </w:r>
      <w:r>
        <w:rPr>
          <w:rFonts w:ascii="Nirmala UI" w:hAnsi="Nirmala UI" w:eastAsia="Nirmala UI" w:cs="Nirmala UI"/>
        </w:rPr>
        <w:t>ఉపయోగించబడింది</w:t>
      </w:r>
      <w:r>
        <w:rPr>
          <w:rFonts w:ascii="Times New Roman" w:hAnsi="Times New Roman" w:eastAsia="Times New Roman" w:cs="Times New Roman"/>
        </w:rPr>
        <w:t xml:space="preserve">; </w:t>
      </w:r>
      <w:r>
        <w:rPr>
          <w:rFonts w:ascii="Nirmala UI" w:hAnsi="Nirmala UI" w:eastAsia="Nirmala UI" w:cs="Nirmala UI"/>
        </w:rPr>
        <w:t>మిగిలిన</w:t>
      </w:r>
      <w:r>
        <w:rPr>
          <w:rFonts w:ascii="Times New Roman" w:hAnsi="Times New Roman" w:eastAsia="Times New Roman" w:cs="Times New Roman"/>
        </w:rPr>
        <w:t xml:space="preserve"> </w:t>
      </w:r>
      <w:r>
        <w:rPr>
          <w:rFonts w:ascii="Nirmala UI" w:hAnsi="Nirmala UI" w:eastAsia="Nirmala UI" w:cs="Nirmala UI"/>
        </w:rPr>
        <w:t>తొంభై</w:t>
      </w:r>
      <w:r>
        <w:rPr>
          <w:rFonts w:ascii="Times New Roman" w:hAnsi="Times New Roman" w:eastAsia="Times New Roman" w:cs="Times New Roman"/>
        </w:rPr>
        <w:t xml:space="preserve"> </w:t>
      </w:r>
      <w:r>
        <w:rPr>
          <w:rFonts w:ascii="Nirmala UI" w:hAnsi="Nirmala UI" w:eastAsia="Nirmala UI" w:cs="Nirmala UI"/>
        </w:rPr>
        <w:t>తొమ్మిది</w:t>
      </w:r>
      <w:r>
        <w:rPr>
          <w:rFonts w:ascii="Times New Roman" w:hAnsi="Times New Roman" w:eastAsia="Times New Roman" w:cs="Times New Roman"/>
        </w:rPr>
        <w:t xml:space="preserve"> </w:t>
      </w:r>
      <w:r>
        <w:rPr>
          <w:rFonts w:ascii="Nirmala UI" w:hAnsi="Nirmala UI" w:eastAsia="Nirmala UI" w:cs="Nirmala UI"/>
        </w:rPr>
        <w:t>సందర్భములన్నిటిలో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క్రియావిశేషణముగా</w:t>
      </w:r>
      <w:r>
        <w:rPr>
          <w:rFonts w:ascii="Times New Roman" w:hAnsi="Times New Roman" w:eastAsia="Times New Roman" w:cs="Times New Roman"/>
        </w:rPr>
        <w:t xml:space="preserve"> </w:t>
      </w:r>
      <w:r>
        <w:rPr>
          <w:rFonts w:ascii="Nirmala UI" w:hAnsi="Nirmala UI" w:eastAsia="Nirmala UI" w:cs="Nirmala UI"/>
        </w:rPr>
        <w:t>ఉపయోగించబడింది</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కారణముచేత</w:t>
      </w:r>
      <w:r>
        <w:rPr>
          <w:rFonts w:ascii="Times New Roman" w:hAnsi="Times New Roman" w:eastAsia="Times New Roman" w:cs="Times New Roman"/>
        </w:rPr>
        <w:t xml:space="preserve">, </w:t>
      </w:r>
      <w:r>
        <w:rPr>
          <w:rFonts w:ascii="Nirmala UI" w:hAnsi="Nirmala UI" w:eastAsia="Nirmala UI" w:cs="Nirmala UI"/>
        </w:rPr>
        <w:t>బైబిలులోని</w:t>
      </w:r>
      <w:r>
        <w:rPr>
          <w:rFonts w:ascii="Times New Roman" w:hAnsi="Times New Roman" w:eastAsia="Times New Roman" w:cs="Times New Roman"/>
        </w:rPr>
        <w:t xml:space="preserve"> </w:t>
      </w:r>
      <w:r>
        <w:rPr>
          <w:rFonts w:ascii="Nirmala UI" w:hAnsi="Nirmala UI" w:eastAsia="Nirmala UI" w:cs="Nirmala UI"/>
        </w:rPr>
        <w:t>ఇతర</w:t>
      </w:r>
      <w:r>
        <w:rPr>
          <w:rFonts w:ascii="Times New Roman" w:hAnsi="Times New Roman" w:eastAsia="Times New Roman" w:cs="Times New Roman"/>
        </w:rPr>
        <w:t xml:space="preserve"> </w:t>
      </w:r>
      <w:r>
        <w:rPr>
          <w:rFonts w:ascii="Nirmala UI" w:hAnsi="Nirmala UI" w:eastAsia="Nirmala UI" w:cs="Nirmala UI"/>
        </w:rPr>
        <w:t>రచయితలందరు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పదమును</w:t>
      </w:r>
      <w:r>
        <w:rPr>
          <w:rFonts w:ascii="Times New Roman" w:hAnsi="Times New Roman" w:eastAsia="Times New Roman" w:cs="Times New Roman"/>
        </w:rPr>
        <w:t xml:space="preserve"> </w:t>
      </w:r>
      <w:r>
        <w:rPr>
          <w:rFonts w:ascii="Nirmala UI" w:hAnsi="Nirmala UI" w:eastAsia="Nirmala UI" w:cs="Nirmala UI"/>
        </w:rPr>
        <w:t>తొంభై</w:t>
      </w:r>
      <w:r>
        <w:rPr>
          <w:rFonts w:ascii="Times New Roman" w:hAnsi="Times New Roman" w:eastAsia="Times New Roman" w:cs="Times New Roman"/>
        </w:rPr>
        <w:t xml:space="preserve"> </w:t>
      </w:r>
      <w:r>
        <w:rPr>
          <w:rFonts w:ascii="Nirmala UI" w:hAnsi="Nirmala UI" w:eastAsia="Nirmala UI" w:cs="Nirmala UI"/>
        </w:rPr>
        <w:t>తొమ్మిది</w:t>
      </w:r>
      <w:r>
        <w:rPr>
          <w:rFonts w:ascii="Times New Roman" w:hAnsi="Times New Roman" w:eastAsia="Times New Roman" w:cs="Times New Roman"/>
        </w:rPr>
        <w:t xml:space="preserve"> </w:t>
      </w:r>
      <w:r>
        <w:rPr>
          <w:rFonts w:ascii="Nirmala UI" w:hAnsi="Nirmala UI" w:eastAsia="Nirmala UI" w:cs="Nirmala UI"/>
        </w:rPr>
        <w:t>సార్లు</w:t>
      </w:r>
      <w:r>
        <w:rPr>
          <w:rFonts w:ascii="Times New Roman" w:hAnsi="Times New Roman" w:eastAsia="Times New Roman" w:cs="Times New Roman"/>
        </w:rPr>
        <w:t xml:space="preserve"> </w:t>
      </w:r>
      <w:r>
        <w:rPr>
          <w:rFonts w:ascii="Nirmala UI" w:hAnsi="Nirmala UI" w:eastAsia="Nirmala UI" w:cs="Nirmala UI"/>
        </w:rPr>
        <w:t>క్రియావిశేషణముగా</w:t>
      </w:r>
      <w:r>
        <w:rPr>
          <w:rFonts w:ascii="Times New Roman" w:hAnsi="Times New Roman" w:eastAsia="Times New Roman" w:cs="Times New Roman"/>
        </w:rPr>
        <w:t xml:space="preserve"> </w:t>
      </w:r>
      <w:r>
        <w:rPr>
          <w:rFonts w:ascii="Nirmala UI" w:hAnsi="Nirmala UI" w:eastAsia="Nirmala UI" w:cs="Nirmala UI"/>
        </w:rPr>
        <w:t>ఉపయోగించగా</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ఐదు</w:t>
      </w:r>
      <w:r>
        <w:rPr>
          <w:rFonts w:ascii="Times New Roman" w:hAnsi="Times New Roman" w:eastAsia="Times New Roman" w:cs="Times New Roman"/>
        </w:rPr>
        <w:t xml:space="preserve"> </w:t>
      </w:r>
      <w:r>
        <w:rPr>
          <w:rFonts w:ascii="Nirmala UI" w:hAnsi="Nirmala UI" w:eastAsia="Nirmala UI" w:cs="Nirmala UI"/>
        </w:rPr>
        <w:t>సార్లు</w:t>
      </w:r>
      <w:r>
        <w:rPr>
          <w:rFonts w:ascii="Times New Roman" w:hAnsi="Times New Roman" w:eastAsia="Times New Roman" w:cs="Times New Roman"/>
        </w:rPr>
        <w:t xml:space="preserve"> </w:t>
      </w:r>
      <w:r>
        <w:rPr>
          <w:rFonts w:ascii="Nirmala UI" w:hAnsi="Nirmala UI" w:eastAsia="Nirmala UI" w:cs="Nirmala UI"/>
        </w:rPr>
        <w:t>నామవాచకముగా</w:t>
      </w:r>
      <w:r>
        <w:rPr>
          <w:rFonts w:ascii="Times New Roman" w:hAnsi="Times New Roman" w:eastAsia="Times New Roman" w:cs="Times New Roman"/>
        </w:rPr>
        <w:t xml:space="preserve"> </w:t>
      </w:r>
      <w:r>
        <w:rPr>
          <w:rFonts w:ascii="Nirmala UI" w:hAnsi="Nirmala UI" w:eastAsia="Nirmala UI" w:cs="Nirmala UI"/>
        </w:rPr>
        <w:t>ఉపయోగించిన</w:t>
      </w:r>
      <w:r>
        <w:rPr>
          <w:rFonts w:ascii="Times New Roman" w:hAnsi="Times New Roman" w:eastAsia="Times New Roman" w:cs="Times New Roman"/>
        </w:rPr>
        <w:t xml:space="preserve"> </w:t>
      </w:r>
      <w:r>
        <w:rPr>
          <w:rFonts w:ascii="Nirmala UI" w:hAnsi="Nirmala UI" w:eastAsia="Nirmala UI" w:cs="Nirmala UI"/>
        </w:rPr>
        <w:t>సంగతిని</w:t>
      </w:r>
      <w:r>
        <w:rPr>
          <w:rFonts w:ascii="Times New Roman" w:hAnsi="Times New Roman" w:eastAsia="Times New Roman" w:cs="Times New Roman"/>
        </w:rPr>
        <w:t xml:space="preserve"> </w:t>
      </w:r>
      <w:r>
        <w:rPr>
          <w:rFonts w:ascii="Nirmala UI" w:hAnsi="Nirmala UI" w:eastAsia="Nirmala UI" w:cs="Nirmala UI"/>
        </w:rPr>
        <w:t>గమనించిన</w:t>
      </w:r>
      <w:r>
        <w:rPr>
          <w:rFonts w:ascii="Times New Roman" w:hAnsi="Times New Roman" w:eastAsia="Times New Roman" w:cs="Times New Roman"/>
        </w:rPr>
        <w:t xml:space="preserve"> </w:t>
      </w:r>
      <w:r>
        <w:rPr>
          <w:rFonts w:ascii="Nirmala UI" w:hAnsi="Nirmala UI" w:eastAsia="Nirmala UI" w:cs="Nirmala UI"/>
        </w:rPr>
        <w:t>కింగ్</w:t>
      </w:r>
      <w:r>
        <w:rPr>
          <w:rFonts w:ascii="Times New Roman" w:hAnsi="Times New Roman" w:eastAsia="Times New Roman" w:cs="Times New Roman"/>
        </w:rPr>
        <w:t xml:space="preserve"> </w:t>
      </w:r>
      <w:r>
        <w:rPr>
          <w:rFonts w:ascii="Nirmala UI" w:hAnsi="Nirmala UI" w:eastAsia="Nirmala UI" w:cs="Nirmala UI"/>
        </w:rPr>
        <w:t>జేమ్స్</w:t>
      </w:r>
      <w:r>
        <w:rPr>
          <w:rFonts w:ascii="Times New Roman" w:hAnsi="Times New Roman" w:eastAsia="Times New Roman" w:cs="Times New Roman"/>
        </w:rPr>
        <w:t xml:space="preserve"> </w:t>
      </w:r>
      <w:r>
        <w:rPr>
          <w:rFonts w:ascii="Nirmala UI" w:hAnsi="Nirmala UI" w:eastAsia="Nirmala UI" w:cs="Nirmala UI"/>
        </w:rPr>
        <w:t>బైబిలు</w:t>
      </w:r>
      <w:r>
        <w:rPr>
          <w:rFonts w:ascii="Times New Roman" w:hAnsi="Times New Roman" w:eastAsia="Times New Roman" w:cs="Times New Roman"/>
        </w:rPr>
        <w:t xml:space="preserve"> </w:t>
      </w:r>
      <w:r>
        <w:rPr>
          <w:rFonts w:ascii="Nirmala UI" w:hAnsi="Nirmala UI" w:eastAsia="Nirmala UI" w:cs="Nirmala UI"/>
        </w:rPr>
        <w:t>అనువాదకులు</w:t>
      </w:r>
      <w:r>
        <w:rPr>
          <w:rFonts w:ascii="Times New Roman" w:hAnsi="Times New Roman" w:eastAsia="Times New Roman" w:cs="Times New Roman"/>
        </w:rPr>
        <w:t xml:space="preserve">, </w:t>
      </w:r>
      <w:r>
        <w:rPr>
          <w:rFonts w:ascii="Nirmala UI" w:hAnsi="Nirmala UI" w:eastAsia="Nirmala UI" w:cs="Nirmala UI"/>
        </w:rPr>
        <w:t>సాక్ష్యభారముచేత</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పదమును</w:t>
      </w:r>
      <w:r>
        <w:rPr>
          <w:rFonts w:ascii="Times New Roman" w:hAnsi="Times New Roman" w:eastAsia="Times New Roman" w:cs="Times New Roman"/>
        </w:rPr>
        <w:t xml:space="preserve"> </w:t>
      </w:r>
      <w:r>
        <w:rPr>
          <w:rFonts w:ascii="Nirmala UI" w:hAnsi="Nirmala UI" w:eastAsia="Nirmala UI" w:cs="Nirmala UI"/>
        </w:rPr>
        <w:t>నామవాచకముగా</w:t>
      </w:r>
      <w:r>
        <w:rPr>
          <w:rFonts w:ascii="Times New Roman" w:hAnsi="Times New Roman" w:eastAsia="Times New Roman" w:cs="Times New Roman"/>
        </w:rPr>
        <w:t xml:space="preserve"> </w:t>
      </w:r>
      <w:r>
        <w:rPr>
          <w:rFonts w:ascii="Nirmala UI" w:hAnsi="Nirmala UI" w:eastAsia="Nirmala UI" w:cs="Nirmala UI"/>
        </w:rPr>
        <w:t>ఉపయోగించిన</w:t>
      </w:r>
      <w:r>
        <w:rPr>
          <w:rFonts w:ascii="Times New Roman" w:hAnsi="Times New Roman" w:eastAsia="Times New Roman" w:cs="Times New Roman"/>
        </w:rPr>
        <w:t xml:space="preserve"> </w:t>
      </w:r>
      <w:r>
        <w:rPr>
          <w:rFonts w:ascii="Nirmala UI" w:hAnsi="Nirmala UI" w:eastAsia="Nirmala UI" w:cs="Nirmala UI"/>
        </w:rPr>
        <w:t>విధానాన్ని</w:t>
      </w:r>
      <w:r>
        <w:rPr>
          <w:rFonts w:ascii="Times New Roman" w:hAnsi="Times New Roman" w:eastAsia="Times New Roman" w:cs="Times New Roman"/>
        </w:rPr>
        <w:t xml:space="preserve"> “</w:t>
      </w:r>
      <w:r>
        <w:rPr>
          <w:rFonts w:ascii="Nirmala UI" w:hAnsi="Nirmala UI" w:eastAsia="Nirmala UI" w:cs="Nirmala UI"/>
        </w:rPr>
        <w:t>సరిచేయుటకు</w:t>
      </w:r>
      <w:r>
        <w:rPr>
          <w:rFonts w:ascii="Times New Roman" w:hAnsi="Times New Roman" w:eastAsia="Times New Roman" w:cs="Times New Roman"/>
        </w:rPr>
        <w:t xml:space="preserve">” </w:t>
      </w:r>
      <w:r>
        <w:rPr>
          <w:rFonts w:ascii="Nirmala UI" w:hAnsi="Nirmala UI" w:eastAsia="Nirmala UI" w:cs="Nirmala UI"/>
        </w:rPr>
        <w:t>బలవంతులయ్యిరి</w:t>
      </w:r>
      <w:r>
        <w:rPr>
          <w:rFonts w:ascii="Times New Roman" w:hAnsi="Times New Roman" w:eastAsia="Times New Roman" w:cs="Times New Roman"/>
        </w:rPr>
        <w:t xml:space="preserve">. </w:t>
      </w:r>
      <w:r>
        <w:rPr>
          <w:rFonts w:ascii="Nirmala UI" w:hAnsi="Nirmala UI" w:eastAsia="Nirmala UI" w:cs="Nirmala UI"/>
        </w:rPr>
        <w:t>దానియేలను</w:t>
      </w:r>
      <w:r>
        <w:rPr>
          <w:rFonts w:ascii="Times New Roman" w:hAnsi="Times New Roman" w:eastAsia="Times New Roman" w:cs="Times New Roman"/>
        </w:rPr>
        <w:t xml:space="preserve"> “</w:t>
      </w:r>
      <w:r>
        <w:rPr>
          <w:rFonts w:ascii="Nirmala UI" w:hAnsi="Nirmala UI" w:eastAsia="Nirmala UI" w:cs="Nirmala UI"/>
        </w:rPr>
        <w:t>సరిచేయుటకు</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పదమునకు</w:t>
      </w:r>
      <w:r>
        <w:rPr>
          <w:rFonts w:ascii="Times New Roman" w:hAnsi="Times New Roman" w:eastAsia="Times New Roman" w:cs="Times New Roman"/>
        </w:rPr>
        <w:t xml:space="preserve"> “sacrifice”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పదమును</w:t>
      </w:r>
      <w:r>
        <w:rPr>
          <w:rFonts w:ascii="Times New Roman" w:hAnsi="Times New Roman" w:eastAsia="Times New Roman" w:cs="Times New Roman"/>
        </w:rPr>
        <w:t xml:space="preserve"> </w:t>
      </w:r>
      <w:r>
        <w:rPr>
          <w:rFonts w:ascii="Nirmala UI" w:hAnsi="Nirmala UI" w:eastAsia="Nirmala UI" w:cs="Nirmala UI"/>
        </w:rPr>
        <w:t>చేర్చి</w:t>
      </w:r>
      <w:r>
        <w:rPr>
          <w:rFonts w:ascii="Times New Roman" w:hAnsi="Times New Roman" w:eastAsia="Times New Roman" w:cs="Times New Roman"/>
        </w:rPr>
        <w:t xml:space="preserve">, </w:t>
      </w:r>
      <w:r>
        <w:rPr>
          <w:rFonts w:ascii="Nirmala UI" w:hAnsi="Nirmala UI" w:eastAsia="Nirmala UI" w:cs="Nirmala UI"/>
        </w:rPr>
        <w:t>అట్లా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నామవాచకమును</w:t>
      </w:r>
      <w:r>
        <w:rPr>
          <w:rFonts w:ascii="Times New Roman" w:hAnsi="Times New Roman" w:eastAsia="Times New Roman" w:cs="Times New Roman"/>
        </w:rPr>
        <w:t xml:space="preserve"> </w:t>
      </w:r>
      <w:r>
        <w:rPr>
          <w:rFonts w:ascii="Nirmala UI" w:hAnsi="Nirmala UI" w:eastAsia="Nirmala UI" w:cs="Nirmala UI"/>
        </w:rPr>
        <w:t>క్రియావిశేషణముగా</w:t>
      </w:r>
      <w:r>
        <w:rPr>
          <w:rFonts w:ascii="Times New Roman" w:hAnsi="Times New Roman" w:eastAsia="Times New Roman" w:cs="Times New Roman"/>
        </w:rPr>
        <w:t xml:space="preserve"> </w:t>
      </w:r>
      <w:r>
        <w:rPr>
          <w:rFonts w:ascii="Nirmala UI" w:hAnsi="Nirmala UI" w:eastAsia="Nirmala UI" w:cs="Nirmala UI"/>
        </w:rPr>
        <w:t>మార్చిరి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అనువాదకులను</w:t>
      </w:r>
      <w:r>
        <w:rPr>
          <w:rFonts w:ascii="Times New Roman" w:hAnsi="Times New Roman" w:eastAsia="Times New Roman" w:cs="Times New Roman"/>
        </w:rPr>
        <w:t xml:space="preserve"> </w:t>
      </w:r>
      <w:r>
        <w:rPr>
          <w:rFonts w:ascii="Nirmala UI" w:hAnsi="Nirmala UI" w:eastAsia="Nirmala UI" w:cs="Nirmala UI"/>
        </w:rPr>
        <w:t>సరిచేయుటకై</w:t>
      </w:r>
      <w:r>
        <w:rPr>
          <w:rFonts w:ascii="Times New Roman" w:hAnsi="Times New Roman" w:eastAsia="Times New Roman" w:cs="Times New Roman"/>
        </w:rPr>
        <w:t xml:space="preserve">, </w:t>
      </w:r>
      <w:r>
        <w:rPr>
          <w:rFonts w:ascii="Nirmala UI" w:hAnsi="Nirmala UI" w:eastAsia="Nirmala UI" w:cs="Nirmala UI"/>
        </w:rPr>
        <w:t>ఎలెన్</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ప్రేరణ</w:t>
      </w:r>
      <w:r>
        <w:rPr>
          <w:rFonts w:ascii="Times New Roman" w:hAnsi="Times New Roman" w:eastAsia="Times New Roman" w:cs="Times New Roman"/>
        </w:rPr>
        <w:t xml:space="preserve"> </w:t>
      </w:r>
      <w:r>
        <w:rPr>
          <w:rFonts w:ascii="Nirmala UI" w:hAnsi="Nirmala UI" w:eastAsia="Nirmala UI" w:cs="Nirmala UI"/>
        </w:rPr>
        <w:t>కలిగి</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విధముగా</w:t>
      </w:r>
      <w:r>
        <w:rPr>
          <w:rFonts w:ascii="Times New Roman" w:hAnsi="Times New Roman" w:eastAsia="Times New Roman" w:cs="Times New Roman"/>
        </w:rPr>
        <w:t xml:space="preserve"> </w:t>
      </w:r>
      <w:r>
        <w:rPr>
          <w:rFonts w:ascii="Nirmala UI" w:hAnsi="Nirmala UI" w:eastAsia="Nirmala UI" w:cs="Nirmala UI"/>
        </w:rPr>
        <w:t>నమోదు</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“‘Daily’ </w:t>
      </w:r>
      <w:r>
        <w:rPr>
          <w:rFonts w:ascii="Nirmala UI" w:hAnsi="Nirmala UI" w:eastAsia="Nirmala UI" w:cs="Nirmala UI"/>
        </w:rPr>
        <w:t>విషయములో</w:t>
      </w:r>
      <w:r>
        <w:rPr>
          <w:rFonts w:ascii="Times New Roman" w:hAnsi="Times New Roman" w:eastAsia="Times New Roman" w:cs="Times New Roman"/>
        </w:rPr>
        <w:t xml:space="preserve"> </w:t>
      </w:r>
      <w:r>
        <w:rPr>
          <w:rFonts w:ascii="Nirmala UI" w:hAnsi="Nirmala UI" w:eastAsia="Nirmala UI" w:cs="Nirmala UI"/>
        </w:rPr>
        <w:t>చూచితిని</w:t>
      </w:r>
      <w:r>
        <w:rPr>
          <w:rFonts w:ascii="Times New Roman" w:hAnsi="Times New Roman" w:eastAsia="Times New Roman" w:cs="Times New Roman"/>
        </w:rPr>
        <w:t xml:space="preserve">; ‘sacrifice’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పదము</w:t>
      </w:r>
      <w:r>
        <w:rPr>
          <w:rFonts w:ascii="Times New Roman" w:hAnsi="Times New Roman" w:eastAsia="Times New Roman" w:cs="Times New Roman"/>
        </w:rPr>
        <w:t xml:space="preserve"> </w:t>
      </w:r>
      <w:r>
        <w:rPr>
          <w:rFonts w:ascii="Nirmala UI" w:hAnsi="Nirmala UI" w:eastAsia="Nirmala UI" w:cs="Nirmala UI"/>
        </w:rPr>
        <w:t>మనుష్యజ్ఞానముచేత</w:t>
      </w:r>
      <w:r>
        <w:rPr>
          <w:rFonts w:ascii="Times New Roman" w:hAnsi="Times New Roman" w:eastAsia="Times New Roman" w:cs="Times New Roman"/>
        </w:rPr>
        <w:t xml:space="preserve"> </w:t>
      </w:r>
      <w:r>
        <w:rPr>
          <w:rFonts w:ascii="Nirmala UI" w:hAnsi="Nirmala UI" w:eastAsia="Nirmala UI" w:cs="Nirmala UI"/>
        </w:rPr>
        <w:t>చేర్చబడినదై</w:t>
      </w:r>
      <w:r>
        <w:rPr>
          <w:rFonts w:ascii="Times New Roman" w:hAnsi="Times New Roman" w:eastAsia="Times New Roman" w:cs="Times New Roman"/>
        </w:rPr>
        <w:t xml:space="preserve">, </w:t>
      </w:r>
      <w:r>
        <w:rPr>
          <w:rFonts w:ascii="Nirmala UI" w:hAnsi="Nirmala UI" w:eastAsia="Nirmala UI" w:cs="Nirmala UI"/>
        </w:rPr>
        <w:t>మూలగ్రంథమునకు</w:t>
      </w:r>
      <w:r>
        <w:rPr>
          <w:rFonts w:ascii="Times New Roman" w:hAnsi="Times New Roman" w:eastAsia="Times New Roman" w:cs="Times New Roman"/>
        </w:rPr>
        <w:t xml:space="preserve"> </w:t>
      </w:r>
      <w:r>
        <w:rPr>
          <w:rFonts w:ascii="Nirmala UI" w:hAnsi="Nirmala UI" w:eastAsia="Nirmala UI" w:cs="Nirmala UI"/>
        </w:rPr>
        <w:t>సంబంధించినది</w:t>
      </w:r>
      <w:r>
        <w:rPr>
          <w:rFonts w:ascii="Times New Roman" w:hAnsi="Times New Roman" w:eastAsia="Times New Roman" w:cs="Times New Roman"/>
        </w:rPr>
        <w:t xml:space="preserve"> </w:t>
      </w:r>
      <w:r>
        <w:rPr>
          <w:rFonts w:ascii="Nirmala UI" w:hAnsi="Nirmala UI" w:eastAsia="Nirmala UI" w:cs="Nirmala UI"/>
        </w:rPr>
        <w:t>కాదని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ఘడియ</w:t>
      </w:r>
      <w:r>
        <w:rPr>
          <w:rFonts w:ascii="Times New Roman" w:hAnsi="Times New Roman" w:eastAsia="Times New Roman" w:cs="Times New Roman"/>
        </w:rPr>
        <w:t xml:space="preserve"> </w:t>
      </w:r>
      <w:r>
        <w:rPr>
          <w:rFonts w:ascii="Nirmala UI" w:hAnsi="Nirmala UI" w:eastAsia="Nirmala UI" w:cs="Nirmala UI"/>
        </w:rPr>
        <w:t>ప్రకటనను</w:t>
      </w:r>
      <w:r>
        <w:rPr>
          <w:rFonts w:ascii="Times New Roman" w:hAnsi="Times New Roman" w:eastAsia="Times New Roman" w:cs="Times New Roman"/>
        </w:rPr>
        <w:t xml:space="preserve"> </w:t>
      </w:r>
      <w:r>
        <w:rPr>
          <w:rFonts w:ascii="Nirmala UI" w:hAnsi="Nirmala UI" w:eastAsia="Nirmala UI" w:cs="Nirmala UI"/>
        </w:rPr>
        <w:t>ప్రకటించిన</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విషయములో</w:t>
      </w:r>
      <w:r>
        <w:rPr>
          <w:rFonts w:ascii="Times New Roman" w:hAnsi="Times New Roman" w:eastAsia="Times New Roman" w:cs="Times New Roman"/>
        </w:rPr>
        <w:t xml:space="preserve"> </w:t>
      </w:r>
      <w:r>
        <w:rPr>
          <w:rFonts w:ascii="Nirmala UI" w:hAnsi="Nirmala UI" w:eastAsia="Nirmala UI" w:cs="Nirmala UI"/>
        </w:rPr>
        <w:t>సరియైన</w:t>
      </w:r>
      <w:r>
        <w:rPr>
          <w:rFonts w:ascii="Times New Roman" w:hAnsi="Times New Roman" w:eastAsia="Times New Roman" w:cs="Times New Roman"/>
        </w:rPr>
        <w:t xml:space="preserve"> </w:t>
      </w:r>
      <w:r>
        <w:rPr>
          <w:rFonts w:ascii="Nirmala UI" w:hAnsi="Nirmala UI" w:eastAsia="Nirmala UI" w:cs="Nirmala UI"/>
        </w:rPr>
        <w:t>దృష్టిని</w:t>
      </w:r>
      <w:r>
        <w:rPr>
          <w:rFonts w:ascii="Times New Roman" w:hAnsi="Times New Roman" w:eastAsia="Times New Roman" w:cs="Times New Roman"/>
        </w:rPr>
        <w:t xml:space="preserve"> </w:t>
      </w:r>
      <w:r>
        <w:rPr>
          <w:rFonts w:ascii="Nirmala UI" w:hAnsi="Nirmala UI" w:eastAsia="Nirmala UI" w:cs="Nirmala UI"/>
        </w:rPr>
        <w:t>అనుగ్రహించెను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w:t>
      </w:r>
    </w:p>
    <w:p>
      <w:pPr>
        <w:pStyle w:val="ArticleBody"/>
        <w:jc w:val="left"/>
      </w:pP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w:t>
      </w:r>
      <w:r>
        <w:rPr>
          <w:rFonts w:ascii="Nirmala UI" w:hAnsi="Nirmala UI" w:eastAsia="Nirmala UI" w:cs="Nirmala UI"/>
        </w:rPr>
        <w:t>দৈনিক</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বুঝিবার</w:t>
      </w:r>
      <w:r>
        <w:rPr>
          <w:rFonts w:ascii="Times New Roman" w:hAnsi="Times New Roman" w:eastAsia="Times New Roman" w:cs="Times New Roman"/>
        </w:rPr>
        <w:t xml:space="preserve"> </w:t>
      </w:r>
      <w:r>
        <w:rPr>
          <w:rFonts w:ascii="Nirmala UI" w:hAnsi="Nirmala UI" w:eastAsia="Nirmala UI" w:cs="Nirmala UI"/>
        </w:rPr>
        <w:t>চেষ্টা</w:t>
      </w:r>
      <w:r>
        <w:rPr>
          <w:rFonts w:ascii="Times New Roman" w:hAnsi="Times New Roman" w:eastAsia="Times New Roman" w:cs="Times New Roman"/>
        </w:rPr>
        <w:t xml:space="preserve"> </w:t>
      </w:r>
      <w:r>
        <w:rPr>
          <w:rFonts w:ascii="Nirmala UI" w:hAnsi="Nirmala UI" w:eastAsia="Nirmala UI" w:cs="Nirmala UI"/>
        </w:rPr>
        <w:t>করিতেছিলেন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শেষপর্যন্ত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 xml:space="preserve"> </w:t>
      </w:r>
      <w:r>
        <w:rPr>
          <w:rFonts w:ascii="Nirmala UI" w:hAnsi="Nirmala UI" w:eastAsia="Nirmala UI" w:cs="Nirmala UI"/>
        </w:rPr>
        <w:t>থেসালনীকীয়তে</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অনুসারেও</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শব্দের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বুঝিবার</w:t>
      </w:r>
      <w:r>
        <w:rPr>
          <w:rFonts w:ascii="Times New Roman" w:hAnsi="Times New Roman" w:eastAsia="Times New Roman" w:cs="Times New Roman"/>
        </w:rPr>
        <w:t xml:space="preserve"> </w:t>
      </w:r>
      <w:r>
        <w:rPr>
          <w:rFonts w:ascii="Nirmala UI" w:hAnsi="Nirmala UI" w:eastAsia="Nirmala UI" w:cs="Nirmala UI"/>
        </w:rPr>
        <w:t>চেষ্টা</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ব্যবহৃত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নিরানব্বই</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ব্যবহৃত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দৈনিক</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উহা</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ব্যতীত</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কোথাও</w:t>
      </w:r>
      <w:r>
        <w:rPr>
          <w:rFonts w:ascii="Times New Roman" w:hAnsi="Times New Roman" w:eastAsia="Times New Roman" w:cs="Times New Roman"/>
        </w:rPr>
        <w:t xml:space="preserve"> </w:t>
      </w:r>
      <w:r>
        <w:rPr>
          <w:rFonts w:ascii="Nirmala UI" w:hAnsi="Nirmala UI" w:eastAsia="Nirmala UI" w:cs="Nirmala UI"/>
        </w:rPr>
        <w:t>পান</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বলিয়াছিলেন</w:t>
      </w:r>
      <w:r>
        <w:rPr>
          <w:rFonts w:ascii="Times New Roman" w:hAnsi="Times New Roman" w:eastAsia="Times New Roman" w:cs="Times New Roman"/>
        </w:rPr>
        <w:t>,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পড়িতে</w:t>
      </w:r>
      <w:r>
        <w:rPr>
          <w:rFonts w:ascii="Times New Roman" w:hAnsi="Times New Roman" w:eastAsia="Times New Roman" w:cs="Times New Roman"/>
        </w:rPr>
        <w:t xml:space="preserve"> </w:t>
      </w:r>
      <w:r>
        <w:rPr>
          <w:rFonts w:ascii="Nirmala UI" w:hAnsi="Nirmala UI" w:eastAsia="Nirmala UI" w:cs="Nirmala UI"/>
        </w:rPr>
        <w:t>থাকিলাম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ব্যতীত</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দৈনিক</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খুঁজিয়া</w:t>
      </w:r>
      <w:r>
        <w:rPr>
          <w:rFonts w:ascii="Times New Roman" w:hAnsi="Times New Roman" w:eastAsia="Times New Roman" w:cs="Times New Roman"/>
        </w:rPr>
        <w:t xml:space="preserve"> </w:t>
      </w:r>
      <w:r>
        <w:rPr>
          <w:rFonts w:ascii="Nirmala UI" w:hAnsi="Nirmala UI" w:eastAsia="Nirmala UI" w:cs="Nirmala UI"/>
        </w:rPr>
        <w:t>পেলাম</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কেবলমাত্র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অধ্যয়নের</w:t>
      </w:r>
      <w:r>
        <w:rPr>
          <w:rFonts w:ascii="Times New Roman" w:hAnsi="Times New Roman" w:eastAsia="Times New Roman" w:cs="Times New Roman"/>
        </w:rPr>
        <w:t xml:space="preserve"> </w:t>
      </w:r>
      <w:r>
        <w:rPr>
          <w:rFonts w:ascii="Nirmala UI" w:hAnsi="Nirmala UI" w:eastAsia="Nirmala UI" w:cs="Nirmala UI"/>
        </w:rPr>
        <w:t>পদ্ধতির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স্বর্গদূতদের</w:t>
      </w:r>
      <w:r>
        <w:rPr>
          <w:rFonts w:ascii="Times New Roman" w:hAnsi="Times New Roman" w:eastAsia="Times New Roman" w:cs="Times New Roman"/>
        </w:rPr>
        <w:t xml:space="preserve"> </w:t>
      </w:r>
      <w:r>
        <w:rPr>
          <w:rFonts w:ascii="Nirmala UI" w:hAnsi="Nirmala UI" w:eastAsia="Nirmala UI" w:cs="Nirmala UI"/>
        </w:rPr>
        <w:t>পরিচর্যার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ঐশী</w:t>
      </w:r>
      <w:r>
        <w:rPr>
          <w:rFonts w:ascii="Times New Roman" w:hAnsi="Times New Roman" w:eastAsia="Times New Roman" w:cs="Times New Roman"/>
        </w:rPr>
        <w:t xml:space="preserve"> </w:t>
      </w:r>
      <w:r>
        <w:rPr>
          <w:rFonts w:ascii="Nirmala UI" w:hAnsi="Nirmala UI" w:eastAsia="Nirmala UI" w:cs="Nirmala UI"/>
        </w:rPr>
        <w:t>প্রত্যাদেশ</w:t>
      </w:r>
      <w:r>
        <w:rPr>
          <w:rFonts w:ascii="Times New Roman" w:hAnsi="Times New Roman" w:eastAsia="Times New Roman" w:cs="Times New Roman"/>
        </w:rPr>
        <w:t xml:space="preserve"> </w:t>
      </w:r>
      <w:r>
        <w:rPr>
          <w:rFonts w:ascii="Nirmala UI" w:hAnsi="Nirmala UI" w:eastAsia="Nirmala UI" w:cs="Nirmala UI"/>
        </w:rPr>
        <w:t>দ্বারাও</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রত্নসমূহের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হইয়াছিলেন।</w:t>
      </w:r>
    </w:p>
    <w:p>
      <w:pPr>
        <w:pStyle w:val="ArticleBody"/>
        <w:jc w:val="left"/>
      </w:pPr>
      <w:r>
        <w:rPr>
          <w:rFonts w:ascii="Times New Roman" w:hAnsi="Times New Roman" w:eastAsia="Times New Roman" w:cs="Times New Roman"/>
        </w:rPr>
        <w:t>ꞌAdi shiꞌlya ashtȩ́hígíí “tʼááłáʼí” biniyé ádiníłʼį́į́ʼígíí tʼáá ajiłiiʼ, shí yáhootʼééłgo dah naashá; shí éí doo yáʼátʼééh da, hólǫ́ǫgo bitsʼą́ądóó Daniel bíkááʼgi “tʼááłáʼí” łahgo ashłaʼ doo nihá ájíłiiʼígíí tʼááłáʼí naki daalchííhígíí biniyé tʼáá ajiłiiʼígíí, łaʼgo tʼáá ajiłiiʼígíí biniyé ádaatʼéego yił náhásdlį́į́ʼígíí nitsáhákees bee dah naashá da. Tʼááłáʼí łaʼgo “tʼááłáʼí” Hebrew bizaad ‘rum’ yáhootʼééłgo yikááʼgóózhǫ́, dóó naki tʼááłáʼígo Hebrew bizaad ‘sur’ yáhootʼééłgo yikááʼgóózhǫ́. Tʼááłáʼí kʼehjįʼígíí naaltsoos bizaad bee “take away” yił dah naashá, shí éí Daniel bikʼehgo łaʼgo tʼááłáʼí, dilzinígíí 8, bee łáʼí 11, ‘rum’ éí “lift up and exalt” yee ádaatʼé, dóó dilzinígíí 11, bee łáʼí 31, dóó dilzinígíí 12, bee łáʼí 11, ‘sur’ éí “remove” yee ádaatʼé.</w:t>
      </w:r>
    </w:p>
    <w:p>
      <w:pPr>
        <w:pStyle w:val="ArticleBody"/>
        <w:jc w:val="left"/>
      </w:pPr>
      <w:r>
        <w:rPr>
          <w:rFonts w:ascii="Times New Roman" w:hAnsi="Times New Roman" w:eastAsia="Times New Roman" w:cs="Times New Roman"/>
        </w:rPr>
        <w:t>ئەو ئەڵه‌ناسەناسانەی خواردن و خواردنەوەی خواردنی بابڵیان دەکەن، مشتومڕ دەکەن کە جا شتێک لاببەیت یان هەر کات شتێک بەرز بکەیتەوە، هەردووکیان نووعێک لە لابردن نیشان دەدەن، بۆیە دەبێت هەردوو وشەکە وەک هەڵگری هەمان مانا تێبگەین. ئەوان مشتومڕ دەکەن کە سێ جارەکەی «هەمیشەییەکە»، کە «لابراوە»، هەمیشە مانای لابردن دەدات، و لەمەدا دەستنیشان دەکەن کە دانیال لە هەڵبژاردنی وشەکانی خۆی بێ‌ئاگایانە بوو. ئەوان ئەوە بە ئاشکرا ناڵێن، بەڵام بە دەرئەنجام ئەوە فێر دەکەن کە دانیال پێویست بوو لە هەموو سێ هاتووچوونەکەدا وشەی ‘sur’ بەکاربهێنێت، چونکە بەپێی ئەو ئەڵه‌ناسەناسانە وا دەفەرموون کە ئەو هەر جارێک «هەمیشەییەکە» «لابرا» هەمان شت مەبەست بوو.</w:t>
      </w:r>
    </w:p>
    <w:p>
      <w:pPr>
        <w:pStyle w:val="ArticleBody"/>
        <w:jc w:val="left"/>
      </w:pPr>
      <w:r>
        <w:rPr>
          <w:rFonts w:ascii="Times New Roman" w:hAnsi="Times New Roman" w:eastAsia="Times New Roman" w:cs="Times New Roman"/>
        </w:rPr>
        <w:t>Yesǫ kadẏn-da **‘miqdash’** hám **‘qodesh’** sözléri menen de solay etedi, olar ekewi de segizinshi baptıń on birinshiden on törtinshige shekemgi ayatlarynda “muqaddes orın” dep audarılǵan. Sol tört ayattaǵı “muqaddes orın” degenniń hárbir qollanılıwında olar barshası da Qudaydıń muqaddes orının bildiredi dep qatań turadı. Bul jerde de qorytındı boyınsha, Daniel úsh ret qollanılǵan siltemeniń bärinde tek **‘qodesh’** sözín qollanıp, on birinshi ayatta **‘miqdash’** sözín qollanbaǵan bolıwı kerek edi. Miller bul sözler arasyndaǵı ayırmashılıqtı tanımaǵan bolar edi, biraq házirgi teologlar onı tanıydı, sonday etip tanıǵanda da, hesh qanday ayırmashılıq moyınlanbawı kerek dep turadı. Degenmen, sözler arasyndaǵı ayırmashılıqlardı tanımaǵan Miller, házirgi teologlardıń túsinigine tura qarsı bolǵan bir túsinikke kelgen edi.</w:t>
      </w:r>
    </w:p>
    <w:p>
      <w:pPr>
        <w:pStyle w:val="ArticleBody"/>
        <w:jc w:val="left"/>
      </w:pPr>
      <w:r>
        <w:rPr>
          <w:rFonts w:ascii="Times New Roman" w:hAnsi="Times New Roman" w:eastAsia="Times New Roman" w:cs="Times New Roman"/>
        </w:rPr>
        <w:t>الواقع أن دانيال كان كاتبًا دقيقًا، يعرف اللغة العبرية، وقد اعتُبر أفهم من جميع حكماء بابل الآخرين بعشرة أضعاف. فإن كان أحد يعرف الاستعمال الصحيح للغة العبرية، وكيف ينبغي أن تُمثَّل تمثيلًا صحيحًا في ذلك التاريخ بعينه، فهو دانيال. فإذا استخدم دانيال ألفاظًا مختلفة، فلأنها كانت مقصودةً لتفيد معاني مختلفة، سعى هو عمدًا إلى التعبير عنها. وحين يُعترف باستعمال دانيال المتميّز للألفاظ التي تُرجمت «المقدس» أو «يَنزع»، فإنها تؤيّد فهم ميلر لـ«الدائم»، وهو الفهم الذي أدركه ميلر في المقطع نفسه الذي يبيّن فيه بولس أن الذين يبغضون الحق مُقدَّر لهم أن يقبلوا ضلالًا قويًّا.</w:t>
      </w:r>
    </w:p>
    <w:p>
      <w:pPr>
        <w:pStyle w:val="ArticleBody"/>
        <w:jc w:val="left"/>
      </w:pPr>
      <w:r>
        <w:rPr>
          <w:rFonts w:ascii="Times New Roman" w:hAnsi="Times New Roman" w:eastAsia="Times New Roman" w:cs="Times New Roman"/>
        </w:rPr>
        <w:t>Անոնք, որ կ’ատեն ճշմարտութիւնը եւ կը հաւատան սուտին, որ զօրեղ մոլորութիւն կը ծնանի, նաեւ ներկայացուած են իբրեւ Եփրեմի հարբեցողներ, որոնք երկու դասակարգերու մէջ կը ներկայացուին։ Մէկ դասակարգը կրթուած առաջնորդութիւնն է, իսկ միւս դասակարգը անուսներն են, որոնք միայն այն պիտի լսեն, ինչ որ կրթուածները կը սորվեցնեն իրենց։ Անոնք են, որ սուտերու տակ կը ծածկուին եւ մահուան հետ ուխտ կը կնքեն։ Անոնք են Մատթէոս քսանհինգի յիմար կոյսերը, եւ անոնք, որոնց հոգին կը բարձրանայ Ամբակում երկրորդին մէջ։ Անոնք են, որ կը մերժեն Միլլըրի երազին հիմնադրական ճշմարտութիւնները, որոնք վախճանին տասնապատիկ աւելի պայծառ կը շողան (ներկայացնելով արդի Իսրայէլի տասներորդ եւ վերջին փորձութիւնը), ինչպէս որ նախանշուած էր հին Իսրայէլի տասներորդ եւ վերջին փորձութեամբ։</w:t>
      </w:r>
    </w:p>
    <w:p>
      <w:pPr>
        <w:pStyle w:val="ArticleBody"/>
        <w:jc w:val="left"/>
      </w:pPr>
      <w:r>
        <w:rPr>
          <w:rFonts w:ascii="Myanmar Text" w:hAnsi="Myanmar Text" w:eastAsia="Myanmar Text" w:cs="Myanmar Text"/>
        </w:rPr>
        <w:t>ယခုလေ့လာမှုကို</w:t>
      </w:r>
      <w:r>
        <w:rPr>
          <w:rFonts w:ascii="Times New Roman" w:hAnsi="Times New Roman" w:eastAsia="Times New Roman" w:cs="Times New Roman"/>
        </w:rPr>
        <w:t xml:space="preserve"> </w:t>
      </w:r>
      <w:r>
        <w:rPr>
          <w:rFonts w:ascii="Myanmar Text" w:hAnsi="Myanmar Text" w:eastAsia="Myanmar Text" w:cs="Myanmar Text"/>
        </w:rPr>
        <w:t>နောက်လာမည့်</w:t>
      </w:r>
      <w:r>
        <w:rPr>
          <w:rFonts w:ascii="Times New Roman" w:hAnsi="Times New Roman" w:eastAsia="Times New Roman" w:cs="Times New Roman"/>
        </w:rPr>
        <w:t xml:space="preserve"> </w:t>
      </w:r>
      <w:r>
        <w:rPr>
          <w:rFonts w:ascii="Myanmar Text" w:hAnsi="Myanmar Text" w:eastAsia="Myanmar Text" w:cs="Myanmar Text"/>
        </w:rPr>
        <w:t>ဆောင်းပါးတွင်</w:t>
      </w:r>
      <w:r>
        <w:rPr>
          <w:rFonts w:ascii="Times New Roman" w:hAnsi="Times New Roman" w:eastAsia="Times New Roman" w:cs="Times New Roman"/>
        </w:rPr>
        <w:t xml:space="preserve"> </w:t>
      </w:r>
      <w:r>
        <w:rPr>
          <w:rFonts w:ascii="Myanmar Text" w:hAnsi="Myanmar Text" w:eastAsia="Myanmar Text" w:cs="Myanmar Text"/>
        </w:rPr>
        <w:t>ဆက်လက်တင်ပြသွားမည်။</w:t>
      </w:r>
    </w:p>
    <w:p>
      <w:pPr>
        <w:pStyle w:val="ArticleScripture"/>
        <w:jc w:val="left"/>
      </w:pPr>
      <w:r>
        <w:rPr>
          <w:rFonts w:ascii="Times New Roman" w:hAnsi="Times New Roman" w:eastAsia="Times New Roman" w:cs="Times New Roman"/>
        </w:rPr>
        <w:t>Жә Ходай Мусага әйтте: Бу халык күпме вакыт Мине рәнҗетеп торыр? Алар арасында күрсәткән бөтен билгеләремә карамастан, күпме вакыт Миңа иман итмәсләр? Мин аларны ваба белән җәзалармын, һәм мирассыз калдырырмын; ә синнән алардан да бөегрәк һәм куәтлерәк халык тудырырмын. Ләкин Муса Ходайга әйтте: Моны мисырлылар ишетерләр, чөнки Син Үз куәтең белән бу халыкны алар арасыннан алып чыктың. Һәм алар бу җирдә яшәүчеләргә сөйләрләр; чөнки болар Синең, йә Ходай, бу халык арасында булуыңны ишеттеләр, Синең, йә Ходай, йөзгә-йөз күренүеңне, болытыңның алар өстендә торуын, көндез алар алдыннан болыт баганасында, ә төнлә ут баганасында йөрүеңне ишеттеләр. Әгәр Син бу халыкның барысын да бер кеше кебек үтерсәң, шул чакта Синең даныңны ишеткән халыклар: «Ходай бу халыкны Үзе ант иткән җиргә кертә алмады, шуңа күрә аларны чүлдә һәлак итте», — дип әйтерләр.</w:t>
      </w:r>
    </w:p>
    <w:p>
      <w:pPr>
        <w:pStyle w:val="ArticleScripture"/>
        <w:jc w:val="left"/>
      </w:pPr>
      <w:r>
        <w:rPr>
          <w:rFonts w:ascii="Times New Roman" w:hAnsi="Times New Roman" w:eastAsia="Times New Roman" w:cs="Times New Roman"/>
        </w:rPr>
        <w:t>Y ahora, te ruego, sea magnificado el poder de mi Señor, conforme a lo que has hablado, diciendo: El Señor es tardo para la ira y grande en misericordia, que perdona la iniquidad y la transgresión, y que de ningún modo tendrá por inocente al culpable; que visita la iniquidad de los padres sobre los hijos hasta la tercera y la cuarta generación. Perdona, te ruego, la iniquidad de este pueblo conforme a la grandeza de tu misericordia, y como has perdonado a este pueblo desde Egipto hasta ahora. Y el Señor dijo: Yo he perdonado conforme a tu palabra; pero tan ciertamente como que vivo yo, toda la tierra será llena de la gloria del Señor. Porque todos aquellos hombres que han visto mi gloria y mis milagros que hice en Egipto y en el desierto, y me han tentado ya estas diez veces, y no han oído mi voz, ciertamente no verán la tierra que juré a sus padres, ni ninguno de los que me provocaron la verá. Pero a mi siervo Caleb, por cuanto hubo en él otro espíritu y me siguió plenamente, lo introduciré en la tierra a la cual entró, y su descendencia la poseerá. Números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ئەندامى دانيال — يۈز قىرىق سەككىزىنچىسى</dc:title>
  <dc:subject>ᱦᱟᱵᱟᱠᱠᱩᱠᱟᱹ ᱨᱮᱱ ᱫᱟᱨᱥᱚᱱ ᱟᱨ ᱢᱤᱞᱞᱟᱨ ᱨᱮᱱ ᱥᱩᱯᱱᱟᱹ: ᱵᱷᱟᱵᱤᱥᱭᱚᱫᱽᱵᱟᱱᱤᱭᱟᱹ ᱴᱮᱵᱩᱞᱠᱚ ᱨᱮᱱ ᱩᱫᱽᱜᱷᱟᱴᱚᱱ</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