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نَبِيس إيلِك يۈز ئەللىك تۆرتۈنچى كىتابى</w:t>
      </w:r>
    </w:p>
    <w:p>
      <w:pPr>
        <w:pStyle w:val="ArticleSubtitle"/>
        <w:jc w:val="left"/>
      </w:pPr>
      <w:r>
        <w:rPr>
          <w:rFonts w:ascii="Nirmala UI" w:hAnsi="Nirmala UI" w:eastAsia="Nirmala UI" w:cs="Nirmala UI"/>
        </w:rPr>
        <w:t>ᱫᱟᱱᱤᱭᱮᱞ</w:t>
      </w:r>
      <w:r>
        <w:rPr>
          <w:rFonts w:ascii="Arial" w:hAnsi="Arial" w:eastAsia="Arial" w:cs="Arial"/>
        </w:rPr>
        <w:t xml:space="preserve"> </w:t>
      </w:r>
      <w:r>
        <w:rPr>
          <w:rFonts w:ascii="Nirmala UI" w:hAnsi="Nirmala UI" w:eastAsia="Nirmala UI" w:cs="Nirmala UI"/>
        </w:rPr>
        <w:t>ᱨᱮᱱᱟᱜ</w:t>
      </w:r>
      <w:r>
        <w:rPr>
          <w:rFonts w:ascii="Arial" w:hAnsi="Arial" w:eastAsia="Arial" w:cs="Arial"/>
        </w:rPr>
        <w:t xml:space="preserve"> </w:t>
      </w:r>
      <w:r>
        <w:rPr>
          <w:rFonts w:ascii="Nirmala UI" w:hAnsi="Nirmala UI" w:eastAsia="Nirmala UI" w:cs="Nirmala UI"/>
        </w:rPr>
        <w:t>ᱴᱟᱭᱚᱢ</w:t>
      </w:r>
      <w:r>
        <w:rPr>
          <w:rFonts w:ascii="Arial" w:hAnsi="Arial" w:eastAsia="Arial" w:cs="Arial"/>
        </w:rPr>
        <w:t xml:space="preserve"> </w:t>
      </w:r>
      <w:r>
        <w:rPr>
          <w:rFonts w:ascii="Nirmala UI" w:hAnsi="Nirmala UI" w:eastAsia="Nirmala UI" w:cs="Nirmala UI"/>
        </w:rPr>
        <w:t>ᱫᱟᱨᱥᱚᱱ</w:t>
      </w:r>
      <w:r>
        <w:rPr>
          <w:rFonts w:ascii="Arial" w:hAnsi="Arial" w:eastAsia="Arial" w:cs="Arial"/>
        </w:rPr>
        <w:t xml:space="preserve"> </w:t>
      </w:r>
      <w:r>
        <w:rPr>
          <w:rFonts w:ascii="Nirmala UI" w:hAnsi="Nirmala UI" w:eastAsia="Nirmala UI" w:cs="Nirmala UI"/>
        </w:rPr>
        <w:t>ᱵᱩᱡᱷᱟᱹᱣ</w:t>
      </w:r>
      <w:r>
        <w:rPr>
          <w:rFonts w:ascii="Arial" w:hAnsi="Arial" w:eastAsia="Arial" w:cs="Arial"/>
        </w:rPr>
        <w:t xml:space="preserve">: </w:t>
      </w:r>
      <w:r>
        <w:rPr>
          <w:rFonts w:ascii="Nirmala UI" w:hAnsi="Nirmala UI" w:eastAsia="Nirmala UI" w:cs="Nirmala UI"/>
        </w:rPr>
        <w:t>ᱵᱮᱞᱴᱮᱥᱟᱡᱟᱨ</w:t>
      </w:r>
      <w:r>
        <w:rPr>
          <w:rFonts w:ascii="Arial" w:hAnsi="Arial" w:eastAsia="Arial" w:cs="Arial"/>
        </w:rPr>
        <w:t xml:space="preserve"> </w:t>
      </w:r>
      <w:r>
        <w:rPr>
          <w:rFonts w:ascii="Nirmala UI" w:hAnsi="Nirmala UI" w:eastAsia="Nirmala UI" w:cs="Nirmala UI"/>
        </w:rPr>
        <w:t>ᱟᱨ</w:t>
      </w:r>
      <w:r>
        <w:rPr>
          <w:rFonts w:ascii="Arial" w:hAnsi="Arial" w:eastAsia="Arial" w:cs="Arial"/>
        </w:rPr>
        <w:t xml:space="preserve"> </w:t>
      </w:r>
      <w:r>
        <w:rPr>
          <w:rFonts w:ascii="Nirmala UI" w:hAnsi="Nirmala UI" w:eastAsia="Nirmala UI" w:cs="Nirmala UI"/>
        </w:rPr>
        <w:t>ᱵᱷᱟᱵᱤᱥᱭᱚᱫᱽᱵᱟᱱᱤ</w:t>
      </w:r>
      <w:r>
        <w:rPr>
          <w:rFonts w:ascii="Arial" w:hAnsi="Arial" w:eastAsia="Arial" w:cs="Arial"/>
        </w:rPr>
        <w:t xml:space="preserve"> </w:t>
      </w:r>
      <w:r>
        <w:rPr>
          <w:rFonts w:ascii="Nirmala UI" w:hAnsi="Nirmala UI" w:eastAsia="Nirmala UI" w:cs="Nirmala UI"/>
        </w:rPr>
        <w:t>ᱩᱫᱽᱜᱷᱟᱴᱚᱱ</w:t>
      </w:r>
      <w:r>
        <w:rPr>
          <w:rFonts w:ascii="Arial" w:hAnsi="Arial" w:eastAsia="Arial" w:cs="Arial"/>
        </w:rPr>
        <w:t xml:space="preserve"> </w:t>
      </w:r>
      <w:r>
        <w:rPr>
          <w:rFonts w:ascii="Nirmala UI" w:hAnsi="Nirmala UI" w:eastAsia="Nirmala UI" w:cs="Nirmala UI"/>
        </w:rPr>
        <w:t>ᱨᱮᱭᱟᱜ</w:t>
      </w:r>
      <w:r>
        <w:rPr>
          <w:rFonts w:ascii="Arial" w:hAnsi="Arial" w:eastAsia="Arial" w:cs="Arial"/>
        </w:rPr>
        <w:t xml:space="preserve"> </w:t>
      </w:r>
      <w:r>
        <w:rPr>
          <w:rFonts w:ascii="Nirmala UI" w:hAnsi="Nirmala UI" w:eastAsia="Nirmala UI" w:cs="Nirmala UI"/>
        </w:rPr>
        <w:t>ᱢᱟᱦᱟᱛᱣ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ڕوویای کۆتایی دانیال لە سێ بەشی کۆتایی پێک دێت. یەکەمینی ئەو بەشانە، وەک دوایینی ئەو سێ بەشەش، ئەزموونی دانیال دیاری دەکات، و بەشی ناوەندیش مێژووی پێغەمبەرانە دیاری دەکات کە بە هەستان و کەوتنی کۆتایی پاشای ساختەی باکوور دەپردازێت. بەشی یەکەم وەک بەشی دوایینە، و بەشی ناوەند نوێنەرایەتی یاخیبوونی پاشای ساختەی باکوور دەکات. ڕوویای کۆتایی دانیال، ڕوویای ڕووباری حیدەکێل، واژۆی ئەلفا و ئۆمێگای هەڵگرتووە، ئەوەی کە ڕاستییە. کاتێک دەست دەکەین بە تاوتوێکردنی ڕوویای کۆتایی دانیال، لە ئایەتی یەکەوە دەست پێ دەکەین.</w:t>
      </w:r>
    </w:p>
    <w:p>
      <w:pPr>
        <w:pStyle w:val="ArticleScripture"/>
        <w:jc w:val="left"/>
      </w:pPr>
      <w:r>
        <w:rPr>
          <w:rFonts w:ascii="Times New Roman" w:hAnsi="Times New Roman" w:eastAsia="Times New Roman" w:cs="Times New Roman"/>
        </w:rPr>
        <w:t>Kayiroosi, mootii Faares, waggaa sadaffaatti dubbichi tokko Daaniʼelitti mulʼifame; inni maqaan isaa Belteshaazaar jedhamee waamama ture; dubbichis dhugaa ture, yeroo murtaaʼes dheeraa ture; innis dubbicha hubate, mulʼaticha irrattis hubannaa qabaate. Daaniʼel 10:1.</w:t>
      </w:r>
    </w:p>
    <w:p>
      <w:pPr>
        <w:pStyle w:val="ArticleBody"/>
        <w:jc w:val="left"/>
      </w:pPr>
      <w:r>
        <w:rPr>
          <w:rFonts w:ascii="Times New Roman" w:hAnsi="Times New Roman" w:eastAsia="Times New Roman" w:cs="Times New Roman"/>
        </w:rPr>
        <w:t>Ayat ini mengandungi beberapa kebenaran yang terhimpun di dalamnya. Yang pertama ialah nama Daniel, “Belteshazzar”.</w:t>
      </w:r>
    </w:p>
    <w:p>
      <w:pPr>
        <w:pStyle w:val="ArticleScripture"/>
        <w:jc w:val="left"/>
      </w:pPr>
      <w:r>
        <w:rPr>
          <w:rFonts w:ascii="Times New Roman" w:hAnsi="Times New Roman" w:eastAsia="Times New Roman" w:cs="Times New Roman"/>
        </w:rPr>
        <w:t>Пачатковы еўнух даў імёны: Даніілу ён даў імя Валтазар; Хананіі — Седрах; Місаілу — Місах; і Азарыі — Авдэнага. Данііл 1:7.</w:t>
      </w:r>
    </w:p>
    <w:p>
      <w:pPr>
        <w:pStyle w:val="ArticleBody"/>
        <w:jc w:val="left"/>
      </w:pPr>
      <w:r>
        <w:rPr>
          <w:rFonts w:ascii="Times New Roman" w:hAnsi="Times New Roman" w:eastAsia="Times New Roman" w:cs="Times New Roman"/>
        </w:rPr>
        <w:t>Daniy’el chapter one keessa maqaan isaa “Belteshazzar” jedhamee kennameef, mul’ata isaa isa dhumaa yeroo ibsamu malee achii booda deebi’ee “Belteshazzar” jedhamuun hin beekkamu. Kanaafuu Belteshazzar maqaa isaa ragaa isaa isa jalqabaa fi isa dhumaa keessatti ta’a. Raajii keessatti maqaa jijjiiruun mallattoo hariiroo kakuu Waaqayyo fi saba Isaa gidduu jiru agarsiisa. Yommuu Gooftaan Abramiifi Saraay wajjin kakuu seene, maqaa isaanii gara Abrahaamii fi Saaraa tti jijjiire. Maqaa Yaaqoobis gara Israa’elitti jijjiire; akkasumas saba kakuu Isaa kan bara dhumaa maqaa haaraa akka argatan abdachiisa.</w:t>
      </w:r>
    </w:p>
    <w:p>
      <w:pPr>
        <w:pStyle w:val="ArticleScripture"/>
        <w:jc w:val="left"/>
      </w:pPr>
      <w:r>
        <w:rPr>
          <w:rFonts w:ascii="Times New Roman" w:hAnsi="Times New Roman" w:eastAsia="Times New Roman" w:cs="Times New Roman"/>
        </w:rPr>
        <w:t>Шьон азы сара дгьыл исымшьҭу, Иерусалим азы сара сҳәымшьу, аҭыӡшәа аҿацә еиԥш иҭыҵанӡа, аиқәырхарала ишаха аиқәыршәахьоу алампа еиԥш ианҩеиуаӡа. Амилаҭқәа урыҭыӡшәа рбоит, аҳрақәа зегьы уаԥша. Уаанӡа уаӡәхоит Иаҳве иҿы ахьӡ иану ҿыцла. Исайа 61:1, 2.</w:t>
      </w:r>
    </w:p>
    <w:p>
      <w:pPr>
        <w:pStyle w:val="ArticleBody"/>
        <w:jc w:val="left"/>
      </w:pP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የሆኑትን</w:t>
      </w:r>
      <w:r>
        <w:rPr>
          <w:rFonts w:ascii="Times New Roman" w:hAnsi="Times New Roman" w:eastAsia="Times New Roman" w:cs="Times New Roman"/>
        </w:rPr>
        <w:t xml:space="preserve"> </w:t>
      </w:r>
      <w:r>
        <w:rPr>
          <w:rFonts w:ascii="Ebrima" w:hAnsi="Ebrima" w:eastAsia="Ebrima" w:cs="Ebrima"/>
        </w:rPr>
        <w:t>ፊላዴልፍያውያንም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ይሰጣቸዋል።</w:t>
      </w:r>
    </w:p>
    <w:p>
      <w:pPr>
        <w:pStyle w:val="ArticleScripture"/>
        <w:jc w:val="left"/>
      </w:pPr>
      <w:r>
        <w:rPr>
          <w:rFonts w:ascii="Times New Roman" w:hAnsi="Times New Roman" w:eastAsia="Times New Roman" w:cs="Times New Roman"/>
        </w:rPr>
        <w:t>“</w:t>
      </w:r>
      <w:r>
        <w:rPr>
          <w:rFonts w:ascii="Gadugi" w:hAnsi="Gadugi" w:eastAsia="Gadugi" w:cs="Gadugi"/>
        </w:rPr>
        <w:t>ᑕᓐᓇ</w:t>
      </w:r>
      <w:r>
        <w:rPr>
          <w:rFonts w:ascii="Times New Roman" w:hAnsi="Times New Roman" w:eastAsia="Times New Roman" w:cs="Times New Roman"/>
        </w:rPr>
        <w:t xml:space="preserve"> </w:t>
      </w:r>
      <w:r>
        <w:rPr>
          <w:rFonts w:ascii="Gadugi" w:hAnsi="Gadugi" w:eastAsia="Gadugi" w:cs="Gadugi"/>
        </w:rPr>
        <w:t>ᐃᖃᓇᐃᔭᖅᑐᖅ</w:t>
      </w:r>
      <w:r>
        <w:rPr>
          <w:rFonts w:ascii="Times New Roman" w:hAnsi="Times New Roman" w:eastAsia="Times New Roman" w:cs="Times New Roman"/>
        </w:rPr>
        <w:t xml:space="preserve"> </w:t>
      </w:r>
      <w:r>
        <w:rPr>
          <w:rFonts w:ascii="Gadugi" w:hAnsi="Gadugi" w:eastAsia="Gadugi" w:cs="Gadugi"/>
        </w:rPr>
        <w:t>ᐊᖅᓵᕐᓂᖅ</w:t>
      </w:r>
      <w:r>
        <w:rPr>
          <w:rFonts w:ascii="Times New Roman" w:hAnsi="Times New Roman" w:eastAsia="Times New Roman" w:cs="Times New Roman"/>
        </w:rPr>
        <w:t xml:space="preserve"> </w:t>
      </w:r>
      <w:r>
        <w:rPr>
          <w:rFonts w:ascii="Gadugi" w:hAnsi="Gadugi" w:eastAsia="Gadugi" w:cs="Gadugi"/>
        </w:rPr>
        <w:t>ᓵᖓᓂ</w:t>
      </w:r>
      <w:r>
        <w:rPr>
          <w:rFonts w:ascii="Times New Roman" w:hAnsi="Times New Roman" w:eastAsia="Times New Roman" w:cs="Times New Roman"/>
        </w:rPr>
        <w:t xml:space="preserve">, </w:t>
      </w:r>
      <w:r>
        <w:rPr>
          <w:rFonts w:ascii="Gadugi" w:hAnsi="Gadugi" w:eastAsia="Gadugi" w:cs="Gadugi"/>
        </w:rPr>
        <w:t>ᑖᓐᓇ</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ᓯᓚᑐᔫᑉ</w:t>
      </w:r>
      <w:r>
        <w:rPr>
          <w:rFonts w:ascii="Times New Roman" w:hAnsi="Times New Roman" w:eastAsia="Times New Roman" w:cs="Times New Roman"/>
        </w:rPr>
        <w:t xml:space="preserve"> </w:t>
      </w:r>
      <w:r>
        <w:rPr>
          <w:rFonts w:ascii="Gadugi" w:hAnsi="Gadugi" w:eastAsia="Gadugi" w:cs="Gadugi"/>
        </w:rPr>
        <w:t>ᑐᔪᕐᒥᕕᖓᓂ</w:t>
      </w:r>
      <w:r>
        <w:rPr>
          <w:rFonts w:ascii="Times New Roman" w:hAnsi="Times New Roman" w:eastAsia="Times New Roman" w:cs="Times New Roman"/>
        </w:rPr>
        <w:t xml:space="preserve"> </w:t>
      </w:r>
      <w:r>
        <w:rPr>
          <w:rFonts w:ascii="Gadugi" w:hAnsi="Gadugi" w:eastAsia="Gadugi" w:cs="Gadugi"/>
        </w:rPr>
        <w:t>ᓇᖅᑯᔨᐅᑎᑕᐅᑎᓛᖅᐸᕋ</w:t>
      </w:r>
      <w:r>
        <w:rPr>
          <w:rFonts w:ascii="Times New Roman" w:hAnsi="Times New Roman" w:eastAsia="Times New Roman" w:cs="Times New Roman"/>
        </w:rPr>
        <w:t xml:space="preserve">, </w:t>
      </w:r>
      <w:r>
        <w:rPr>
          <w:rFonts w:ascii="Gadugi" w:hAnsi="Gadugi" w:eastAsia="Gadugi" w:cs="Gadugi"/>
        </w:rPr>
        <w:t>ᐊᒻᒪ</w:t>
      </w:r>
      <w:r>
        <w:rPr>
          <w:rFonts w:ascii="Times New Roman" w:hAnsi="Times New Roman" w:eastAsia="Times New Roman" w:cs="Times New Roman"/>
        </w:rPr>
        <w:t xml:space="preserve"> </w:t>
      </w:r>
      <w:r>
        <w:rPr>
          <w:rFonts w:ascii="Gadugi" w:hAnsi="Gadugi" w:eastAsia="Gadugi" w:cs="Gadugi"/>
        </w:rPr>
        <w:t>ᑕᐃᑯᖓ</w:t>
      </w:r>
      <w:r>
        <w:rPr>
          <w:rFonts w:ascii="Times New Roman" w:hAnsi="Times New Roman" w:eastAsia="Times New Roman" w:cs="Times New Roman"/>
        </w:rPr>
        <w:t xml:space="preserve"> </w:t>
      </w:r>
      <w:r>
        <w:rPr>
          <w:rFonts w:ascii="Gadugi" w:hAnsi="Gadugi" w:eastAsia="Gadugi" w:cs="Gadugi"/>
        </w:rPr>
        <w:t>ᓯᓚᑖᓄᑦ</w:t>
      </w:r>
      <w:r>
        <w:rPr>
          <w:rFonts w:ascii="Times New Roman" w:hAnsi="Times New Roman" w:eastAsia="Times New Roman" w:cs="Times New Roman"/>
        </w:rPr>
        <w:t xml:space="preserve"> </w:t>
      </w:r>
      <w:r>
        <w:rPr>
          <w:rFonts w:ascii="Gadugi" w:hAnsi="Gadugi" w:eastAsia="Gadugi" w:cs="Gadugi"/>
        </w:rPr>
        <w:t>ᐊᓂᓂᖅ</w:t>
      </w:r>
      <w:r>
        <w:rPr>
          <w:rFonts w:ascii="Times New Roman" w:hAnsi="Times New Roman" w:eastAsia="Times New Roman" w:cs="Times New Roman"/>
        </w:rPr>
        <w:t xml:space="preserve"> </w:t>
      </w:r>
      <w:r>
        <w:rPr>
          <w:rFonts w:ascii="Gadugi" w:hAnsi="Gadugi" w:eastAsia="Gadugi" w:cs="Gadugi"/>
        </w:rPr>
        <w:t>ᐃᓱᓕᔾᔮᙱᓚᖅ</w:t>
      </w:r>
      <w:r>
        <w:rPr>
          <w:rFonts w:ascii="Times New Roman" w:hAnsi="Times New Roman" w:eastAsia="Times New Roman" w:cs="Times New Roman"/>
        </w:rPr>
        <w:t xml:space="preserve">; </w:t>
      </w:r>
      <w:r>
        <w:rPr>
          <w:rFonts w:ascii="Gadugi" w:hAnsi="Gadugi" w:eastAsia="Gadugi" w:cs="Gadugi"/>
        </w:rPr>
        <w:t>ᐊᒻᒪ</w:t>
      </w:r>
      <w:r>
        <w:rPr>
          <w:rFonts w:ascii="Times New Roman" w:hAnsi="Times New Roman" w:eastAsia="Times New Roman" w:cs="Times New Roman"/>
        </w:rPr>
        <w:t xml:space="preserve"> </w:t>
      </w:r>
      <w:r>
        <w:rPr>
          <w:rFonts w:ascii="Gadugi" w:hAnsi="Gadugi" w:eastAsia="Gadugi" w:cs="Gadugi"/>
        </w:rPr>
        <w:t>ᑖᓐᓇ</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ᑎᑎᕋᕐᓗᒍ</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ᓯᓚᑐᔫᑉ</w:t>
      </w:r>
      <w:r>
        <w:rPr>
          <w:rFonts w:ascii="Times New Roman" w:hAnsi="Times New Roman" w:eastAsia="Times New Roman" w:cs="Times New Roman"/>
        </w:rPr>
        <w:t xml:space="preserve"> </w:t>
      </w:r>
      <w:r>
        <w:rPr>
          <w:rFonts w:ascii="Gadugi" w:hAnsi="Gadugi" w:eastAsia="Gadugi" w:cs="Gadugi"/>
        </w:rPr>
        <w:t>ᐊᑎᖓ</w:t>
      </w:r>
      <w:r>
        <w:rPr>
          <w:rFonts w:ascii="Times New Roman" w:hAnsi="Times New Roman" w:eastAsia="Times New Roman" w:cs="Times New Roman"/>
        </w:rPr>
        <w:t xml:space="preserve">, </w:t>
      </w:r>
      <w:r>
        <w:rPr>
          <w:rFonts w:ascii="Gadugi" w:hAnsi="Gadugi" w:eastAsia="Gadugi" w:cs="Gadugi"/>
        </w:rPr>
        <w:t>ᐊᒻᒪ</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ᓯᓚᑐᔫᑉ</w:t>
      </w:r>
      <w:r>
        <w:rPr>
          <w:rFonts w:ascii="Times New Roman" w:hAnsi="Times New Roman" w:eastAsia="Times New Roman" w:cs="Times New Roman"/>
        </w:rPr>
        <w:t xml:space="preserve"> </w:t>
      </w:r>
      <w:r>
        <w:rPr>
          <w:rFonts w:ascii="Gadugi" w:hAnsi="Gadugi" w:eastAsia="Gadugi" w:cs="Gadugi"/>
        </w:rPr>
        <w:t>ᓄᓇᖓᑕ</w:t>
      </w:r>
      <w:r>
        <w:rPr>
          <w:rFonts w:ascii="Times New Roman" w:hAnsi="Times New Roman" w:eastAsia="Times New Roman" w:cs="Times New Roman"/>
        </w:rPr>
        <w:t xml:space="preserve"> </w:t>
      </w:r>
      <w:r>
        <w:rPr>
          <w:rFonts w:ascii="Gadugi" w:hAnsi="Gadugi" w:eastAsia="Gadugi" w:cs="Gadugi"/>
        </w:rPr>
        <w:t>ᐊᑎᖓ</w:t>
      </w:r>
      <w:r>
        <w:rPr>
          <w:rFonts w:ascii="Times New Roman" w:hAnsi="Times New Roman" w:eastAsia="Times New Roman" w:cs="Times New Roman"/>
        </w:rPr>
        <w:t xml:space="preserve">, </w:t>
      </w:r>
      <w:r>
        <w:rPr>
          <w:rFonts w:ascii="Gadugi" w:hAnsi="Gadugi" w:eastAsia="Gadugi" w:cs="Gadugi"/>
        </w:rPr>
        <w:t>ᑖᓐᓇ</w:t>
      </w:r>
      <w:r>
        <w:rPr>
          <w:rFonts w:ascii="Times New Roman" w:hAnsi="Times New Roman" w:eastAsia="Times New Roman" w:cs="Times New Roman"/>
        </w:rPr>
        <w:t xml:space="preserve"> </w:t>
      </w:r>
      <w:r>
        <w:rPr>
          <w:rFonts w:ascii="Gadugi" w:hAnsi="Gadugi" w:eastAsia="Gadugi" w:cs="Gadugi"/>
        </w:rPr>
        <w:t>ᓄᑖᖅ</w:t>
      </w:r>
      <w:r>
        <w:rPr>
          <w:rFonts w:ascii="Times New Roman" w:hAnsi="Times New Roman" w:eastAsia="Times New Roman" w:cs="Times New Roman"/>
        </w:rPr>
        <w:t xml:space="preserve"> </w:t>
      </w:r>
      <w:r>
        <w:rPr>
          <w:rFonts w:ascii="Gadugi" w:hAnsi="Gadugi" w:eastAsia="Gadugi" w:cs="Gadugi"/>
        </w:rPr>
        <w:t>ᔪᕉᓴᓚᒻ</w:t>
      </w:r>
      <w:r>
        <w:rPr>
          <w:rFonts w:ascii="Times New Roman" w:hAnsi="Times New Roman" w:eastAsia="Times New Roman" w:cs="Times New Roman"/>
        </w:rPr>
        <w:t xml:space="preserve">, </w:t>
      </w:r>
      <w:r>
        <w:rPr>
          <w:rFonts w:ascii="Gadugi" w:hAnsi="Gadugi" w:eastAsia="Gadugi" w:cs="Gadugi"/>
        </w:rPr>
        <w:t>ᑖᓐᓇ</w:t>
      </w:r>
      <w:r>
        <w:rPr>
          <w:rFonts w:ascii="Times New Roman" w:hAnsi="Times New Roman" w:eastAsia="Times New Roman" w:cs="Times New Roman"/>
        </w:rPr>
        <w:t xml:space="preserve"> </w:t>
      </w:r>
      <w:r>
        <w:rPr>
          <w:rFonts w:ascii="Gadugi" w:hAnsi="Gadugi" w:eastAsia="Gadugi" w:cs="Gadugi"/>
        </w:rPr>
        <w:t>ᐊᑉᐸᕐᓂᖅᑐᖅ</w:t>
      </w:r>
      <w:r>
        <w:rPr>
          <w:rFonts w:ascii="Times New Roman" w:hAnsi="Times New Roman" w:eastAsia="Times New Roman" w:cs="Times New Roman"/>
        </w:rPr>
        <w:t xml:space="preserve"> </w:t>
      </w:r>
      <w:r>
        <w:rPr>
          <w:rFonts w:ascii="Gadugi" w:hAnsi="Gadugi" w:eastAsia="Gadugi" w:cs="Gadugi"/>
        </w:rPr>
        <w:t>ᕿᓚᒥᒃ</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ᓯᓚᑐᔫᓂᒃ</w:t>
      </w:r>
      <w:r>
        <w:rPr>
          <w:rFonts w:ascii="Times New Roman" w:hAnsi="Times New Roman" w:eastAsia="Times New Roman" w:cs="Times New Roman"/>
        </w:rPr>
        <w:t xml:space="preserve">; </w:t>
      </w:r>
      <w:r>
        <w:rPr>
          <w:rFonts w:ascii="Gadugi" w:hAnsi="Gadugi" w:eastAsia="Gadugi" w:cs="Gadugi"/>
        </w:rPr>
        <w:t>ᐊᒻᒪ</w:t>
      </w:r>
      <w:r>
        <w:rPr>
          <w:rFonts w:ascii="Times New Roman" w:hAnsi="Times New Roman" w:eastAsia="Times New Roman" w:cs="Times New Roman"/>
        </w:rPr>
        <w:t xml:space="preserve"> </w:t>
      </w:r>
      <w:r>
        <w:rPr>
          <w:rFonts w:ascii="Gadugi" w:hAnsi="Gadugi" w:eastAsia="Gadugi" w:cs="Gadugi"/>
        </w:rPr>
        <w:t>ᑎᑎᕋᕐᓗᒍ</w:t>
      </w:r>
      <w:r>
        <w:rPr>
          <w:rFonts w:ascii="Times New Roman" w:hAnsi="Times New Roman" w:eastAsia="Times New Roman" w:cs="Times New Roman"/>
        </w:rPr>
        <w:t xml:space="preserve"> </w:t>
      </w:r>
      <w:r>
        <w:rPr>
          <w:rFonts w:ascii="Gadugi" w:hAnsi="Gadugi" w:eastAsia="Gadugi" w:cs="Gadugi"/>
        </w:rPr>
        <w:t>ᐅᕙᖓ</w:t>
      </w:r>
      <w:r>
        <w:rPr>
          <w:rFonts w:ascii="Times New Roman" w:hAnsi="Times New Roman" w:eastAsia="Times New Roman" w:cs="Times New Roman"/>
        </w:rPr>
        <w:t xml:space="preserve"> </w:t>
      </w:r>
      <w:r>
        <w:rPr>
          <w:rFonts w:ascii="Gadugi" w:hAnsi="Gadugi" w:eastAsia="Gadugi" w:cs="Gadugi"/>
        </w:rPr>
        <w:t>ᓄᑖᖅ</w:t>
      </w:r>
      <w:r>
        <w:rPr>
          <w:rFonts w:ascii="Times New Roman" w:hAnsi="Times New Roman" w:eastAsia="Times New Roman" w:cs="Times New Roman"/>
        </w:rPr>
        <w:t xml:space="preserve"> </w:t>
      </w:r>
      <w:r>
        <w:rPr>
          <w:rFonts w:ascii="Gadugi" w:hAnsi="Gadugi" w:eastAsia="Gadugi" w:cs="Gadugi"/>
        </w:rPr>
        <w:t>ᐊᑎᕋ</w:t>
      </w:r>
      <w:r>
        <w:rPr>
          <w:rFonts w:ascii="Times New Roman" w:hAnsi="Times New Roman" w:eastAsia="Times New Roman" w:cs="Times New Roman"/>
        </w:rPr>
        <w:t xml:space="preserve">.” </w:t>
      </w:r>
      <w:r>
        <w:rPr>
          <w:rFonts w:ascii="Gadugi" w:hAnsi="Gadugi" w:eastAsia="Gadugi" w:cs="Gadugi"/>
        </w:rPr>
        <w:t>ᑐᓴᕈᓐᓇᖅᑐᖅ</w:t>
      </w:r>
      <w:r>
        <w:rPr>
          <w:rFonts w:ascii="Times New Roman" w:hAnsi="Times New Roman" w:eastAsia="Times New Roman" w:cs="Times New Roman"/>
        </w:rPr>
        <w:t xml:space="preserve"> </w:t>
      </w:r>
      <w:r>
        <w:rPr>
          <w:rFonts w:ascii="Gadugi" w:hAnsi="Gadugi" w:eastAsia="Gadugi" w:cs="Gadugi"/>
        </w:rPr>
        <w:t>ᑐᓴᓕᕐᓕ</w:t>
      </w:r>
      <w:r>
        <w:rPr>
          <w:rFonts w:ascii="Times New Roman" w:hAnsi="Times New Roman" w:eastAsia="Times New Roman" w:cs="Times New Roman"/>
        </w:rPr>
        <w:t xml:space="preserve"> </w:t>
      </w:r>
      <w:r>
        <w:rPr>
          <w:rFonts w:ascii="Gadugi" w:hAnsi="Gadugi" w:eastAsia="Gadugi" w:cs="Gadugi"/>
        </w:rPr>
        <w:t>ᑎᑎᕋᕐᓂᖅ</w:t>
      </w:r>
      <w:r>
        <w:rPr>
          <w:rFonts w:ascii="Times New Roman" w:hAnsi="Times New Roman" w:eastAsia="Times New Roman" w:cs="Times New Roman"/>
        </w:rPr>
        <w:t xml:space="preserve"> </w:t>
      </w:r>
      <w:r>
        <w:rPr>
          <w:rFonts w:ascii="Gadugi" w:hAnsi="Gadugi" w:eastAsia="Gadugi" w:cs="Gadugi"/>
        </w:rPr>
        <w:t>ᐊᓂᕐᓂᖅ</w:t>
      </w:r>
      <w:r>
        <w:rPr>
          <w:rFonts w:ascii="Times New Roman" w:hAnsi="Times New Roman" w:eastAsia="Times New Roman" w:cs="Times New Roman"/>
        </w:rPr>
        <w:t xml:space="preserve"> </w:t>
      </w:r>
      <w:r>
        <w:rPr>
          <w:rFonts w:ascii="Gadugi" w:hAnsi="Gadugi" w:eastAsia="Gadugi" w:cs="Gadugi"/>
        </w:rPr>
        <w:t>ᐅᖃᐅᓯᖓ</w:t>
      </w:r>
      <w:r>
        <w:rPr>
          <w:rFonts w:ascii="Times New Roman" w:hAnsi="Times New Roman" w:eastAsia="Times New Roman" w:cs="Times New Roman"/>
        </w:rPr>
        <w:t xml:space="preserve"> </w:t>
      </w:r>
      <w:r>
        <w:rPr>
          <w:rFonts w:ascii="Gadugi" w:hAnsi="Gadugi" w:eastAsia="Gadugi" w:cs="Gadugi"/>
        </w:rPr>
        <w:t>ᐃᓄᒡᒎᓯᓄᑦ</w:t>
      </w:r>
      <w:r>
        <w:rPr>
          <w:rFonts w:ascii="Times New Roman" w:hAnsi="Times New Roman" w:eastAsia="Times New Roman" w:cs="Times New Roman"/>
        </w:rPr>
        <w:t xml:space="preserve">. </w:t>
      </w:r>
      <w:r>
        <w:rPr>
          <w:rFonts w:ascii="Gadugi" w:hAnsi="Gadugi" w:eastAsia="Gadugi" w:cs="Gadugi"/>
        </w:rPr>
        <w:t>ᓴᖅᑭᑎᑕᐅᔪᑦ</w:t>
      </w:r>
      <w:r>
        <w:rPr>
          <w:rFonts w:ascii="Times New Roman" w:hAnsi="Times New Roman" w:eastAsia="Times New Roman" w:cs="Times New Roman"/>
        </w:rPr>
        <w:t xml:space="preserve"> 3:12, 13.</w:t>
      </w:r>
    </w:p>
    <w:p>
      <w:pPr>
        <w:pStyle w:val="ArticleBody"/>
        <w:jc w:val="left"/>
      </w:pP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ပုံဖော်ပြသထားကြပြီး၊</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စာရာနှင့်</w:t>
      </w:r>
      <w:r>
        <w:rPr>
          <w:rFonts w:ascii="Times New Roman" w:hAnsi="Times New Roman" w:eastAsia="Times New Roman" w:cs="Times New Roman"/>
        </w:rPr>
        <w:t xml:space="preserve"> </w:t>
      </w:r>
      <w:r>
        <w:rPr>
          <w:rFonts w:ascii="Myanmar Text" w:hAnsi="Myanmar Text" w:eastAsia="Myanmar Text" w:cs="Myanmar Text"/>
        </w:rPr>
        <w:t>ဣသရေလတို့နှင့်</w:t>
      </w:r>
      <w:r>
        <w:rPr>
          <w:rFonts w:ascii="Times New Roman" w:hAnsi="Times New Roman" w:eastAsia="Times New Roman" w:cs="Times New Roman"/>
        </w:rPr>
        <w:t xml:space="preserve"> </w:t>
      </w:r>
      <w:r>
        <w:rPr>
          <w:rFonts w:ascii="Myanmar Text" w:hAnsi="Myanmar Text" w:eastAsia="Myanmar Text" w:cs="Myanmar Text"/>
        </w:rPr>
        <w:t>မတူဘဲ</w:t>
      </w:r>
      <w:r>
        <w:rPr>
          <w:rFonts w:ascii="Times New Roman" w:hAnsi="Times New Roman" w:eastAsia="Times New Roman" w:cs="Times New Roman"/>
        </w:rPr>
        <w:t xml:space="preserve"> “</w:t>
      </w:r>
      <w:r>
        <w:rPr>
          <w:rFonts w:ascii="Myanmar Text" w:hAnsi="Myanmar Text" w:eastAsia="Myanmar Text" w:cs="Myanmar Text"/>
        </w:rPr>
        <w:t>ဗေလတရှာဇာ</w:t>
      </w:r>
      <w:r>
        <w:rPr>
          <w:rFonts w:ascii="Times New Roman" w:hAnsi="Times New Roman" w:eastAsia="Times New Roman" w:cs="Times New Roman"/>
        </w:rPr>
        <w:t xml:space="preserve">” </w:t>
      </w:r>
      <w:r>
        <w:rPr>
          <w:rFonts w:ascii="Myanmar Text" w:hAnsi="Myanmar Text" w:eastAsia="Myanmar Text" w:cs="Myanmar Text"/>
        </w:rPr>
        <w:t>ဟူသောနာမ၏</w:t>
      </w:r>
      <w:r>
        <w:rPr>
          <w:rFonts w:ascii="Times New Roman" w:hAnsi="Times New Roman" w:eastAsia="Times New Roman" w:cs="Times New Roman"/>
        </w:rPr>
        <w:t xml:space="preserve"> </w:t>
      </w:r>
      <w:r>
        <w:rPr>
          <w:rFonts w:ascii="Myanmar Text" w:hAnsi="Myanmar Text" w:eastAsia="Myanmar Text" w:cs="Myanmar Text"/>
        </w:rPr>
        <w:t>တိကျသော</w:t>
      </w:r>
      <w:r>
        <w:rPr>
          <w:rFonts w:ascii="Times New Roman" w:hAnsi="Times New Roman" w:eastAsia="Times New Roman" w:cs="Times New Roman"/>
        </w:rPr>
        <w:t xml:space="preserve"> </w:t>
      </w:r>
      <w:r>
        <w:rPr>
          <w:rFonts w:ascii="Myanmar Text" w:hAnsi="Myanmar Text" w:eastAsia="Myanmar Text" w:cs="Myanmar Text"/>
        </w:rPr>
        <w:t>အဓိပ္ပာယ်ကို</w:t>
      </w:r>
      <w:r>
        <w:rPr>
          <w:rFonts w:ascii="Times New Roman" w:hAnsi="Times New Roman" w:eastAsia="Times New Roman" w:cs="Times New Roman"/>
        </w:rPr>
        <w:t xml:space="preserve"> </w:t>
      </w:r>
      <w:r>
        <w:rPr>
          <w:rFonts w:ascii="Myanmar Text" w:hAnsi="Myanmar Text" w:eastAsia="Myanmar Text" w:cs="Myanmar Text"/>
        </w:rPr>
        <w:t>မသိရှိရသေးပါ။</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ပဋိညာဉ်ဆက်ဆံရေးကို</w:t>
      </w:r>
      <w:r>
        <w:rPr>
          <w:rFonts w:ascii="Times New Roman" w:hAnsi="Times New Roman" w:eastAsia="Times New Roman" w:cs="Times New Roman"/>
        </w:rPr>
        <w:t xml:space="preserve"> </w:t>
      </w:r>
      <w:r>
        <w:rPr>
          <w:rFonts w:ascii="Myanmar Text" w:hAnsi="Myanmar Text" w:eastAsia="Myanmar Text" w:cs="Myanmar Text"/>
        </w:rPr>
        <w:t>ကိုယ်စားပြုရန်</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နောက်ဆုံးကာလရှိ</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လူမျိုးအား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နာမသည်၊</w:t>
      </w:r>
      <w:r>
        <w:rPr>
          <w:rFonts w:ascii="Times New Roman" w:hAnsi="Times New Roman" w:eastAsia="Times New Roman" w:cs="Times New Roman"/>
        </w:rPr>
        <w:t xml:space="preserve"> </w:t>
      </w:r>
      <w:r>
        <w:rPr>
          <w:rFonts w:ascii="Myanmar Text" w:hAnsi="Myanmar Text" w:eastAsia="Myanmar Text" w:cs="Myanmar Text"/>
        </w:rPr>
        <w:t>ထိုနာမကို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ပေးတော်မူသည့်</w:t>
      </w:r>
      <w:r>
        <w:rPr>
          <w:rFonts w:ascii="Times New Roman" w:hAnsi="Times New Roman" w:eastAsia="Times New Roman" w:cs="Times New Roman"/>
        </w:rPr>
        <w:t xml:space="preserve"> </w:t>
      </w:r>
      <w:r>
        <w:rPr>
          <w:rFonts w:ascii="Myanmar Text" w:hAnsi="Myanmar Text" w:eastAsia="Myanmar Text" w:cs="Myanmar Text"/>
        </w:rPr>
        <w:t>အချိန်မတိုင်မီအထိ</w:t>
      </w:r>
      <w:r>
        <w:rPr>
          <w:rFonts w:ascii="Times New Roman" w:hAnsi="Times New Roman" w:eastAsia="Times New Roman" w:cs="Times New Roman"/>
        </w:rPr>
        <w:t xml:space="preserve"> </w:t>
      </w:r>
      <w:r>
        <w:rPr>
          <w:rFonts w:ascii="Myanmar Text" w:hAnsi="Myanmar Text" w:eastAsia="Myanmar Text" w:cs="Myanmar Text"/>
        </w:rPr>
        <w:t>မသိရသောနာမ</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ဗေလတရှာဇာ</w:t>
      </w:r>
      <w:r>
        <w:rPr>
          <w:rFonts w:ascii="Times New Roman" w:hAnsi="Times New Roman" w:eastAsia="Times New Roman" w:cs="Times New Roman"/>
        </w:rPr>
        <w:t xml:space="preserve">” </w:t>
      </w:r>
      <w:r>
        <w:rPr>
          <w:rFonts w:ascii="Myanmar Text" w:hAnsi="Myanmar Text" w:eastAsia="Myanmar Text" w:cs="Myanmar Text"/>
        </w:rPr>
        <w:t>ဟူသောနာမသည်</w:t>
      </w:r>
      <w:r>
        <w:rPr>
          <w:rFonts w:ascii="Times New Roman" w:hAnsi="Times New Roman" w:eastAsia="Times New Roman" w:cs="Times New Roman"/>
        </w:rPr>
        <w:t xml:space="preserve"> </w:t>
      </w:r>
      <w:r>
        <w:rPr>
          <w:rFonts w:ascii="Myanmar Text" w:hAnsi="Myanmar Text" w:eastAsia="Myanmar Text" w:cs="Myanmar Text"/>
        </w:rPr>
        <w:t>နောက်ဆုံးကာလ၌</w:t>
      </w:r>
      <w:r>
        <w:rPr>
          <w:rFonts w:ascii="Times New Roman" w:hAnsi="Times New Roman" w:eastAsia="Times New Roman" w:cs="Times New Roman"/>
        </w:rPr>
        <w:t xml:space="preserve"> </w:t>
      </w:r>
      <w:r>
        <w:rPr>
          <w:rFonts w:ascii="Myanmar Text" w:hAnsi="Myanmar Text" w:eastAsia="Myanmar Text" w:cs="Myanmar Text"/>
        </w:rPr>
        <w:t>ဖီလဒေလဖိမြို့အသင်းတော်ဆိုင်ရာ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ပဋိညာဉ်လူမျိုးအဖြစ်</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ဖော်ညွှန်းသော်လည်း၊</w:t>
      </w:r>
      <w:r>
        <w:rPr>
          <w:rFonts w:ascii="Times New Roman" w:hAnsi="Times New Roman" w:eastAsia="Times New Roman" w:cs="Times New Roman"/>
        </w:rPr>
        <w:t xml:space="preserve"> </w:t>
      </w:r>
      <w:r>
        <w:rPr>
          <w:rFonts w:ascii="Myanmar Text" w:hAnsi="Myanmar Text" w:eastAsia="Myanmar Text" w:cs="Myanmar Text"/>
        </w:rPr>
        <w:t>ထိုနာမကို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နဖူးပေါ်၌</w:t>
      </w:r>
      <w:r>
        <w:rPr>
          <w:rFonts w:ascii="Times New Roman" w:hAnsi="Times New Roman" w:eastAsia="Times New Roman" w:cs="Times New Roman"/>
        </w:rPr>
        <w:t xml:space="preserve"> </w:t>
      </w:r>
      <w:r>
        <w:rPr>
          <w:rFonts w:ascii="Myanmar Text" w:hAnsi="Myanmar Text" w:eastAsia="Myanmar Text" w:cs="Myanmar Text"/>
        </w:rPr>
        <w:t>ရေးသားထားသကဲ့သို့၊</w:t>
      </w:r>
      <w:r>
        <w:rPr>
          <w:rFonts w:ascii="Times New Roman" w:hAnsi="Times New Roman" w:eastAsia="Times New Roman" w:cs="Times New Roman"/>
        </w:rPr>
        <w:t xml:space="preserve"> </w:t>
      </w:r>
      <w:r>
        <w:rPr>
          <w:rFonts w:ascii="Myanmar Text" w:hAnsi="Myanmar Text" w:eastAsia="Myanmar Text" w:cs="Myanmar Text"/>
        </w:rPr>
        <w:t>တံဆိပ်ကိုလည်း</w:t>
      </w:r>
      <w:r>
        <w:rPr>
          <w:rFonts w:ascii="Times New Roman" w:hAnsi="Times New Roman" w:eastAsia="Times New Roman" w:cs="Times New Roman"/>
        </w:rPr>
        <w:t xml:space="preserve"> </w:t>
      </w:r>
      <w:r>
        <w:rPr>
          <w:rFonts w:ascii="Myanmar Text" w:hAnsi="Myanmar Text" w:eastAsia="Myanmar Text" w:cs="Myanmar Text"/>
        </w:rPr>
        <w:t>ထိုနေရာ၌ပင်</w:t>
      </w:r>
      <w:r>
        <w:rPr>
          <w:rFonts w:ascii="Times New Roman" w:hAnsi="Times New Roman" w:eastAsia="Times New Roman" w:cs="Times New Roman"/>
        </w:rPr>
        <w:t xml:space="preserve"> </w:t>
      </w:r>
      <w:r>
        <w:rPr>
          <w:rFonts w:ascii="Myanmar Text" w:hAnsi="Myanmar Text" w:eastAsia="Myanmar Text" w:cs="Myanmar Text"/>
        </w:rPr>
        <w:t>ရေးသားထားသောကြောင့်၊</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မတိုင်မီအထိ</w:t>
      </w:r>
      <w:r>
        <w:rPr>
          <w:rFonts w:ascii="Times New Roman" w:hAnsi="Times New Roman" w:eastAsia="Times New Roman" w:cs="Times New Roman"/>
        </w:rPr>
        <w:t xml:space="preserve"> </w:t>
      </w:r>
      <w:r>
        <w:rPr>
          <w:rFonts w:ascii="Myanmar Text" w:hAnsi="Myanmar Text" w:eastAsia="Myanmar Text" w:cs="Myanmar Text"/>
        </w:rPr>
        <w:t>အမှန်တကယ်သော</w:t>
      </w:r>
      <w:r>
        <w:rPr>
          <w:rFonts w:ascii="Times New Roman" w:hAnsi="Times New Roman" w:eastAsia="Times New Roman" w:cs="Times New Roman"/>
        </w:rPr>
        <w:t xml:space="preserve"> </w:t>
      </w:r>
      <w:r>
        <w:rPr>
          <w:rFonts w:ascii="Myanmar Text" w:hAnsi="Myanmar Text" w:eastAsia="Myanmar Text" w:cs="Myanmar Text"/>
        </w:rPr>
        <w:t>နာမသည်</w:t>
      </w:r>
      <w:r>
        <w:rPr>
          <w:rFonts w:ascii="Times New Roman" w:hAnsi="Times New Roman" w:eastAsia="Times New Roman" w:cs="Times New Roman"/>
        </w:rPr>
        <w:t xml:space="preserve"> </w:t>
      </w:r>
      <w:r>
        <w:rPr>
          <w:rFonts w:ascii="Myanmar Text" w:hAnsi="Myanmar Text" w:eastAsia="Myanmar Text" w:cs="Myanmar Text"/>
        </w:rPr>
        <w:t>ဖုံးကွယ်ထားလျက်ရှိ၏။</w:t>
      </w:r>
    </w:p>
    <w:p>
      <w:pPr>
        <w:pStyle w:val="ArticleScripture"/>
        <w:jc w:val="left"/>
      </w:pPr>
      <w:r>
        <w:rPr>
          <w:rFonts w:ascii="Microsoft YaHei" w:hAnsi="Microsoft YaHei" w:eastAsia="Microsoft YaHei" w:cs="Microsoft YaHei"/>
        </w:rPr>
        <w:t>我又观看</w:t>
      </w:r>
      <w:r>
        <w:rPr>
          <w:rFonts w:ascii="Times New Roman" w:hAnsi="Times New Roman" w:eastAsia="Times New Roman" w:cs="Times New Roman"/>
        </w:rPr>
        <w:t>,</w:t>
      </w:r>
      <w:r>
        <w:rPr>
          <w:rFonts w:ascii="Microsoft YaHei" w:hAnsi="Microsoft YaHei" w:eastAsia="Microsoft YaHei" w:cs="Microsoft YaHei"/>
        </w:rPr>
        <w:t>看哪</w:t>
      </w:r>
      <w:r>
        <w:rPr>
          <w:rFonts w:ascii="Times New Roman" w:hAnsi="Times New Roman" w:eastAsia="Times New Roman" w:cs="Times New Roman"/>
        </w:rPr>
        <w:t>,</w:t>
      </w:r>
      <w:r>
        <w:rPr>
          <w:rFonts w:ascii="Microsoft YaHei" w:hAnsi="Microsoft YaHei" w:eastAsia="Microsoft YaHei" w:cs="Microsoft YaHei"/>
        </w:rPr>
        <w:t>羔羊站在锡安山上</w:t>
      </w:r>
      <w:r>
        <w:rPr>
          <w:rFonts w:ascii="Times New Roman" w:hAnsi="Times New Roman" w:eastAsia="Times New Roman" w:cs="Times New Roman"/>
        </w:rPr>
        <w:t>,</w:t>
      </w:r>
      <w:r>
        <w:rPr>
          <w:rFonts w:ascii="Microsoft YaHei" w:hAnsi="Microsoft YaHei" w:eastAsia="Microsoft YaHei" w:cs="Microsoft YaHei"/>
        </w:rPr>
        <w:t>同他又有十四万四千人</w:t>
      </w:r>
      <w:r>
        <w:rPr>
          <w:rFonts w:ascii="Times New Roman" w:hAnsi="Times New Roman" w:eastAsia="Times New Roman" w:cs="Times New Roman"/>
        </w:rPr>
        <w:t>,</w:t>
      </w:r>
      <w:r>
        <w:rPr>
          <w:rFonts w:ascii="Microsoft YaHei" w:hAnsi="Microsoft YaHei" w:eastAsia="Microsoft YaHei" w:cs="Microsoft YaHei"/>
        </w:rPr>
        <w:t>额上都写着他的名和他父的名</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14:1</w:t>
      </w:r>
    </w:p>
    <w:p>
      <w:pPr>
        <w:pStyle w:val="ArticleBody"/>
        <w:jc w:val="left"/>
      </w:pPr>
      <w:r>
        <w:rPr>
          <w:rFonts w:ascii="Times New Roman" w:hAnsi="Times New Roman" w:eastAsia="Times New Roman" w:cs="Times New Roman"/>
        </w:rPr>
        <w:t>دانیال در باب یک و سپس در باب ده «بلطشصر» خوانده شده است؛ و بدین‌سان خود را به‌عنوان نمادی از جنبش فرشتهٔ اول و جنبش فرشتهٔ سوم معرفی می‌کند؛ زیرا باب یک، چنان‌که در مقالات پیشین به‌تفصیل نشان داده شده است، نمایانگر پیام فرشتهٔ اول است. ازاین‌رو باب ده نمایانگر جنبش فرشتهٔ سوم و قوم عهدِ ایام آخر است. سپس آیه، بلطشصر را به‌عنوان نمادی از کسانی معرفی می‌کند که افزایشِ معرفتی را که در جنبش اصلاحیِ آغازشده در سال ۱۹۸۹ مُهرگشایی شد، درمی‌یابند. این معنا در تأکید بر آنچه دانیال (بلطشصر) می‌دانست، بازنمایی شده است.</w:t>
      </w:r>
    </w:p>
    <w:p>
      <w:pPr>
        <w:pStyle w:val="ArticleBody"/>
        <w:jc w:val="left"/>
      </w:pPr>
      <w:r>
        <w:rPr>
          <w:rFonts w:ascii="Times New Roman" w:hAnsi="Times New Roman" w:eastAsia="Times New Roman" w:cs="Times New Roman"/>
        </w:rPr>
        <w:t>دانيالُ يُعرَّف بأنه عارفٌ «بالأمر» الذي «أُعلن لدانيال»، «والأمرُ حقٌّ، والميعادُ طويلٌ؛ ففهمَ الأمرَ وكانت له فِطنةٌ في الرؤيا». لقد فهم دانيال «الأمر»، وكذلك «الرؤيا». والكلمةُ العبرية «dabar» تُرجِمت في الآية «أمرًا»، ومعناها «كلمة». ونبويًّا تمثّل «الكلمة» كِلَا الأمرين: فهي تمثّل رؤيا «السبعة الأوقات»، وتمثّل أيضًا المسيح، الذي هو الكلمة. وكلٌّ من «السبعة الأوقات» والمسيح هو الصخرة التي رفضها البنّاؤون، ودانيال يمثّل شعبًا يفهم كلا العنصرين من رمزية الكلمة.</w:t>
      </w:r>
    </w:p>
    <w:p>
      <w:pPr>
        <w:pStyle w:val="ArticleBody"/>
        <w:jc w:val="left"/>
      </w:pP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ਤੇਈ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ਮਹੱਤਵਪੂਰਣ</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ਭਵਿੱਖਬਾਣੀਆਂ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ਆਇਤ</w:t>
      </w:r>
      <w:r>
        <w:rPr>
          <w:rFonts w:ascii="Times New Roman" w:hAnsi="Times New Roman" w:eastAsia="Times New Roman" w:cs="Times New Roman"/>
        </w:rPr>
        <w:t xml:space="preserve"> </w:t>
      </w:r>
      <w:r>
        <w:rPr>
          <w:rFonts w:ascii="Nirmala UI" w:hAnsi="Nirmala UI" w:eastAsia="Nirmala UI" w:cs="Nirmala UI"/>
        </w:rPr>
        <w:t>ਚੌਦਾਂ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ਪੁੱਛਦਾ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ਉਹ</w:t>
      </w:r>
      <w:r>
        <w:rPr>
          <w:rFonts w:ascii="Times New Roman" w:hAnsi="Times New Roman" w:eastAsia="Times New Roman" w:cs="Times New Roman"/>
        </w:rPr>
        <w:t xml:space="preserve"> ‘chazon’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ਅਸਥਾਨ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ਮੂਰਤੀਪੂਜਕਤਾ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ਪਾਪਤੰਤਰ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ਲੇਵੀਵਿਵਸਥਾ</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جوابِ آیت سیزدہم کے سوال کا یہ تھا: دو ہزار تین سو سال تک؛ پھر وہ مقدِس جو پامال کیا گیا ہے، پاک کیا جائے گا؛ اور تئیس سو برس کی “mareh” رؤیا دونوں زمانی نبوتوں کو باہم مربوط کرتی ہے، اور دانی ایل نو کی آیت تیئیس میں جبرائیل دانی ایل کی راہنمائی کر رہا ہے تاکہ وہ دونوں رؤیاؤں کے باہمی تعلق کو سمجھے۔</w:t>
      </w:r>
    </w:p>
    <w:p>
      <w:pPr>
        <w:pStyle w:val="ArticleScripture"/>
        <w:jc w:val="left"/>
      </w:pPr>
      <w:r>
        <w:rPr>
          <w:rFonts w:ascii="Times New Roman" w:hAnsi="Times New Roman" w:eastAsia="Times New Roman" w:cs="Times New Roman"/>
        </w:rPr>
        <w:t>Na qalehong ea lithapelo tsa hao taelo ea tsoa, ’me ke tlile ho u bontša; hobane u ratoe haholo; ka baka leo utloisisa taba ena, ’me u ele hloko pono. Daniele 9:23.</w:t>
      </w:r>
    </w:p>
    <w:p>
      <w:pPr>
        <w:pStyle w:val="ArticleBody"/>
        <w:jc w:val="left"/>
      </w:pPr>
      <w:r>
        <w:rPr>
          <w:rFonts w:ascii="Times New Roman" w:hAnsi="Times New Roman" w:eastAsia="Times New Roman" w:cs="Times New Roman"/>
        </w:rPr>
        <w:t>ئەو وشەیەی لە ئایەتەکەدا وەک «تێبگە» و «بیر لێ بکەرەوە» وەرگێدراوە، وشەی عیبری «biyn» ـە، و واتای «لە مێشکدا جیاکردنەوە» دەگەیەنێت. جبرائیل بە دانیال ئاگاداری دەدات کە لە نێوان «ئەو شتە» و «بینینەکە»دا جیاکردنەوەیەکی مێشکی بکات. «بینین» لە ئایەتەکەدا وشەی عیبری «mareh» ـە، و ئەو بینینەی بیست و سێ سەد ساڵەیە کە لە 22ی ئۆکتۆبری 1844 کۆتایی هات. وشەی عیبریی وەرگێدراو بە «شت»، هەمان ئەو وشەیەیە کە لە ئایەتی یەکەمی بەشی دەیەمدا بە «thing» وەرگێدراوە. ئەو وشەیە عیبری «dabar» ـە، و نوێنەرایەتی ئەو بینینەی بیست و پێنج سەد و بیست ساڵە دەکات کە ئەویش لە 22ی ئۆکتۆبری 1844 کۆتایی هات.</w:t>
      </w:r>
    </w:p>
    <w:p>
      <w:pPr>
        <w:pStyle w:val="ArticleBody"/>
        <w:jc w:val="left"/>
      </w:pPr>
      <w:r>
        <w:rPr>
          <w:rFonts w:ascii="Times New Roman" w:hAnsi="Times New Roman" w:eastAsia="Times New Roman" w:cs="Times New Roman"/>
        </w:rPr>
        <w:t>Sa ayat uno ti kapitulo dies, dagiti tattao ti tulag ti Dios idiay maudi nga al-aldaw ket naiyannatopda ken Belteshazzar, ket naawatanda ti pannakaaramid ti pannakaadu ti pannakaammo a dimteng iti tiempo ti panungpalan idi 1989, a nangipalubos kadakuada a maawatan ti pannakasilpu dagiti dua a sirmata, nga dagiti Millerita iti galad ti immuna nga anghel ket paset laeng ti naawatanda. Iti ayat, ti sirmata a naiparang kas “banag” ket maibilang a ti kaatiddogan kadagiti dua a padto, ta iti tengnga dagiti dua a pannakabangon ti ayat iti “banag,” ni Daniel ibagana a ti natudingan a tiempo para iti “banag” (ti dabar) ket “atiddog”, iti pannakinaiganna iti sirmata (mareh).</w:t>
      </w:r>
    </w:p>
    <w:p>
      <w:pPr>
        <w:pStyle w:val="ArticleScripture"/>
        <w:jc w:val="left"/>
      </w:pPr>
      <w:r>
        <w:rPr>
          <w:rFonts w:ascii="Times New Roman" w:hAnsi="Times New Roman" w:eastAsia="Times New Roman" w:cs="Times New Roman"/>
        </w:rPr>
        <w:t>په د فارس د پاچا کوروش د سلطنت په درېيم کال کې دانيال ته، چې نوم يې بلتشصر بلل کېده، يو امر څرګند شو؛ او هغه امر حق و، خو ټاکل شوی وخت يې اوږد و؛ او هغه پر هغه امر پوه شو، او د رؤيا په معنا وپوهېد. دانيال 10:1.</w:t>
      </w:r>
    </w:p>
    <w:p>
      <w:pPr>
        <w:pStyle w:val="ArticleBody"/>
        <w:jc w:val="left"/>
      </w:pPr>
      <w:r>
        <w:rPr>
          <w:rFonts w:ascii="Times New Roman" w:hAnsi="Times New Roman" w:eastAsia="Times New Roman" w:cs="Times New Roman"/>
        </w:rPr>
        <w:t>A kammālche aṅgārik hārat je “sāt samay,” se sabse lambā samay-vānī hai jo Millerī logon ne ghoṣit kī, ise Laodikean Adventism us ādhār par inkar kartā hai jo ek aise anś par ṭikā hai jise ve apne hī vināś ke lie mṛgāyit karte hain. 1863 ke vidroh meṃ “sāt samay” ko asvīkār karne ke kāraṇ ve in do bhaviṣyavāṇiyoṃ ke sambandh ko nahīṃ dekhte, aur keval agle anś ko hī, yā dekhna cāhte hain, jo teis sau varṣoṃ kī pahcān karātā hai.</w:t>
      </w:r>
    </w:p>
    <w:p>
      <w:pPr>
        <w:pStyle w:val="ArticleScripture"/>
        <w:jc w:val="left"/>
      </w:pPr>
      <w:r>
        <w:rPr>
          <w:rFonts w:ascii="Times New Roman" w:hAnsi="Times New Roman" w:eastAsia="Times New Roman" w:cs="Times New Roman"/>
        </w:rPr>
        <w:t>«Кристосын иккинчи кәлгиликидә “падишалиқ хуш хәвири”ни вәз қилған шагиртларниң тәҗрибисиниң өз охшаши Униң иккинчи кәлгилики тоғрисидики хәвәрни елан қилғанларниң тәҗрибисидә тепилди. Қандақки шагиртлар: “вақит толди, Худаниң падишалиқи йеқинлашти,” дәп чиқип вәз қилған болса, Миллер вә униң һәмраһлириму Муқәддәс Китапта көрситилгән әң узун вә ахирқи пәйғәмбәрлик дәвриниң ахирлишиш алдида турғанлиқини, сорақниң йеқинлашқанлиқини вә мәңгүлүк падишалиқниң башлинишқа тәйяр икәнлигини елан қилди. Шагиртларниң вақитқа мунасивәтлик вәз қилиши Даниял 9-баптики йәтмиш һәптигә асасланған еди. Миллер вә униң һәмраһлириға берилгән хәвәр Даниял 8:14тики 2300 күнниң ахирлишишини җакарлиди; йәтмиш һәптә шуниң бир қисми болуп шәкиллиниду. Һәр иккисиниң вәз қилиши шу бир улуқ пәйғәмбәрлик дәврниң пәрқлиқ бир қисминиң әмәлгә ешишиға асасланған еди.» «Улуқ күрәш», 351.</w:t>
      </w:r>
    </w:p>
    <w:p>
      <w:pPr>
        <w:pStyle w:val="ArticleBody"/>
        <w:jc w:val="left"/>
      </w:pPr>
      <w:r>
        <w:rPr>
          <w:rFonts w:ascii="Times New Roman" w:hAnsi="Times New Roman" w:eastAsia="Times New Roman" w:cs="Times New Roman"/>
        </w:rPr>
        <w:t>ایں آخری عبارت دی فطری منطق نُوں نظرانداز نہ کرو۔ لاودیکیہ ادونتزم دنیا نُوں ایہ نہیں سکھاندی کہ میلرائٹس دا خیال اے کہ جس مقدِس مقام نُوں پاک کیتا جانا سی، اوہ آسمانی مقدِس مقام سی، کیوں‌جو اوہ خود، تے ہر اوہ شخص جو تاریخی ریکارڈ وَل نظر کرنا چاہے، جاندا اے کہ میلرائٹس دا ایمان ایہ سی کہ جس مقدِس مقام نُوں پاک کیتا جانا سی، اوہ زمین سی۔ اوہ عبارت جس نُوں لاودیکیہ ادونتزم اپنی ہلاکت لئی مروڑدی اے، ایہ اے: “پس میلر تے اوہدے ساتھیوں نے اعلان کیتا کہ بائبل وچ پیش کیتا گیا سب توں لمبا تے آخری نبوتی زمانہ اپنی انتہا دے قریب سی”، جِس تے اوہ اصرار کردے نیں کہ ایہ دانی ایل باب آٹھ، آیت چوداں دے تئی سو برس نیں۔</w:t>
      </w:r>
    </w:p>
    <w:p>
      <w:pPr>
        <w:pStyle w:val="ArticleBody"/>
        <w:jc w:val="left"/>
      </w:pPr>
      <w:r>
        <w:rPr>
          <w:rFonts w:ascii="Times New Roman" w:hAnsi="Times New Roman" w:eastAsia="Times New Roman" w:cs="Times New Roman"/>
        </w:rPr>
        <w:t>Ադվենտիզմի սեփական պատմական գրքերը վկայում են, որ երեք հարյուր միլլերական քարոզիչներն ԻՐԵՆՑ բոլոր ներկայացումներում գործածում էին 1843 թվականի պիոներական աղյուսակը, և աղյուսակի վրա, ինչպես նաև մնացած պատմական վկայության մեջ, բյուրեղյա հստակությամբ երևում է, որ «յոթ ժամանակները» (երկու հազար հինգ հարյուր քսան տարի) այն մարգարեությունն էր, որը նրանք նույնացնում էին որպես «ամենաերկար և վերջին մարգարեական ժամանակաշրջանը», որը «մոտ էր լրանալու»։ 1863 թվականի իրենց ապստամբության պատճառով, երբ նրանք մերժեցին «յոթ ժամանակների» հիմնաքարը, այժմ կուրորեն պնդում են, թե Քույր Ուայթը վերաշարադրում է հաստատված պատմությունը The Great Controversy-ից եղած այդ հատվածում։</w:t>
      </w:r>
    </w:p>
    <w:p>
      <w:pPr>
        <w:pStyle w:val="ArticleBody"/>
        <w:jc w:val="left"/>
      </w:pPr>
      <w:r>
        <w:rPr>
          <w:rFonts w:ascii="Times New Roman" w:hAnsi="Times New Roman" w:eastAsia="Times New Roman" w:cs="Times New Roman"/>
        </w:rPr>
        <w:t>دانیال باب ده کی آیت ایک میں، بلطشضر آخری ایّام میں خدا کے لوگوں کی نمائندگی کرتا ہے، اور وہ دانیال باب آٹھ، آیات تیرہ اور چودہ کے سوال اور جواب دونوں کو سمجھتے ہیں، جنہیں سسٹر وائٹ ایڈونٹسٹ ایمان کی بنیاد اور مرکزی ستون قرار دیتی ہیں۔ اس آیت میں دانیال جس نقش کو پیش کرتا ہے، اُس میں وہ خدا کے آخری ایّام کے عہد کے لوگوں اور لاؤدیقیہ ایڈونٹزم کے درمیان ایک امتیاز قائم کر رہا ہے، کیونکہ وہی 1989 میں علم کے اضافہ کو سمجھتے ہیں۔</w:t>
      </w:r>
    </w:p>
    <w:p>
      <w:pPr>
        <w:pStyle w:val="ArticleScripture"/>
        <w:jc w:val="left"/>
      </w:pPr>
      <w:r>
        <w:rPr>
          <w:rFonts w:ascii="Times New Roman" w:hAnsi="Times New Roman" w:eastAsia="Times New Roman" w:cs="Times New Roman"/>
        </w:rPr>
        <w:t>Ogirisiya mutemi Kuro guwa gatatu, hariho ikintu cahishuriwe Daniyeli, uwo bahimbaye Beluteshazari; kandi ico kintu cari ukuri, mugabo igihe cashingiwe cari kirekire; na we atahura ico kintu, kandi yari afise ugutahura kw’ivyo yeretswe. Daniyeli 10:1.</w:t>
      </w:r>
    </w:p>
    <w:p>
      <w:pPr>
        <w:pStyle w:val="ArticleBody"/>
        <w:jc w:val="left"/>
      </w:pPr>
      <w:r>
        <w:rPr>
          <w:rFonts w:ascii="Times New Roman" w:hAnsi="Times New Roman" w:eastAsia="Times New Roman" w:cs="Times New Roman"/>
        </w:rPr>
        <w:t>Nyaŋu waŋganydja dhuwandja dhäwu-gänhamirri ŋurruŋu, Hiddekel wäŋa gapu guḻunḏuwal nhakun gämaŋ dhäwu-gänhamirr, bala ga dhawar’yun ga djuḻkmaram mala-gurrupanmirr nhämaŋ chapter twelve-lil. Ŋunhi wäŋaŋur nhäma limurr Danielwu djorra’ walŋamirri-bäyŋu märram ga dhawaṯthun “time of the end”-ŋur, ga bäyŋuŋur nhakun Daniel marŋgithinyamirr nhä “thing” ga “vision,” ga ŋunhiyi ŋayatham ga gumurr-ŋamathirr walalaŋgal ŋunhi walal marŋgi, ga walal ŋunhi djälthirr nhirrpanminyawuynha “wise,” bala ga yan ga wiripuŋuwal marrtji walalaŋgal ŋunhi walal bäyŋu marŋgi, ga walal nhirrpanminyawuynha “wicked.” Chapter twelve-ŋur verse ten-ŋur, dhuwal barrkuwatjkurra märrma’ malaŋu dhärranhamirr lakaram.</w:t>
      </w:r>
    </w:p>
    <w:p>
      <w:pPr>
        <w:pStyle w:val="ArticleScripture"/>
        <w:jc w:val="left"/>
      </w:pPr>
      <w:r>
        <w:rPr>
          <w:rFonts w:ascii="Times New Roman" w:hAnsi="Times New Roman" w:eastAsia="Times New Roman" w:cs="Times New Roman"/>
        </w:rPr>
        <w:t>Asafo pii no bɛhohoro wɔn ho, na wɔayɛ wɔn ho fitaa, na wɔasɔ wɔn ahwɛ; na amumɔyɛfo no de, wɔbɛyɛ amumɔyɛ; na amumɔyɛfo no mu biara rennim ase; na anyansafo no de, wɔbɛte ase. Daniel 12:10.</w:t>
      </w:r>
    </w:p>
    <w:p>
      <w:pPr>
        <w:pStyle w:val="ArticleBody"/>
        <w:jc w:val="left"/>
      </w:pPr>
      <w:r>
        <w:rPr>
          <w:rFonts w:ascii="Times New Roman" w:hAnsi="Times New Roman" w:eastAsia="Times New Roman" w:cs="Times New Roman"/>
        </w:rPr>
        <w:t>Laaj ka “masiih yi shgaarg”, dii bakhîl ka “masiih yi shgaarg”, oo kelimaa la “shgaarg” hazhyi la, waahi kelimaa anii dii chapter nuh dii ayat ishtááłį́į́ʼtłʼaad t’ááʼáko yinishyé. Dii kelimaa Hebrew bizaadí “biyn” yiłtsą́, doo shił bééhózin da łahgo nitsáhákeesgo naháłtinígíí yinishyé. Dii bakhîl doo iłtsą́ da bee haneʼígíí nitsáhákeesgo doo baa naháłtin da, háágóógo tʼáá shoodí t’áá iináanii nitsáhákeesgo naa’áhoolzhishgo, dii naaki bee haneʼígíí t’áá ajiłii bee haneʼ, dii ayat t’ááłá’í chapter t’áá ajiłii yáhoot’éego Belteshazzar bee nidaanishłį́į́ʼígíí baa nitsáhákeesgo iłtsą́go nidaanishłį́į́ʼ. Ayat t’ááłá’ídi, nihookááʼ dineʼé Diyin God biniiyé haʼátʼísh nihikʼehgo nidaanishłį́į́ʼ, dóó naaki bee haneʼígíí, Diyin God bizaad ayóóʼánígíí t’áá nihá bee nitsáhákeesgo łahgo baa naháłtinígo, iłtsą́go nidaanishłį́į́ʼ. Jesus t’áá ajiłii bee yáhoot’éego, haʼátʼísh baa nihíjiʼígíí, t’áá ałtsé bee hadííłnih; dóó chapter naaki-maasáni’di, dii masiihígíí daʼííłtsą́, dii two thousand three hundred years bee haneʼígíí, dóó t’áá baa anáhoolʼį́į́łígíí “the longest and last” time prophecy yił baa haneʼígíí, éí twenty-five hundred and twenty years yiníłtiʼígíí.</w:t>
      </w:r>
    </w:p>
    <w:p>
      <w:pPr>
        <w:pStyle w:val="ArticleBody"/>
        <w:jc w:val="left"/>
      </w:pPr>
      <w:r>
        <w:rPr>
          <w:rFonts w:ascii="Times New Roman" w:hAnsi="Times New Roman" w:eastAsia="Times New Roman" w:cs="Times New Roman"/>
        </w:rPr>
        <w:t>Yaqamarñäniwa Danielan qhipa uñjäwip yatxatañxa jutïr qillqatanxa.</w:t>
      </w:r>
    </w:p>
    <w:p>
      <w:pPr>
        <w:pStyle w:val="ArticleScripture"/>
        <w:jc w:val="left"/>
      </w:pPr>
      <w:r>
        <w:rPr>
          <w:rFonts w:ascii="Times New Roman" w:hAnsi="Times New Roman" w:eastAsia="Times New Roman" w:cs="Times New Roman"/>
        </w:rPr>
        <w:t>Ñane retakuéra oñehundi arandu’ỹre rehe; nde rejeheja haguére pe arandu, che avei rojehejáta, ani hag̃ua reiko pa’i chéve ĝuarã; nde nderesarái haguére nde Jára rembiapoukapy rehe, che avei che resaráita ne ra’ykuéra rehe. Oseas 4:6.</w:t>
      </w:r>
    </w:p>
    <w:p>
      <w:pPr>
        <w:pStyle w:val="ArticleScripture"/>
        <w:jc w:val="left"/>
      </w:pPr>
      <w:r>
        <w:rPr>
          <w:rFonts w:ascii="Ebrima" w:hAnsi="Ebrima" w:eastAsia="Ebrima" w:cs="Ebrima"/>
        </w:rPr>
        <w:t>ንስኻትኩም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ህያዋን</w:t>
      </w:r>
      <w:r>
        <w:rPr>
          <w:rFonts w:ascii="Times New Roman" w:hAnsi="Times New Roman" w:eastAsia="Times New Roman" w:cs="Times New Roman"/>
        </w:rPr>
        <w:t xml:space="preserve"> </w:t>
      </w:r>
      <w:r>
        <w:rPr>
          <w:rFonts w:ascii="Ebrima" w:hAnsi="Ebrima" w:eastAsia="Ebrima" w:cs="Ebrima"/>
        </w:rPr>
        <w:t>እምኒታት፡</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ክትኮኑ</w:t>
      </w:r>
      <w:r>
        <w:rPr>
          <w:rFonts w:ascii="Times New Roman" w:hAnsi="Times New Roman" w:eastAsia="Times New Roman" w:cs="Times New Roman"/>
        </w:rPr>
        <w:t xml:space="preserve"> </w:t>
      </w:r>
      <w:r>
        <w:rPr>
          <w:rFonts w:ascii="Ebrima" w:hAnsi="Ebrima" w:eastAsia="Ebrima" w:cs="Ebrima"/>
        </w:rPr>
        <w:t>ትህነጹ</w:t>
      </w:r>
      <w:r>
        <w:rPr>
          <w:rFonts w:ascii="Times New Roman" w:hAnsi="Times New Roman" w:eastAsia="Times New Roman" w:cs="Times New Roman"/>
        </w:rPr>
        <w:t xml:space="preserve"> </w:t>
      </w:r>
      <w:r>
        <w:rPr>
          <w:rFonts w:ascii="Ebrima" w:hAnsi="Ebrima" w:eastAsia="Ebrima" w:cs="Ebrima"/>
        </w:rPr>
        <w:t>ኣለኹም፤</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ክህነት</w:t>
      </w:r>
      <w:r>
        <w:rPr>
          <w:rFonts w:ascii="Times New Roman" w:hAnsi="Times New Roman" w:eastAsia="Times New Roman" w:cs="Times New Roman"/>
        </w:rPr>
        <w:t xml:space="preserve"> </w:t>
      </w:r>
      <w:r>
        <w:rPr>
          <w:rFonts w:ascii="Ebrima" w:hAnsi="Ebrima" w:eastAsia="Ebrima" w:cs="Ebrima"/>
        </w:rPr>
        <w:t>ክትኮኑ፡</w:t>
      </w:r>
      <w:r>
        <w:rPr>
          <w:rFonts w:ascii="Times New Roman" w:hAnsi="Times New Roman" w:eastAsia="Times New Roman" w:cs="Times New Roman"/>
        </w:rPr>
        <w:t xml:space="preserve"> </w:t>
      </w:r>
      <w:r>
        <w:rPr>
          <w:rFonts w:ascii="Ebrima" w:hAnsi="Ebrima" w:eastAsia="Ebrima" w:cs="Ebrima"/>
        </w:rPr>
        <w:t>ብየሱስ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ቅቡል</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መስዋእቲ</w:t>
      </w:r>
      <w:r>
        <w:rPr>
          <w:rFonts w:ascii="Times New Roman" w:hAnsi="Times New Roman" w:eastAsia="Times New Roman" w:cs="Times New Roman"/>
        </w:rPr>
        <w:t xml:space="preserve"> </w:t>
      </w:r>
      <w:r>
        <w:rPr>
          <w:rFonts w:ascii="Ebrima" w:hAnsi="Ebrima" w:eastAsia="Ebrima" w:cs="Ebrima"/>
        </w:rPr>
        <w:t>ክትስውኡ።</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ይብል፡</w:t>
      </w:r>
      <w:r>
        <w:rPr>
          <w:rFonts w:ascii="Times New Roman" w:hAnsi="Times New Roman" w:eastAsia="Times New Roman" w:cs="Times New Roman"/>
        </w:rPr>
        <w:t xml:space="preserve"> </w:t>
      </w:r>
      <w:r>
        <w:rPr>
          <w:rFonts w:ascii="Ebrima" w:hAnsi="Ebrima" w:eastAsia="Ebrima" w:cs="Ebrima"/>
        </w:rPr>
        <w:t>እንሆ፡</w:t>
      </w:r>
      <w:r>
        <w:rPr>
          <w:rFonts w:ascii="Times New Roman" w:hAnsi="Times New Roman" w:eastAsia="Times New Roman" w:cs="Times New Roman"/>
        </w:rPr>
        <w:t xml:space="preserve"> </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ጽዮን</w:t>
      </w:r>
      <w:r>
        <w:rPr>
          <w:rFonts w:ascii="Times New Roman" w:hAnsi="Times New Roman" w:eastAsia="Times New Roman" w:cs="Times New Roman"/>
        </w:rPr>
        <w:t xml:space="preserve"> </w:t>
      </w:r>
      <w:r>
        <w:rPr>
          <w:rFonts w:ascii="Ebrima" w:hAnsi="Ebrima" w:eastAsia="Ebrima" w:cs="Ebrima"/>
        </w:rPr>
        <w:t>ርእሲ</w:t>
      </w:r>
      <w:r>
        <w:rPr>
          <w:rFonts w:ascii="Times New Roman" w:hAnsi="Times New Roman" w:eastAsia="Times New Roman" w:cs="Times New Roman"/>
        </w:rPr>
        <w:t xml:space="preserve"> </w:t>
      </w:r>
      <w:r>
        <w:rPr>
          <w:rFonts w:ascii="Ebrima" w:hAnsi="Ebrima" w:eastAsia="Ebrima" w:cs="Ebrima"/>
        </w:rPr>
        <w:t>ኩርናዕ</w:t>
      </w:r>
      <w:r>
        <w:rPr>
          <w:rFonts w:ascii="Times New Roman" w:hAnsi="Times New Roman" w:eastAsia="Times New Roman" w:cs="Times New Roman"/>
        </w:rPr>
        <w:t xml:space="preserve"> </w:t>
      </w:r>
      <w:r>
        <w:rPr>
          <w:rFonts w:ascii="Ebrima" w:hAnsi="Ebrima" w:eastAsia="Ebrima" w:cs="Ebrima"/>
        </w:rPr>
        <w:t>እምኒ፡</w:t>
      </w:r>
      <w:r>
        <w:rPr>
          <w:rFonts w:ascii="Times New Roman" w:hAnsi="Times New Roman" w:eastAsia="Times New Roman" w:cs="Times New Roman"/>
        </w:rPr>
        <w:t xml:space="preserve"> </w:t>
      </w:r>
      <w:r>
        <w:rPr>
          <w:rFonts w:ascii="Ebrima" w:hAnsi="Ebrima" w:eastAsia="Ebrima" w:cs="Ebrima"/>
        </w:rPr>
        <w:t>ሕሩይን</w:t>
      </w:r>
      <w:r>
        <w:rPr>
          <w:rFonts w:ascii="Times New Roman" w:hAnsi="Times New Roman" w:eastAsia="Times New Roman" w:cs="Times New Roman"/>
        </w:rPr>
        <w:t xml:space="preserve"> </w:t>
      </w:r>
      <w:r>
        <w:rPr>
          <w:rFonts w:ascii="Ebrima" w:hAnsi="Ebrima" w:eastAsia="Ebrima" w:cs="Ebrima"/>
        </w:rPr>
        <w:t>ክቡርን</w:t>
      </w:r>
      <w:r>
        <w:rPr>
          <w:rFonts w:ascii="Times New Roman" w:hAnsi="Times New Roman" w:eastAsia="Times New Roman" w:cs="Times New Roman"/>
        </w:rPr>
        <w:t xml:space="preserve"> </w:t>
      </w:r>
      <w:r>
        <w:rPr>
          <w:rFonts w:ascii="Ebrima" w:hAnsi="Ebrima" w:eastAsia="Ebrima" w:cs="Ebrima"/>
        </w:rPr>
        <w:t>አንብር</w:t>
      </w:r>
      <w:r>
        <w:rPr>
          <w:rFonts w:ascii="Times New Roman" w:hAnsi="Times New Roman" w:eastAsia="Times New Roman" w:cs="Times New Roman"/>
        </w:rPr>
        <w:t xml:space="preserve"> </w:t>
      </w:r>
      <w:r>
        <w:rPr>
          <w:rFonts w:ascii="Ebrima" w:hAnsi="Ebrima" w:eastAsia="Ebrima" w:cs="Ebrima"/>
        </w:rPr>
        <w:t>ኣሎኹ፤</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ብእኡ</w:t>
      </w:r>
      <w:r>
        <w:rPr>
          <w:rFonts w:ascii="Times New Roman" w:hAnsi="Times New Roman" w:eastAsia="Times New Roman" w:cs="Times New Roman"/>
        </w:rPr>
        <w:t xml:space="preserve"> </w:t>
      </w:r>
      <w:r>
        <w:rPr>
          <w:rFonts w:ascii="Ebrima" w:hAnsi="Ebrima" w:eastAsia="Ebrima" w:cs="Ebrima"/>
        </w:rPr>
        <w:t>ዝኣምን</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ከቶ</w:t>
      </w:r>
      <w:r>
        <w:rPr>
          <w:rFonts w:ascii="Times New Roman" w:hAnsi="Times New Roman" w:eastAsia="Times New Roman" w:cs="Times New Roman"/>
        </w:rPr>
        <w:t xml:space="preserve"> </w:t>
      </w:r>
      <w:r>
        <w:rPr>
          <w:rFonts w:ascii="Ebrima" w:hAnsi="Ebrima" w:eastAsia="Ebrima" w:cs="Ebrima"/>
        </w:rPr>
        <w:t>ኣይክሓፍርን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እምበኣርሲ</w:t>
      </w:r>
      <w:r>
        <w:rPr>
          <w:rFonts w:ascii="Times New Roman" w:hAnsi="Times New Roman" w:eastAsia="Times New Roman" w:cs="Times New Roman"/>
        </w:rPr>
        <w:t xml:space="preserve"> </w:t>
      </w:r>
      <w:r>
        <w:rPr>
          <w:rFonts w:ascii="Ebrima" w:hAnsi="Ebrima" w:eastAsia="Ebrima" w:cs="Ebrima"/>
        </w:rPr>
        <w:t>ንኣኻትኩም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እትኣምኑ</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ዘይእዙዛን</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ሃነጽቲ</w:t>
      </w:r>
      <w:r>
        <w:rPr>
          <w:rFonts w:ascii="Times New Roman" w:hAnsi="Times New Roman" w:eastAsia="Times New Roman" w:cs="Times New Roman"/>
        </w:rPr>
        <w:t xml:space="preserve"> </w:t>
      </w:r>
      <w:r>
        <w:rPr>
          <w:rFonts w:ascii="Ebrima" w:hAnsi="Ebrima" w:eastAsia="Ebrima" w:cs="Ebrima"/>
        </w:rPr>
        <w:t>ዝነጸግዎ</w:t>
      </w:r>
      <w:r>
        <w:rPr>
          <w:rFonts w:ascii="Times New Roman" w:hAnsi="Times New Roman" w:eastAsia="Times New Roman" w:cs="Times New Roman"/>
        </w:rPr>
        <w:t xml:space="preserve"> </w:t>
      </w:r>
      <w:r>
        <w:rPr>
          <w:rFonts w:ascii="Ebrima" w:hAnsi="Ebrima" w:eastAsia="Ebrima" w:cs="Ebrima"/>
        </w:rPr>
        <w:t>እምኒ፡</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ርእሲ</w:t>
      </w:r>
      <w:r>
        <w:rPr>
          <w:rFonts w:ascii="Times New Roman" w:hAnsi="Times New Roman" w:eastAsia="Times New Roman" w:cs="Times New Roman"/>
        </w:rPr>
        <w:t xml:space="preserve"> </w:t>
      </w:r>
      <w:r>
        <w:rPr>
          <w:rFonts w:ascii="Ebrima" w:hAnsi="Ebrima" w:eastAsia="Ebrima" w:cs="Ebrima"/>
        </w:rPr>
        <w:t>ኩርናዕ</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እምኒ</w:t>
      </w:r>
      <w:r>
        <w:rPr>
          <w:rFonts w:ascii="Times New Roman" w:hAnsi="Times New Roman" w:eastAsia="Times New Roman" w:cs="Times New Roman"/>
        </w:rPr>
        <w:t xml:space="preserve"> </w:t>
      </w:r>
      <w:r>
        <w:rPr>
          <w:rFonts w:ascii="Ebrima" w:hAnsi="Ebrima" w:eastAsia="Ebrima" w:cs="Ebrima"/>
        </w:rPr>
        <w:t>መዐንቀፊ፡</w:t>
      </w:r>
      <w:r>
        <w:rPr>
          <w:rFonts w:ascii="Times New Roman" w:hAnsi="Times New Roman" w:eastAsia="Times New Roman" w:cs="Times New Roman"/>
        </w:rPr>
        <w:t xml:space="preserve"> </w:t>
      </w:r>
      <w:r>
        <w:rPr>
          <w:rFonts w:ascii="Ebrima" w:hAnsi="Ebrima" w:eastAsia="Ebrima" w:cs="Ebrima"/>
        </w:rPr>
        <w:t>ከውሒ</w:t>
      </w:r>
      <w:r>
        <w:rPr>
          <w:rFonts w:ascii="Times New Roman" w:hAnsi="Times New Roman" w:eastAsia="Times New Roman" w:cs="Times New Roman"/>
        </w:rPr>
        <w:t xml:space="preserve"> </w:t>
      </w:r>
      <w:r>
        <w:rPr>
          <w:rFonts w:ascii="Ebrima" w:hAnsi="Ebrima" w:eastAsia="Ebrima" w:cs="Ebrima"/>
        </w:rPr>
        <w:t>መሰናኽል</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ብቓል</w:t>
      </w:r>
      <w:r>
        <w:rPr>
          <w:rFonts w:ascii="Times New Roman" w:hAnsi="Times New Roman" w:eastAsia="Times New Roman" w:cs="Times New Roman"/>
        </w:rPr>
        <w:t xml:space="preserve"> </w:t>
      </w:r>
      <w:r>
        <w:rPr>
          <w:rFonts w:ascii="Ebrima" w:hAnsi="Ebrima" w:eastAsia="Ebrima" w:cs="Ebrima"/>
        </w:rPr>
        <w:t>ዝዕንቀፉ</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ዘይእዙዛን</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ናብዚ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ተመዲቦም</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ንስኻትኩም</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ሕሩይ</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ንጉሳዊ</w:t>
      </w:r>
      <w:r>
        <w:rPr>
          <w:rFonts w:ascii="Times New Roman" w:hAnsi="Times New Roman" w:eastAsia="Times New Roman" w:cs="Times New Roman"/>
        </w:rPr>
        <w:t xml:space="preserve"> </w:t>
      </w:r>
      <w:r>
        <w:rPr>
          <w:rFonts w:ascii="Ebrima" w:hAnsi="Ebrima" w:eastAsia="Ebrima" w:cs="Ebrima"/>
        </w:rPr>
        <w:t>ክህነት፡</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ፍሉይ</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ድንቂ</w:t>
      </w:r>
      <w:r>
        <w:rPr>
          <w:rFonts w:ascii="Times New Roman" w:hAnsi="Times New Roman" w:eastAsia="Times New Roman" w:cs="Times New Roman"/>
        </w:rPr>
        <w:t xml:space="preserve"> </w:t>
      </w:r>
      <w:r>
        <w:rPr>
          <w:rFonts w:ascii="Ebrima" w:hAnsi="Ebrima" w:eastAsia="Ebrima" w:cs="Ebrima"/>
        </w:rPr>
        <w:t>ብርሃኑ</w:t>
      </w:r>
      <w:r>
        <w:rPr>
          <w:rFonts w:ascii="Times New Roman" w:hAnsi="Times New Roman" w:eastAsia="Times New Roman" w:cs="Times New Roman"/>
        </w:rPr>
        <w:t xml:space="preserve"> </w:t>
      </w:r>
      <w:r>
        <w:rPr>
          <w:rFonts w:ascii="Ebrima" w:hAnsi="Ebrima" w:eastAsia="Ebrima" w:cs="Ebrima"/>
        </w:rPr>
        <w:t>ዝጸውዓኩም</w:t>
      </w:r>
      <w:r>
        <w:rPr>
          <w:rFonts w:ascii="Times New Roman" w:hAnsi="Times New Roman" w:eastAsia="Times New Roman" w:cs="Times New Roman"/>
        </w:rPr>
        <w:t xml:space="preserve"> </w:t>
      </w:r>
      <w:r>
        <w:rPr>
          <w:rFonts w:ascii="Ebrima" w:hAnsi="Ebrima" w:eastAsia="Ebrima" w:cs="Ebrima"/>
        </w:rPr>
        <w:t>ምስጋናኡ</w:t>
      </w:r>
      <w:r>
        <w:rPr>
          <w:rFonts w:ascii="Times New Roman" w:hAnsi="Times New Roman" w:eastAsia="Times New Roman" w:cs="Times New Roman"/>
        </w:rPr>
        <w:t xml:space="preserve"> </w:t>
      </w:r>
      <w:r>
        <w:rPr>
          <w:rFonts w:ascii="Ebrima" w:hAnsi="Ebrima" w:eastAsia="Ebrima" w:cs="Ebrima"/>
        </w:rPr>
        <w:t>ክትነግሩ</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ንስኻትኩም</w:t>
      </w:r>
      <w:r>
        <w:rPr>
          <w:rFonts w:ascii="Times New Roman" w:hAnsi="Times New Roman" w:eastAsia="Times New Roman" w:cs="Times New Roman"/>
        </w:rPr>
        <w:t xml:space="preserve"> </w:t>
      </w:r>
      <w:r>
        <w:rPr>
          <w:rFonts w:ascii="Ebrima" w:hAnsi="Ebrima" w:eastAsia="Ebrima" w:cs="Ebrima"/>
        </w:rPr>
        <w:t>ቀደም</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ኣይነበርኩምን፤</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ህዝቢ</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ዘይረኸብኩም</w:t>
      </w:r>
      <w:r>
        <w:rPr>
          <w:rFonts w:ascii="Times New Roman" w:hAnsi="Times New Roman" w:eastAsia="Times New Roman" w:cs="Times New Roman"/>
        </w:rPr>
        <w:t xml:space="preserve"> </w:t>
      </w:r>
      <w:r>
        <w:rPr>
          <w:rFonts w:ascii="Ebrima" w:hAnsi="Ebrima" w:eastAsia="Ebrima" w:cs="Ebrima"/>
        </w:rPr>
        <w:t>ኔርኩም፤</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ረኺብኩም</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1 </w:t>
      </w:r>
      <w:r>
        <w:rPr>
          <w:rFonts w:ascii="Ebrima" w:hAnsi="Ebrima" w:eastAsia="Ebrima" w:cs="Ebrima"/>
        </w:rPr>
        <w:t>ጴጥሮስ</w:t>
      </w:r>
      <w:r>
        <w:rPr>
          <w:rFonts w:ascii="Times New Roman" w:hAnsi="Times New Roman" w:eastAsia="Times New Roman" w:cs="Times New Roman"/>
        </w:rPr>
        <w:t xml:space="preserve"> 2:5–10</w:t>
      </w:r>
      <w:r>
        <w:rPr>
          <w:rFonts w:ascii="Ebrima" w:hAnsi="Ebrima" w:eastAsia="Ebrima" w:cs="Ebrima"/>
        </w:rPr>
        <w:t>።</w:t>
      </w:r>
    </w:p>
    <w:p>
      <w:pPr>
        <w:pStyle w:val="ArticleScripture"/>
        <w:jc w:val="left"/>
      </w:pPr>
      <w:r>
        <w:rPr>
          <w:rFonts w:ascii="Times New Roman" w:hAnsi="Times New Roman" w:eastAsia="Times New Roman" w:cs="Times New Roman"/>
        </w:rPr>
        <w:t>U durdur, Rabbimizning sabr-toqati najot ekanini hisoblang; xuddi sevikli birodarimiz Pavlus ham o‘ziga berilgan hikmatga ko‘ra sizlarga yozganiday; shuningdek, barcha maktublarida ham bu narsalar haqida so‘z yuritadi; ularda anglash qiyin bo‘lgan ayrim narsalar bor, nodon va sobitqadam bo‘lmaganlar esa, boshqa Muqaddas Yozuvlarni ham buzib talqin qilganlari kabi, bularni ham o‘z halokatlariga burib yuboradilar. Shunday ekan, ey seviklilar, bularni oldindan bilganingiz uchun, ehtiyot bo‘linglarki, buzuqlarning adashishi bilan yo‘ldan ozdirilib, o‘z mustahkamligingizdan yiqilib ketmanglar. 2 Butrus 3:15–17.</w:t>
      </w:r>
    </w:p>
    <w:p>
      <w:pPr>
        <w:pStyle w:val="ArticleScripture"/>
        <w:jc w:val="left"/>
      </w:pPr>
      <w:r>
        <w:rPr>
          <w:rFonts w:ascii="Times New Roman" w:hAnsi="Times New Roman" w:eastAsia="Times New Roman" w:cs="Times New Roman"/>
        </w:rPr>
        <w:t>Ukunaka ibintu bibuke, ubibaburire imbere y’Umwami kutarwanira amagambo adafite umumaro, ahubwo asenya abumva. Uharanire kwiyereka Imana ko wemewe, uri umukozi udakwiriye kugira isoni, ugabanya neza ijambo ry’ukuri. Ariko wirinde amagambo apfuye kandi adafite umumaro, kuko azagwiza kutubaha Imana kurushaho. 2 Timoteyo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نَبِيس إيلِك يۈز ئەللىك تۆرتۈنچى كىتابى</dc:title>
  <dc:subject>ᱫᱟᱱᱤᱭᱮᱞ ᱨᱮᱱᱟᱜ ᱴᱟᱭᱚᱢ ᱫᱟᱨᱥᱚᱱ ᱵᱩᱡᱷᱟᱹᱣ: ᱵᱮᱞᱴᱮᱥᱟᱡᱟᱨ ᱟᱨ ᱵᱷᱟᱵᱤᱥᱭᱚᱫᱽᱵᱟᱱᱤ ᱩᱫᱽᱜᱷᱟᱴᱚᱱ ᱨᱮᱭᱟᱜ ᱢᱟᱦᱟᱛᱣ</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