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Satu Ratus Lima Puluh Tujuh</w:t>
      </w:r>
    </w:p>
    <w:p>
      <w:pPr>
        <w:pStyle w:val="ArticleSubtitle"/>
        <w:jc w:val="left"/>
      </w:pPr>
      <w:r>
        <w:rPr>
          <w:rFonts w:ascii="Segoe UI" w:hAnsi="Segoe UI" w:eastAsia="Segoe UI" w:cs="Segoe UI"/>
        </w:rPr>
        <w:t>تفسير</w:t>
      </w:r>
      <w:r>
        <w:rPr>
          <w:rFonts w:ascii="Arial" w:hAnsi="Arial" w:eastAsia="Arial" w:cs="Arial"/>
        </w:rPr>
        <w:t xml:space="preserve"> </w:t>
      </w:r>
      <w:r>
        <w:rPr>
          <w:rFonts w:ascii="Segoe UI" w:hAnsi="Segoe UI" w:eastAsia="Segoe UI" w:cs="Segoe UI"/>
        </w:rPr>
        <w:t>الرمزية</w:t>
      </w:r>
      <w:r>
        <w:rPr>
          <w:rFonts w:ascii="Arial" w:hAnsi="Arial" w:eastAsia="Arial" w:cs="Arial"/>
        </w:rPr>
        <w:t xml:space="preserve"> </w:t>
      </w:r>
      <w:r>
        <w:rPr>
          <w:rFonts w:ascii="Segoe UI" w:hAnsi="Segoe UI" w:eastAsia="Segoe UI" w:cs="Segoe UI"/>
        </w:rPr>
        <w:t>النبوية</w:t>
      </w:r>
      <w:r>
        <w:rPr>
          <w:rFonts w:ascii="Arial" w:hAnsi="Arial" w:eastAsia="Arial" w:cs="Arial"/>
        </w:rPr>
        <w:t xml:space="preserve"> </w:t>
      </w:r>
      <w:r>
        <w:rPr>
          <w:rFonts w:ascii="Segoe UI" w:hAnsi="Segoe UI" w:eastAsia="Segoe UI" w:cs="Segoe UI"/>
        </w:rPr>
        <w:t>لكورش</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سفر</w:t>
      </w:r>
      <w:r>
        <w:rPr>
          <w:rFonts w:ascii="Arial" w:hAnsi="Arial" w:eastAsia="Arial" w:cs="Arial"/>
        </w:rPr>
        <w:t xml:space="preserve"> </w:t>
      </w:r>
      <w:r>
        <w:rPr>
          <w:rFonts w:ascii="Segoe UI" w:hAnsi="Segoe UI" w:eastAsia="Segoe UI" w:cs="Segoe UI"/>
        </w:rPr>
        <w:t>دانيال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دەهێنێن ئاگادارکرانەوە لە ئایەتی یەکەمی بەشی دەیەمدا کە ئەو ساڵە ساڵی سێیەمی کۆرش بوو؛ بەڵام لە بەشی یەکەمدا ئاگادارکرانەوە دەکرێت کە دانیال تەنها هەتا ساڵی یەکەمی کۆرش ژیا، یان بەردەوام بوو.</w:t>
      </w:r>
    </w:p>
    <w:p>
      <w:pPr>
        <w:pStyle w:val="ArticleScripture"/>
        <w:jc w:val="left"/>
      </w:pPr>
      <w:r>
        <w:rPr>
          <w:rFonts w:ascii="Times New Roman" w:hAnsi="Times New Roman" w:eastAsia="Times New Roman" w:cs="Times New Roman"/>
        </w:rPr>
        <w:t>Na Daniel so no tena kosi na sanba kabiye Kairus. Daniel 1:21.</w:t>
      </w:r>
    </w:p>
    <w:p>
      <w:pPr>
        <w:pStyle w:val="ArticleBody"/>
        <w:jc w:val="left"/>
      </w:pPr>
      <w:r>
        <w:rPr>
          <w:rFonts w:ascii="Times New Roman" w:hAnsi="Times New Roman" w:eastAsia="Times New Roman" w:cs="Times New Roman"/>
        </w:rPr>
        <w:t>ئىككى يىل جەريانىدا قۇرۇش دارىيۇش المادى بىلەن ئەمەلىي جەھەتتىن ھۆكۈمدارلىقنى ئورتاقلىشىپ كەلگەن ئىدى؛ شۇڭا بۇ ئۇنىڭ ئۈچىنچى يىلى ئىدى، ئەمما شۇنىڭ بىلەن بىللە ئۇنىڭ بىرىنچى يىلىمۇ ئىدى.</w:t>
      </w:r>
    </w:p>
    <w:p>
      <w:pPr>
        <w:pStyle w:val="ArticleScripture"/>
        <w:jc w:val="left"/>
      </w:pPr>
      <w:r>
        <w:rPr>
          <w:rFonts w:ascii="Times New Roman" w:hAnsi="Times New Roman" w:eastAsia="Times New Roman" w:cs="Times New Roman"/>
        </w:rPr>
        <w:t>Пáрсийн хаан Кирусын гурав дахь жилд Белтешаззар хэмээн нэрлэгддэг Даниелд нэгэн зүйл илчлэгдэв; тэр зүйл үнэн байсан боловч тогтоогдсон хугацаа урт байв. Тэр уг зүйлийг ойлгож, үзэгдлийг ухааран мэдэв. Даниел 10:1.</w:t>
      </w:r>
    </w:p>
    <w:p>
      <w:pPr>
        <w:pStyle w:val="ArticleBody"/>
        <w:jc w:val="left"/>
      </w:pPr>
      <w:r>
        <w:rPr>
          <w:rFonts w:ascii="Times New Roman" w:hAnsi="Times New Roman" w:eastAsia="Times New Roman" w:cs="Times New Roman"/>
        </w:rPr>
        <w:t>ۋەھىيлик جەھەتتىن كۈرۈشەندە، كورېش دانىيالنىڭ بىرىنچى ۋە ئاخىرقى كۆرۈنۈشلىرىدە تونۇشتۇرۇلىدۇ. ئالدىنقى ماقالىلەردە بايان قىلىنغاندەك، دانىيال كىتابىنىڭ بىرىنچى بابى ۋەھىي كىتابىنىڭ ئون تۆتىنچى بابىدىكى بىرىنچى پەرىشتىگە ۋەكىللىك قىلىدۇ. بىرىنچى پەرىشتە پەيغەمبەرلىك ئىچىدە تونۇشتۇرۇلغاندا، ئۇ ۋەھىي 14تىكى ئۈچ پەرىشتىنىڭ ھەممىسىگە ئائىت بارلىق پەيغەمبەرلىك ئالاھىدىلىكلىرىنى ئۆزىدە جەم قىلغان بولىدۇ. بىرىنچى پەرىشتىدە ئىپادىلەنگەن ئەبەدىي خۇش خەۋەرنىڭ ئۈچ باسقۇچى: «خۇدادىن قورقۇڭلار»، «ئۇنىڭغا شان-شەرەپ بېرىڭلار»، چۈنكى «ئۇنىڭ ھۆكۈم سائىتى كەلدى.»</w:t>
      </w:r>
    </w:p>
    <w:p>
      <w:pPr>
        <w:pStyle w:val="ArticleBody"/>
        <w:jc w:val="left"/>
      </w:pPr>
      <w:r>
        <w:rPr>
          <w:rFonts w:ascii="Nirmala UI" w:hAnsi="Nirmala UI" w:eastAsia="Nirmala UI" w:cs="Nirmala UI"/>
        </w:rPr>
        <w:t>बयिनीएल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बिञि</w:t>
      </w:r>
      <w:r>
        <w:rPr>
          <w:rFonts w:ascii="Times New Roman" w:hAnsi="Times New Roman" w:eastAsia="Times New Roman" w:cs="Times New Roman"/>
        </w:rPr>
        <w:t>-</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इसोरखौ</w:t>
      </w:r>
      <w:r>
        <w:rPr>
          <w:rFonts w:ascii="Times New Roman" w:hAnsi="Times New Roman" w:eastAsia="Times New Roman" w:cs="Times New Roman"/>
        </w:rPr>
        <w:t xml:space="preserve"> </w:t>
      </w:r>
      <w:r>
        <w:rPr>
          <w:rFonts w:ascii="Nirmala UI" w:hAnsi="Nirmala UI" w:eastAsia="Nirmala UI" w:cs="Nirmala UI"/>
        </w:rPr>
        <w:t>गाबथि</w:t>
      </w:r>
      <w:r>
        <w:rPr>
          <w:rFonts w:ascii="Times New Roman" w:hAnsi="Times New Roman" w:eastAsia="Times New Roman" w:cs="Times New Roman"/>
        </w:rPr>
        <w:t xml:space="preserve">” </w:t>
      </w:r>
      <w:r>
        <w:rPr>
          <w:rFonts w:ascii="Nirmala UI" w:hAnsi="Nirmala UI" w:eastAsia="Nirmala UI" w:cs="Nirmala UI"/>
        </w:rPr>
        <w:t>जानायनि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आहारखौ</w:t>
      </w:r>
      <w:r>
        <w:rPr>
          <w:rFonts w:ascii="Times New Roman" w:hAnsi="Times New Roman" w:eastAsia="Times New Roman" w:cs="Times New Roman"/>
        </w:rPr>
        <w:t xml:space="preserve"> </w:t>
      </w:r>
      <w:r>
        <w:rPr>
          <w:rFonts w:ascii="Nirmala UI" w:hAnsi="Nirmala UI" w:eastAsia="Nirmala UI" w:cs="Nirmala UI"/>
        </w:rPr>
        <w:t>नेवस्रायनायखौ</w:t>
      </w:r>
      <w:r>
        <w:rPr>
          <w:rFonts w:ascii="Times New Roman" w:hAnsi="Times New Roman" w:eastAsia="Times New Roman" w:cs="Times New Roman"/>
        </w:rPr>
        <w:t xml:space="preserve"> </w:t>
      </w:r>
      <w:r>
        <w:rPr>
          <w:rFonts w:ascii="Nirmala UI" w:hAnsi="Nirmala UI" w:eastAsia="Nirmala UI" w:cs="Nirmala UI"/>
        </w:rPr>
        <w:t>सायख</w:t>
      </w:r>
      <w:r>
        <w:rPr>
          <w:rFonts w:ascii="Times New Roman" w:hAnsi="Times New Roman" w:eastAsia="Times New Roman" w:cs="Times New Roman"/>
        </w:rPr>
        <w:t>’</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w:t>
      </w:r>
      <w:r>
        <w:rPr>
          <w:rFonts w:ascii="Nirmala UI" w:hAnsi="Nirmala UI" w:eastAsia="Nirmala UI" w:cs="Nirmala UI"/>
        </w:rPr>
        <w:t>सब्जि</w:t>
      </w:r>
      <w:r>
        <w:rPr>
          <w:rFonts w:ascii="Times New Roman" w:hAnsi="Times New Roman" w:eastAsia="Times New Roman" w:cs="Times New Roman"/>
        </w:rPr>
        <w:t xml:space="preserve"> </w:t>
      </w:r>
      <w:r>
        <w:rPr>
          <w:rFonts w:ascii="Nirmala UI" w:hAnsi="Nirmala UI" w:eastAsia="Nirmala UI" w:cs="Nirmala UI"/>
        </w:rPr>
        <w:t>खालामगिरि</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थांनायखौ</w:t>
      </w:r>
      <w:r>
        <w:rPr>
          <w:rFonts w:ascii="Times New Roman" w:hAnsi="Times New Roman" w:eastAsia="Times New Roman" w:cs="Times New Roman"/>
        </w:rPr>
        <w:t xml:space="preserve"> </w:t>
      </w:r>
      <w:r>
        <w:rPr>
          <w:rFonts w:ascii="Nirmala UI" w:hAnsi="Nirmala UI" w:eastAsia="Nirmala UI" w:cs="Nirmala UI"/>
        </w:rPr>
        <w:t>आंनायो।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नुजाथाय</w:t>
      </w:r>
      <w:r>
        <w:rPr>
          <w:rFonts w:ascii="Times New Roman" w:hAnsi="Times New Roman" w:eastAsia="Times New Roman" w:cs="Times New Roman"/>
        </w:rPr>
        <w:t xml:space="preserve"> </w:t>
      </w:r>
      <w:r>
        <w:rPr>
          <w:rFonts w:ascii="Nirmala UI" w:hAnsi="Nirmala UI" w:eastAsia="Nirmala UI" w:cs="Nirmala UI"/>
        </w:rPr>
        <w:t>फोरमायनायनि</w:t>
      </w:r>
      <w:r>
        <w:rPr>
          <w:rFonts w:ascii="Times New Roman" w:hAnsi="Times New Roman" w:eastAsia="Times New Roman" w:cs="Times New Roman"/>
        </w:rPr>
        <w:t xml:space="preserve"> </w:t>
      </w:r>
      <w:r>
        <w:rPr>
          <w:rFonts w:ascii="Nirmala UI" w:hAnsi="Nirmala UI" w:eastAsia="Nirmala UI" w:cs="Nirmala UI"/>
        </w:rPr>
        <w:t>मावनायाव</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खायनायफोरनि</w:t>
      </w:r>
      <w:r>
        <w:rPr>
          <w:rFonts w:ascii="Times New Roman" w:hAnsi="Times New Roman" w:eastAsia="Times New Roman" w:cs="Times New Roman"/>
        </w:rPr>
        <w:t xml:space="preserve"> </w:t>
      </w:r>
      <w:r>
        <w:rPr>
          <w:rFonts w:ascii="Nirmala UI" w:hAnsi="Nirmala UI" w:eastAsia="Nirmala UI" w:cs="Nirmala UI"/>
        </w:rPr>
        <w:t>सुबुंनि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बयिनीएल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बिञि</w:t>
      </w:r>
      <w:r>
        <w:rPr>
          <w:rFonts w:ascii="Times New Roman" w:hAnsi="Times New Roman" w:eastAsia="Times New Roman" w:cs="Times New Roman"/>
        </w:rPr>
        <w:t>-</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w:t>
      </w:r>
      <w:r>
        <w:rPr>
          <w:rFonts w:ascii="Nirmala UI" w:hAnsi="Nirmala UI" w:eastAsia="Nirmala UI" w:cs="Nirmala UI"/>
        </w:rPr>
        <w:t>सोमानफोरनि</w:t>
      </w:r>
      <w:r>
        <w:rPr>
          <w:rFonts w:ascii="Times New Roman" w:hAnsi="Times New Roman" w:eastAsia="Times New Roman" w:cs="Times New Roman"/>
        </w:rPr>
        <w:t xml:space="preserve"> </w:t>
      </w:r>
      <w:r>
        <w:rPr>
          <w:rFonts w:ascii="Nirmala UI" w:hAnsi="Nirmala UI" w:eastAsia="Nirmala UI" w:cs="Nirmala UI"/>
        </w:rPr>
        <w:t>सुस्थिर</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w:t>
      </w:r>
      <w:r>
        <w:rPr>
          <w:rFonts w:ascii="Nirmala UI" w:hAnsi="Nirmala UI" w:eastAsia="Nirmala UI" w:cs="Nirmala UI"/>
        </w:rPr>
        <w:t>रूपाव</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इसोरखौ</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दिन्थायो।</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बोरसोरनि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w:t>
      </w:r>
      <w:r>
        <w:rPr>
          <w:rFonts w:ascii="Nirmala UI" w:hAnsi="Nirmala UI" w:eastAsia="Nirmala UI" w:cs="Nirmala UI"/>
        </w:rPr>
        <w:t>बिचारनि</w:t>
      </w:r>
      <w:r>
        <w:rPr>
          <w:rFonts w:ascii="Times New Roman" w:hAnsi="Times New Roman" w:eastAsia="Times New Roman" w:cs="Times New Roman"/>
        </w:rPr>
        <w:t xml:space="preserve"> </w:t>
      </w:r>
      <w:r>
        <w:rPr>
          <w:rFonts w:ascii="Nirmala UI" w:hAnsi="Nirmala UI" w:eastAsia="Nirmala UI" w:cs="Nirmala UI"/>
        </w:rPr>
        <w:t>घन्टा</w:t>
      </w:r>
      <w:r>
        <w:rPr>
          <w:rFonts w:ascii="Times New Roman" w:hAnsi="Times New Roman" w:eastAsia="Times New Roman" w:cs="Times New Roman"/>
        </w:rPr>
        <w:t xml:space="preserve">” </w:t>
      </w:r>
      <w:r>
        <w:rPr>
          <w:rFonts w:ascii="Nirmala UI" w:hAnsi="Nirmala UI" w:eastAsia="Nirmala UI" w:cs="Nirmala UI"/>
        </w:rPr>
        <w:t>फायो</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निबुखदनेज्जरे</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नायजादोंमोन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ज্ঞানि</w:t>
      </w:r>
      <w:r>
        <w:rPr>
          <w:rFonts w:ascii="Times New Roman" w:hAnsi="Times New Roman" w:eastAsia="Times New Roman" w:cs="Times New Roman"/>
        </w:rPr>
        <w:t xml:space="preserve"> </w:t>
      </w:r>
      <w:r>
        <w:rPr>
          <w:rFonts w:ascii="Nirmala UI" w:hAnsi="Nirmala UI" w:eastAsia="Nirmala UI" w:cs="Nirmala UI"/>
        </w:rPr>
        <w:t>मानसिफोरनि</w:t>
      </w:r>
      <w:r>
        <w:rPr>
          <w:rFonts w:ascii="Times New Roman" w:hAnsi="Times New Roman" w:eastAsia="Times New Roman" w:cs="Times New Roman"/>
        </w:rPr>
        <w:t xml:space="preserve"> </w:t>
      </w:r>
      <w:r>
        <w:rPr>
          <w:rFonts w:ascii="Nirmala UI" w:hAnsi="Nirmala UI" w:eastAsia="Nirmala UI" w:cs="Nirmala UI"/>
        </w:rPr>
        <w:t>सरासनद</w:t>
      </w:r>
      <w:r>
        <w:rPr>
          <w:rFonts w:ascii="Times New Roman" w:hAnsi="Times New Roman" w:eastAsia="Times New Roman" w:cs="Times New Roman"/>
        </w:rPr>
        <w:t xml:space="preserve">’ </w:t>
      </w:r>
      <w:r>
        <w:rPr>
          <w:rFonts w:ascii="Nirmala UI" w:hAnsi="Nirmala UI" w:eastAsia="Nirmala UI" w:cs="Nirmala UI"/>
        </w:rPr>
        <w:t>दसगुना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मोनदोंमोन।</w:t>
      </w:r>
    </w:p>
    <w:p>
      <w:pPr>
        <w:pStyle w:val="ArticleBody"/>
        <w:jc w:val="left"/>
      </w:pPr>
      <w:r>
        <w:rPr>
          <w:rFonts w:ascii="Times New Roman" w:hAnsi="Times New Roman" w:eastAsia="Times New Roman" w:cs="Times New Roman"/>
        </w:rPr>
        <w:t>دىلنىل اۆچ باسقۇچىمۇ دانىيال كىتابىنىڭ ئاخىرقى بابىدا، ئاخىر زاماندا ئېچىلىدىغان نۇرغا جاۋابكار ھېسابلىنىدىغانلارنى بىلىمنىڭ كۆپىيىشى پاكىزلاندۇرىدىغان، ئاقلايدىغان ۋە سىنايدىغان جەريان سۈپىتىدە تەسۋىرلەنگەن. دانىيالنىڭ بىرىنچى بابىدا، خۇددى ئاخىرقى بابىدىكىدەك، ئۈچ پەرىشتىنىڭ ھەممىسىنى ئۆز ئىچىگە ئالغان بىرىنچى پەرىشتىنىڭ ئۈچ باسقۇچى ئېنىق كۆرسىتىلگەن. بىرىنچى باب بىرىنچى پەرىشتىنىڭ مەڭگۈلۈك خۇش خەۋىرى بولغانلىقى ئۈچۈن، دانىيالنىڭ ئىككىنچى بابى ۋەھىي 14-بابتىكى ئىككىنچى پەرىشتىگە ۋەكىللىك قىلىدۇ؛ بۇ يەردە، بىرىنچى بابنىڭ ئۈچ باسقۇچىدىكى ئىككىنچى سىناقتىكىدەكلا، ۋەھشىي ھايۋاننىڭ سۈرىتى ياكى مەسىھنىڭ سۈرىتىگە دائىر سىناق ئىپادىلەنگەن.</w:t>
      </w:r>
    </w:p>
    <w:p>
      <w:pPr>
        <w:pStyle w:val="ArticleBody"/>
        <w:jc w:val="left"/>
      </w:pPr>
      <w:r>
        <w:rPr>
          <w:rFonts w:ascii="Times New Roman" w:hAnsi="Times New Roman" w:eastAsia="Times New Roman" w:cs="Times New Roman"/>
        </w:rPr>
        <w:t>چۈنكى دانىيالنىڭ بىرىنچى ۋە ئىككىنچى بابلىرى ۋەھىيلەر كىتابىنىڭ ئون تۆرتىنچى بابىدىكى بىرىنچى ۋە ئىككىنچى پەرىشتىلەرنى ئىپادىلەيدۇ، شۇڭا ئۈچىنچى باب ۋە دۇرا تۈزلەڭلىكىدىكى سىناق ياۋايى ھايۋاننىڭ بەلگىسىنى قوبۇل قىلماسلىق ھەققىدىكى ئاگاھلاندۇرۇشى بىلەن بىللە، ئۈچىنچى پەرىشتىنىڭ خەۋىرىنى ئىپادىلەيدۇ. دانىيالنىڭ بىرىنچى بابىدا كورەشنىڭ بىرىنچى يىلى تىلغا ئېلىنىدۇ، ۋە دانىيالنىڭ ئاخىرقى كۆرىنىشى بولغان ئونىنچى بابتا كورەش ئۇنىڭ ئۈچىنچى يىلى ئارقىلىق كۆرسىتىلىدۇ، ئەمما بىز بىلىمىزكى، ئۇ ئۈچىنچى يىل ئەمەلىيەتتە ئۇنىڭ بىرىنچى يىلىدۇر، چۈنكى دانىيال پەقەت كورەشنىڭ بىرىنچى يىلىغىچەلا داۋام قىلغان ئىدى.</w:t>
      </w:r>
    </w:p>
    <w:p>
      <w:pPr>
        <w:pStyle w:val="ArticleBody"/>
        <w:jc w:val="left"/>
      </w:pPr>
      <w:r>
        <w:rPr>
          <w:rFonts w:ascii="Times New Roman" w:hAnsi="Times New Roman" w:eastAsia="Times New Roman" w:cs="Times New Roman"/>
        </w:rPr>
        <w:t>لہٰذا خورس ایک ایسے پہلے سال کی علامت ہے جو تین برسوں کو محیط ہے۔ وہ پہلے فرشتے کے پیغام کی علامت ہے۔ خورس کے پہلے سال کا ذکر دانی ایل کی پہلی رؤیا کی آخری آیت میں کیا گیا ہے، اور پھر دوبارہ دانی ایل کی آخری رؤیا کی پہلی آیت میں۔ خورس کی نبوتی علامت کو پہچاننا نہایت اہم ہے، اور ہم پہلے یہ متعین کر رہے ہیں کہ وہ پہلے فرشتے کے پیغام کی نمائندگی کرتا ہے۔ اس کا نبوتی تعین اس حقیقت سے کیا جا سکتا ہے کہ دانی ایل اس کے تیسرے سال کو اس کا پہلا سال قرار دیتا ہے، لیکن اس سے بھی بڑھ کر، یہ اس پہلے فرمان سے ظاہر ہوتا ہے جس کا اس نے اعلان کیا۔</w:t>
      </w:r>
    </w:p>
    <w:p>
      <w:pPr>
        <w:pStyle w:val="ArticleBody"/>
        <w:jc w:val="left"/>
      </w:pP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कूरूश</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سایرس، بنا بر این، «آخِر زمان» را نمایندگی می‌کند؛ زیرا در هنگامی که فرشتۀ اول (سایرس) در سال 1798 فرا رسید، «آخِر زمان» نیز فرارسید و کتاب دانیال گشوده شد. باور بر این است که نامِ سایرس از واژۀ فارسیِ باستان «Kūruš» مشتق شده است که به معنای «خورشید» است، در ترکیب با واژۀ ایلامیِ «kursh» به معنای «تخت»، که دلالت بر پیوندی با اقتدار سلطنتی یا پادشاهی دارد. اشعیا نیز به این ویژگی‌های سایرس می‌پردازد.</w:t>
      </w:r>
    </w:p>
    <w:p>
      <w:pPr>
        <w:pStyle w:val="ArticleScripture"/>
        <w:jc w:val="left"/>
      </w:pPr>
      <w:r>
        <w:rPr>
          <w:rFonts w:ascii="Myanmar Text" w:hAnsi="Myanmar Text" w:eastAsia="Myanmar Text" w:cs="Myanmar Text"/>
        </w:rPr>
        <w:t>ကောရုရှ်အကြောင်းကို</w:t>
      </w:r>
      <w:r>
        <w:rPr>
          <w:rFonts w:ascii="Times New Roman" w:hAnsi="Times New Roman" w:eastAsia="Times New Roman" w:cs="Times New Roman"/>
        </w:rPr>
        <w:t xml:space="preserve"> </w:t>
      </w:r>
      <w:r>
        <w:rPr>
          <w:rFonts w:ascii="Myanmar Text" w:hAnsi="Myanmar Text" w:eastAsia="Myanmar Text" w:cs="Myanmar Text"/>
        </w:rPr>
        <w:t>မိန့်တော်မူသည်မှာ၊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ထိန်းကျောင်းသူ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ငါအလိုရှိသမျှကို</w:t>
      </w:r>
      <w:r>
        <w:rPr>
          <w:rFonts w:ascii="Times New Roman" w:hAnsi="Times New Roman" w:eastAsia="Times New Roman" w:cs="Times New Roman"/>
        </w:rPr>
        <w:t xml:space="preserve"> </w:t>
      </w:r>
      <w:r>
        <w:rPr>
          <w:rFonts w:ascii="Myanmar Text" w:hAnsi="Myanmar Text" w:eastAsia="Myanmar Text" w:cs="Myanmar Text"/>
        </w:rPr>
        <w:t>ပြည့်စုံစေမည်။</w:t>
      </w:r>
      <w:r>
        <w:rPr>
          <w:rFonts w:ascii="Times New Roman" w:hAnsi="Times New Roman" w:eastAsia="Times New Roman" w:cs="Times New Roman"/>
        </w:rPr>
        <w:t xml:space="preserve">” </w:t>
      </w:r>
      <w:r>
        <w:rPr>
          <w:rFonts w:ascii="Myanmar Text" w:hAnsi="Myanmar Text" w:eastAsia="Myanmar Text" w:cs="Myanmar Text"/>
        </w:rPr>
        <w:t>ယေရုရှလင်မြို့အား</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တည်ဆောက်ခြင်းကို</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xml:space="preserve">” </w:t>
      </w:r>
      <w:r>
        <w:rPr>
          <w:rFonts w:ascii="Myanmar Text" w:hAnsi="Myanmar Text" w:eastAsia="Myanmar Text" w:cs="Myanmar Text"/>
        </w:rPr>
        <w:t>ဟူ၍၎င်း၊</w:t>
      </w:r>
      <w:r>
        <w:rPr>
          <w:rFonts w:ascii="Times New Roman" w:hAnsi="Times New Roman" w:eastAsia="Times New Roman" w:cs="Times New Roman"/>
        </w:rPr>
        <w:t xml:space="preserve"> </w:t>
      </w:r>
      <w:r>
        <w:rPr>
          <w:rFonts w:ascii="Myanmar Text" w:hAnsi="Myanmar Text" w:eastAsia="Myanmar Text" w:cs="Myanmar Text"/>
        </w:rPr>
        <w:t>ဗိမာန်တော်အား</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ချမှတ်ရမည်</w:t>
      </w:r>
      <w:r>
        <w:rPr>
          <w:rFonts w:ascii="Times New Roman" w:hAnsi="Times New Roman" w:eastAsia="Times New Roman" w:cs="Times New Roman"/>
        </w:rPr>
        <w:t xml:space="preserve">” </w:t>
      </w:r>
      <w:r>
        <w:rPr>
          <w:rFonts w:ascii="Myanmar Text" w:hAnsi="Myanmar Text" w:eastAsia="Myanmar Text" w:cs="Myanmar Text"/>
        </w:rPr>
        <w:t>ဟူ၍၎င်း</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ဘိသိက်ခံသူ</w:t>
      </w:r>
      <w:r>
        <w:rPr>
          <w:rFonts w:ascii="Times New Roman" w:hAnsi="Times New Roman" w:eastAsia="Times New Roman" w:cs="Times New Roman"/>
        </w:rPr>
        <w:t xml:space="preserve"> </w:t>
      </w:r>
      <w:r>
        <w:rPr>
          <w:rFonts w:ascii="Myanmar Text" w:hAnsi="Myanmar Text" w:eastAsia="Myanmar Text" w:cs="Myanmar Text"/>
        </w:rPr>
        <w:t>ကောရုရှ်အား၊</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လက်ယာလက်ကို</w:t>
      </w:r>
      <w:r>
        <w:rPr>
          <w:rFonts w:ascii="Times New Roman" w:hAnsi="Times New Roman" w:eastAsia="Times New Roman" w:cs="Times New Roman"/>
        </w:rPr>
        <w:t xml:space="preserve"> </w:t>
      </w:r>
      <w:r>
        <w:rPr>
          <w:rFonts w:ascii="Myanmar Text" w:hAnsi="Myanmar Text" w:eastAsia="Myanmar Text" w:cs="Myanmar Text"/>
        </w:rPr>
        <w:t>ကိုင်ထားပြီး၊</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လူမျိုးများကို</w:t>
      </w:r>
      <w:r>
        <w:rPr>
          <w:rFonts w:ascii="Times New Roman" w:hAnsi="Times New Roman" w:eastAsia="Times New Roman" w:cs="Times New Roman"/>
        </w:rPr>
        <w:t xml:space="preserve"> </w:t>
      </w:r>
      <w:r>
        <w:rPr>
          <w:rFonts w:ascii="Myanmar Text" w:hAnsi="Myanmar Text" w:eastAsia="Myanmar Text" w:cs="Myanmar Text"/>
        </w:rPr>
        <w:t>နှိမ်နင်းစေမည်။</w:t>
      </w:r>
      <w:r>
        <w:rPr>
          <w:rFonts w:ascii="Times New Roman" w:hAnsi="Times New Roman" w:eastAsia="Times New Roman" w:cs="Times New Roman"/>
        </w:rPr>
        <w:t xml:space="preserve"> </w:t>
      </w:r>
      <w:r>
        <w:rPr>
          <w:rFonts w:ascii="Myanmar Text" w:hAnsi="Myanmar Text" w:eastAsia="Myanmar Text" w:cs="Myanmar Text"/>
        </w:rPr>
        <w:t>ဘုရင်တို့၏</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ဖြေချစေမည်။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တံခါးနှစ်ဖက်ကို</w:t>
      </w:r>
      <w:r>
        <w:rPr>
          <w:rFonts w:ascii="Times New Roman" w:hAnsi="Times New Roman" w:eastAsia="Times New Roman" w:cs="Times New Roman"/>
        </w:rPr>
        <w:t xml:space="preserve"> </w:t>
      </w:r>
      <w:r>
        <w:rPr>
          <w:rFonts w:ascii="Myanmar Text" w:hAnsi="Myanmar Text" w:eastAsia="Myanmar Text" w:cs="Myanmar Text"/>
        </w:rPr>
        <w:t>ဖွင့်လှစ်စေမည်။</w:t>
      </w:r>
      <w:r>
        <w:rPr>
          <w:rFonts w:ascii="Times New Roman" w:hAnsi="Times New Roman" w:eastAsia="Times New Roman" w:cs="Times New Roman"/>
        </w:rPr>
        <w:t xml:space="preserve"> </w:t>
      </w:r>
      <w:r>
        <w:rPr>
          <w:rFonts w:ascii="Myanmar Text" w:hAnsi="Myanmar Text" w:eastAsia="Myanmar Text" w:cs="Myanmar Text"/>
        </w:rPr>
        <w:t>ထိုတံခါးများသည်</w:t>
      </w:r>
      <w:r>
        <w:rPr>
          <w:rFonts w:ascii="Times New Roman" w:hAnsi="Times New Roman" w:eastAsia="Times New Roman" w:cs="Times New Roman"/>
        </w:rPr>
        <w:t xml:space="preserve"> </w:t>
      </w:r>
      <w:r>
        <w:rPr>
          <w:rFonts w:ascii="Myanmar Text" w:hAnsi="Myanmar Text" w:eastAsia="Myanmar Text" w:cs="Myanmar Text"/>
        </w:rPr>
        <w:t>ပိတ်လျက်</w:t>
      </w:r>
      <w:r>
        <w:rPr>
          <w:rFonts w:ascii="Times New Roman" w:hAnsi="Times New Roman" w:eastAsia="Times New Roman" w:cs="Times New Roman"/>
        </w:rPr>
        <w:t xml:space="preserve"> </w:t>
      </w:r>
      <w:r>
        <w:rPr>
          <w:rFonts w:ascii="Myanmar Text" w:hAnsi="Myanmar Text" w:eastAsia="Myanmar Text" w:cs="Myanmar Text"/>
        </w:rPr>
        <w:t>မနေရ။</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သင့်ရှေ့သို့</w:t>
      </w:r>
      <w:r>
        <w:rPr>
          <w:rFonts w:ascii="Times New Roman" w:hAnsi="Times New Roman" w:eastAsia="Times New Roman" w:cs="Times New Roman"/>
        </w:rPr>
        <w:t xml:space="preserve"> </w:t>
      </w:r>
      <w:r>
        <w:rPr>
          <w:rFonts w:ascii="Myanmar Text" w:hAnsi="Myanmar Text" w:eastAsia="Myanmar Text" w:cs="Myanmar Text"/>
        </w:rPr>
        <w:t>သွားမည်။</w:t>
      </w:r>
      <w:r>
        <w:rPr>
          <w:rFonts w:ascii="Times New Roman" w:hAnsi="Times New Roman" w:eastAsia="Times New Roman" w:cs="Times New Roman"/>
        </w:rPr>
        <w:t xml:space="preserve"> </w:t>
      </w:r>
      <w:r>
        <w:rPr>
          <w:rFonts w:ascii="Myanmar Text" w:hAnsi="Myanmar Text" w:eastAsia="Myanmar Text" w:cs="Myanmar Text"/>
        </w:rPr>
        <w:t>ကောက်ကွေ့သော</w:t>
      </w:r>
      <w:r>
        <w:rPr>
          <w:rFonts w:ascii="Times New Roman" w:hAnsi="Times New Roman" w:eastAsia="Times New Roman" w:cs="Times New Roman"/>
        </w:rPr>
        <w:t xml:space="preserve"> </w:t>
      </w:r>
      <w:r>
        <w:rPr>
          <w:rFonts w:ascii="Myanmar Text" w:hAnsi="Myanmar Text" w:eastAsia="Myanmar Text" w:cs="Myanmar Text"/>
        </w:rPr>
        <w:t>အရပ်များကို</w:t>
      </w:r>
      <w:r>
        <w:rPr>
          <w:rFonts w:ascii="Times New Roman" w:hAnsi="Times New Roman" w:eastAsia="Times New Roman" w:cs="Times New Roman"/>
        </w:rPr>
        <w:t xml:space="preserve"> </w:t>
      </w:r>
      <w:r>
        <w:rPr>
          <w:rFonts w:ascii="Myanmar Text" w:hAnsi="Myanmar Text" w:eastAsia="Myanmar Text" w:cs="Myanmar Text"/>
        </w:rPr>
        <w:t>ဖြောင့်မတ်စေမည်။</w:t>
      </w:r>
      <w:r>
        <w:rPr>
          <w:rFonts w:ascii="Times New Roman" w:hAnsi="Times New Roman" w:eastAsia="Times New Roman" w:cs="Times New Roman"/>
        </w:rPr>
        <w:t xml:space="preserve"> </w:t>
      </w:r>
      <w:r>
        <w:rPr>
          <w:rFonts w:ascii="Myanmar Text" w:hAnsi="Myanmar Text" w:eastAsia="Myanmar Text" w:cs="Myanmar Text"/>
        </w:rPr>
        <w:t>ကြေးဝါတံခါးများကို</w:t>
      </w:r>
      <w:r>
        <w:rPr>
          <w:rFonts w:ascii="Times New Roman" w:hAnsi="Times New Roman" w:eastAsia="Times New Roman" w:cs="Times New Roman"/>
        </w:rPr>
        <w:t xml:space="preserve"> </w:t>
      </w:r>
      <w:r>
        <w:rPr>
          <w:rFonts w:ascii="Myanmar Text" w:hAnsi="Myanmar Text" w:eastAsia="Myanmar Text" w:cs="Myanmar Text"/>
        </w:rPr>
        <w:t>အပိုင်းပိုင်း</w:t>
      </w:r>
      <w:r>
        <w:rPr>
          <w:rFonts w:ascii="Times New Roman" w:hAnsi="Times New Roman" w:eastAsia="Times New Roman" w:cs="Times New Roman"/>
        </w:rPr>
        <w:t xml:space="preserve"> </w:t>
      </w:r>
      <w:r>
        <w:rPr>
          <w:rFonts w:ascii="Myanmar Text" w:hAnsi="Myanmar Text" w:eastAsia="Myanmar Text" w:cs="Myanmar Text"/>
        </w:rPr>
        <w:t>ချိုးဖျက်မည်။</w:t>
      </w:r>
      <w:r>
        <w:rPr>
          <w:rFonts w:ascii="Times New Roman" w:hAnsi="Times New Roman" w:eastAsia="Times New Roman" w:cs="Times New Roman"/>
        </w:rPr>
        <w:t xml:space="preserve"> </w:t>
      </w:r>
      <w:r>
        <w:rPr>
          <w:rFonts w:ascii="Myanmar Text" w:hAnsi="Myanmar Text" w:eastAsia="Myanmar Text" w:cs="Myanmar Text"/>
        </w:rPr>
        <w:t>သံတံခွန်များကို</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ဖြတ်တောက်မည်။</w:t>
      </w:r>
      <w:r>
        <w:rPr>
          <w:rFonts w:ascii="Times New Roman" w:hAnsi="Times New Roman" w:eastAsia="Times New Roman" w:cs="Times New Roman"/>
        </w:rPr>
        <w:t xml:space="preserve"> </w:t>
      </w:r>
      <w:r>
        <w:rPr>
          <w:rFonts w:ascii="Myanmar Text" w:hAnsi="Myanmar Text" w:eastAsia="Myanmar Text" w:cs="Myanmar Text"/>
        </w:rPr>
        <w:t>မှောင်မိုက်ထဲက</w:t>
      </w:r>
      <w:r>
        <w:rPr>
          <w:rFonts w:ascii="Times New Roman" w:hAnsi="Times New Roman" w:eastAsia="Times New Roman" w:cs="Times New Roman"/>
        </w:rPr>
        <w:t xml:space="preserve"> </w:t>
      </w:r>
      <w:r>
        <w:rPr>
          <w:rFonts w:ascii="Myanmar Text" w:hAnsi="Myanmar Text" w:eastAsia="Myanmar Text" w:cs="Myanmar Text"/>
        </w:rPr>
        <w:t>ဘဏ္ဍာများနှင့်</w:t>
      </w:r>
      <w:r>
        <w:rPr>
          <w:rFonts w:ascii="Times New Roman" w:hAnsi="Times New Roman" w:eastAsia="Times New Roman" w:cs="Times New Roman"/>
        </w:rPr>
        <w:t xml:space="preserve"> </w:t>
      </w:r>
      <w:r>
        <w:rPr>
          <w:rFonts w:ascii="Myanmar Text" w:hAnsi="Myanmar Text" w:eastAsia="Myanmar Text" w:cs="Myanmar Text"/>
        </w:rPr>
        <w:t>လျှို့ဝှက်ရာ၌</w:t>
      </w:r>
      <w:r>
        <w:rPr>
          <w:rFonts w:ascii="Times New Roman" w:hAnsi="Times New Roman" w:eastAsia="Times New Roman" w:cs="Times New Roman"/>
        </w:rPr>
        <w:t xml:space="preserve"> </w:t>
      </w:r>
      <w:r>
        <w:rPr>
          <w:rFonts w:ascii="Myanmar Text" w:hAnsi="Myanmar Text" w:eastAsia="Myanmar Text" w:cs="Myanmar Text"/>
        </w:rPr>
        <w:t>ဝှက်ထားသော</w:t>
      </w:r>
      <w:r>
        <w:rPr>
          <w:rFonts w:ascii="Times New Roman" w:hAnsi="Times New Roman" w:eastAsia="Times New Roman" w:cs="Times New Roman"/>
        </w:rPr>
        <w:t xml:space="preserve"> </w:t>
      </w:r>
      <w:r>
        <w:rPr>
          <w:rFonts w:ascii="Myanmar Text" w:hAnsi="Myanmar Text" w:eastAsia="Myanmar Text" w:cs="Myanmar Text"/>
        </w:rPr>
        <w:t>စည်းစိမ်ဥစ္စာများကို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ပေးမည်။</w:t>
      </w:r>
      <w:r>
        <w:rPr>
          <w:rFonts w:ascii="Times New Roman" w:hAnsi="Times New Roman" w:eastAsia="Times New Roman" w:cs="Times New Roman"/>
        </w:rPr>
        <w:t xml:space="preserve"> </w:t>
      </w:r>
      <w:r>
        <w:rPr>
          <w:rFonts w:ascii="Myanmar Text" w:hAnsi="Myanmar Text" w:eastAsia="Myanmar Text" w:cs="Myanmar Text"/>
        </w:rPr>
        <w:t>ထိုသို့ပြုခြင်းအားဖြင့်၊</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နာမည်ဖြင့်</w:t>
      </w:r>
      <w:r>
        <w:rPr>
          <w:rFonts w:ascii="Times New Roman" w:hAnsi="Times New Roman" w:eastAsia="Times New Roman" w:cs="Times New Roman"/>
        </w:rPr>
        <w:t xml:space="preserve"> </w:t>
      </w:r>
      <w:r>
        <w:rPr>
          <w:rFonts w:ascii="Myanmar Text" w:hAnsi="Myanmar Text" w:eastAsia="Myanmar Text" w:cs="Myanmar Text"/>
        </w:rPr>
        <w:t>ခေါ်တော်မူသော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ဖြစ်ကြောင်းကို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သိစေခြင်းငှာ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ကျွန်</w:t>
      </w:r>
      <w:r>
        <w:rPr>
          <w:rFonts w:ascii="Times New Roman" w:hAnsi="Times New Roman" w:eastAsia="Times New Roman" w:cs="Times New Roman"/>
        </w:rPr>
        <w:t xml:space="preserve"> </w:t>
      </w:r>
      <w:r>
        <w:rPr>
          <w:rFonts w:ascii="Myanmar Text" w:hAnsi="Myanmar Text" w:eastAsia="Myanmar Text" w:cs="Myanmar Text"/>
        </w:rPr>
        <w:t>ယာကုပ်ကြောင့်၎င်း၊</w:t>
      </w:r>
      <w:r>
        <w:rPr>
          <w:rFonts w:ascii="Times New Roman" w:hAnsi="Times New Roman" w:eastAsia="Times New Roman" w:cs="Times New Roman"/>
        </w:rPr>
        <w:t xml:space="preserve"> </w:t>
      </w:r>
      <w:r>
        <w:rPr>
          <w:rFonts w:ascii="Myanmar Text" w:hAnsi="Myanmar Text" w:eastAsia="Myanmar Text" w:cs="Myanmar Text"/>
        </w:rPr>
        <w:t>ငါရွေးကောက်သော</w:t>
      </w:r>
      <w:r>
        <w:rPr>
          <w:rFonts w:ascii="Times New Roman" w:hAnsi="Times New Roman" w:eastAsia="Times New Roman" w:cs="Times New Roman"/>
        </w:rPr>
        <w:t xml:space="preserve"> </w:t>
      </w:r>
      <w:r>
        <w:rPr>
          <w:rFonts w:ascii="Myanmar Text" w:hAnsi="Myanmar Text" w:eastAsia="Myanmar Text" w:cs="Myanmar Text"/>
        </w:rPr>
        <w:t>ဣသရေလကြောင့်၎င်း၊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နာမည်ဖြင့်</w:t>
      </w:r>
      <w:r>
        <w:rPr>
          <w:rFonts w:ascii="Times New Roman" w:hAnsi="Times New Roman" w:eastAsia="Times New Roman" w:cs="Times New Roman"/>
        </w:rPr>
        <w:t xml:space="preserve"> </w:t>
      </w:r>
      <w:r>
        <w:rPr>
          <w:rFonts w:ascii="Myanmar Text" w:hAnsi="Myanmar Text" w:eastAsia="Myanmar Text" w:cs="Myanmar Text"/>
        </w:rPr>
        <w:t>ခေါ်ခဲ့ပြီ။</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မသိသော်လည်း၊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ဘွဲ့နာမ</w:t>
      </w:r>
      <w:r>
        <w:rPr>
          <w:rFonts w:ascii="Times New Roman" w:hAnsi="Times New Roman" w:eastAsia="Times New Roman" w:cs="Times New Roman"/>
        </w:rPr>
        <w:t xml:space="preserve"> </w:t>
      </w:r>
      <w:r>
        <w:rPr>
          <w:rFonts w:ascii="Myanmar Text" w:hAnsi="Myanmar Text" w:eastAsia="Myanmar Text" w:cs="Myanmar Text"/>
        </w:rPr>
        <w:t>ပေးထားပြီ။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ငါ့မှတစ်ပါး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မသိသော်လည်း၊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ခွန်အားတပ်ဆင်ပေးခဲ့ပြီ။</w:t>
      </w:r>
      <w:r>
        <w:rPr>
          <w:rFonts w:ascii="Times New Roman" w:hAnsi="Times New Roman" w:eastAsia="Times New Roman" w:cs="Times New Roman"/>
        </w:rPr>
        <w:t xml:space="preserve"> </w:t>
      </w:r>
      <w:r>
        <w:rPr>
          <w:rFonts w:ascii="Myanmar Text" w:hAnsi="Myanmar Text" w:eastAsia="Myanmar Text" w:cs="Myanmar Text"/>
        </w:rPr>
        <w:t>နေထွက်ရာအရပ်မှ</w:t>
      </w:r>
      <w:r>
        <w:rPr>
          <w:rFonts w:ascii="Times New Roman" w:hAnsi="Times New Roman" w:eastAsia="Times New Roman" w:cs="Times New Roman"/>
        </w:rPr>
        <w:t xml:space="preserve"> </w:t>
      </w:r>
      <w:r>
        <w:rPr>
          <w:rFonts w:ascii="Myanmar Text" w:hAnsi="Myanmar Text" w:eastAsia="Myanmar Text" w:cs="Myanmar Text"/>
        </w:rPr>
        <w:t>နေဝင်ရာအရပ်တိုင်အောင်၊</w:t>
      </w:r>
      <w:r>
        <w:rPr>
          <w:rFonts w:ascii="Times New Roman" w:hAnsi="Times New Roman" w:eastAsia="Times New Roman" w:cs="Times New Roman"/>
        </w:rPr>
        <w:t xml:space="preserve"> </w:t>
      </w:r>
      <w:r>
        <w:rPr>
          <w:rFonts w:ascii="Myanmar Text" w:hAnsi="Myanmar Text" w:eastAsia="Myanmar Text" w:cs="Myanmar Text"/>
        </w:rPr>
        <w:t>ငါ့မှတစ်ပါး</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မရှိကြောင်းကို</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သိစေခြင်းငှာ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44:28–45:6</w:t>
      </w:r>
      <w:r>
        <w:rPr>
          <w:rFonts w:ascii="Myanmar Text" w:hAnsi="Myanmar Text" w:eastAsia="Myanmar Text" w:cs="Myanmar Text"/>
        </w:rPr>
        <w:t>။</w:t>
      </w:r>
    </w:p>
    <w:p>
      <w:pPr>
        <w:pStyle w:val="ArticleBody"/>
        <w:jc w:val="left"/>
      </w:pPr>
      <w:r>
        <w:rPr>
          <w:rFonts w:ascii="Times New Roman" w:hAnsi="Times New Roman" w:eastAsia="Times New Roman" w:cs="Times New Roman"/>
        </w:rPr>
        <w:t>Koresh Masihning timsoli edi, chunki u Egamizning “moylangani” bo‘lgan va Quddusni bunyod etib, ma’badning poydevorini qo‘yuvchi Xudoning “cho‘poni” deb atalgan. U yopiq darvozalarni ochish bilan bog‘liq bo‘lgan zotdir, xuddi Masih kabi: U ochadi va hech kim yopmaydi, yopadi va hech kim ochmaydi. Va Koreshga “zulmat xazinalari va maxfiy joylarning yashirin boyliklari” berilgan. Koresh islohot harakatlari chizig‘i bo‘ylab bir necha belgi nuqtalarini bajo keltiradi.</w:t>
      </w:r>
    </w:p>
    <w:p>
      <w:pPr>
        <w:pStyle w:val="ArticleBody"/>
        <w:jc w:val="left"/>
      </w:pPr>
      <w:r>
        <w:rPr>
          <w:rFonts w:ascii="Times New Roman" w:hAnsi="Times New Roman" w:eastAsia="Times New Roman" w:cs="Times New Roman"/>
        </w:rPr>
        <w:t>Тэрээр төгсгөлийн цагийг тэмдэглэдэг: тэр үед анхны тэнгэрэлч ирж, Даниелын номын лац тайлагдан, улмаар “харанхуйн эрдэнэс ба нууц газруудын далд баялаг”-аас ирэх мэдлэгийн өсөлт бий болдог. Тэдгээр “харанхуйн эрдэнэс ба нууц газруудын далд баялаг” нь “баригдах” ёстой “суурь”, мөн “тавигдах” ёстой “сүм”-ийг бүрдүүлдэг. Кирээр бэлгэдэгдсэн Христ бол Эзэний “тослогдсон” Нэгэн бөгөөд Христ Өөрийн баптисм дээр тослогдсон билээ. Иймээс Кир нь зөвхөн анхны тэнгэрэлчийн ирэлт төдийгүй, мөн Христ тослогдох үед Ариун Сүнс бууж ирсэнчлэн, анхны тэнгэрэлч бууж ирэхэд түүнд хүч өгдөг хоёр дахь тэнгэрэлч мөн юм. 1844 оны 10-р сарын 22-нд Христ өмнө нь хаалттай байсан Ариун Ариун газрын хаалга буюу “үүд”-ийг нээсэн. Кир мөн гурав дахь тэнгэрэлчийн ирэлтийг тэмдэглэдэг.</w:t>
      </w:r>
    </w:p>
    <w:p>
      <w:pPr>
        <w:pStyle w:val="ArticleBody"/>
        <w:jc w:val="left"/>
      </w:pPr>
      <w:r>
        <w:rPr>
          <w:rFonts w:ascii="Times New Roman" w:hAnsi="Times New Roman" w:eastAsia="Times New Roman" w:cs="Times New Roman"/>
        </w:rPr>
        <w:t>Kores muraqbi amezwaru yeṭṭfen, akked muraqbi amezwaru yessefk allal n yal yiwen seg kraḍ n imuraqben. Kores d lweqt n tagara deg 1798, mi d-yewweḍ muraqbi amezwaru. Kores yettwasekcem i 11 Ɣuct 1840 mi tessusem tikkelt n muraqbi amezwaru (ttemzizdeg). Yettwasekcem i umahil n userses n lsasat, akken i yettwammel s usefru n tferkit n 1843 deg Mayyu n 1842. Yettwasekcem i lebni n uxxam n Rebbi, imi snat n taggayin bḍant deg usnefli amezwaru ass n 19 Ibrir 1844, yerna yettwasekcem i wis sin unbeddel deg usnefli ameqqran n 22 Tuber 1844.</w:t>
      </w:r>
    </w:p>
    <w:p>
      <w:pPr>
        <w:pStyle w:val="ArticleBody"/>
        <w:jc w:val="left"/>
      </w:pPr>
      <w:r>
        <w:rPr>
          <w:rFonts w:ascii="Times New Roman" w:hAnsi="Times New Roman" w:eastAsia="Times New Roman" w:cs="Times New Roman"/>
        </w:rPr>
        <w:t>مىللەرىتلەرنىڭ ئىسلاھات ھەرىكىتىدىكى بارلىق مۇھىم بەلگىلەر كورەش تەرىپىدىن تىپىك قىلىنغان ئىدى؛ شۇڭا بۇ بەلگىلەر يۈز قىرىق تۆت مىڭنىڭ ھەرىكىتىنىڭ بەلگىلىرىنىمۇ تىپىك قىلماقتا. مىللەرىت ھەرىكىتىنىڭ ئالدىدىن، مەسىھ مىللەرىتلەرنىڭ تارىخىدىن ئىلگىرى يۈز بېرىدىغانلىقىنى كۆرسەتكەن بەلگىلەر كەلگەن ئىدى.</w:t>
      </w:r>
    </w:p>
    <w:p>
      <w:pPr>
        <w:pStyle w:val="ArticleScripture"/>
        <w:jc w:val="left"/>
      </w:pPr>
      <w:r>
        <w:rPr>
          <w:rFonts w:ascii="Times New Roman" w:hAnsi="Times New Roman" w:eastAsia="Times New Roman" w:cs="Times New Roman"/>
        </w:rPr>
        <w:t>“ꞌ</w:t>
      </w:r>
      <w:r>
        <w:rPr>
          <w:rFonts w:ascii="Nirmala UI" w:hAnsi="Nirmala UI" w:eastAsia="Nirmala UI" w:cs="Nirmala UI"/>
        </w:rPr>
        <w:t>ਪ੍ਰਫੇਸੀ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Luke 21:25.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ਅੰਧਕਾਰਮਈ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ਹਿਲਾਈਆਂ</w:t>
      </w:r>
      <w:r>
        <w:rPr>
          <w:rFonts w:ascii="Times New Roman" w:hAnsi="Times New Roman" w:eastAsia="Times New Roman" w:cs="Times New Roman"/>
        </w:rPr>
        <w:t xml:space="preserve"> </w:t>
      </w:r>
      <w:r>
        <w:rPr>
          <w:rFonts w:ascii="Nirmala UI" w:hAnsi="Nirmala UI" w:eastAsia="Nirmala UI" w:cs="Nirmala UI"/>
        </w:rPr>
        <w:t>ਜਾਣਗੀਆਂ।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ਬੱਦਲਾਂ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ਦੇਖਣਗੇ।</w:t>
      </w:r>
      <w:r>
        <w:rPr>
          <w:rFonts w:ascii="Times New Roman" w:hAnsi="Times New Roman" w:eastAsia="Times New Roman" w:cs="Times New Roman"/>
        </w:rPr>
        <w:t xml:space="preserve">’ Mark 13:24–26.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ਵਰਣਨ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ਟਾਟ</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Revelation 6:12.”</w:t>
      </w:r>
    </w:p>
    <w:p>
      <w:pPr>
        <w:pStyle w:val="ArticleScripture"/>
        <w:jc w:val="left"/>
      </w:pPr>
      <w:r>
        <w:rPr>
          <w:rFonts w:ascii="Times New Roman" w:hAnsi="Times New Roman" w:eastAsia="Times New Roman" w:cs="Times New Roman"/>
        </w:rPr>
        <w:t>“Alemeʿtoen shemūn adā meftāḥat qarn al-tisʿeʿa ʿasra. Bemeffetsām hāʾ nebuʾat, beʿāmeta 1755, taḥadāth zelzelā rabā yākallu men kulle zelzelāt zeteṣajjalu.” The Great Controversy, 304.</w:t>
      </w:r>
    </w:p>
    <w:p>
      <w:pPr>
        <w:pStyle w:val="ArticleBody"/>
        <w:jc w:val="left"/>
      </w:pPr>
      <w:r>
        <w:rPr>
          <w:rFonts w:ascii="Times New Roman" w:hAnsi="Times New Roman" w:eastAsia="Times New Roman" w:cs="Times New Roman"/>
        </w:rPr>
        <w:t>İkinci Gəlişi müjdələyən əlamətlər 1798-dən bir qədər əvvəl, 1755-ci ildə başladı. 1798-ci il ruhani İsrailin ruhani Babildəki əsarətinin sonu idi; Sister White öyrədir ki, bu əsarət hərfi İsrailin hərfi Babildəki hərfi əsarəti ilə simvollaşdırılmışdı; həmin əsarət isə yetmiş illik əsarətin sonunda, Kir açıq darvazalardan içəri girib Babili aldıqda və Belşassarı öldürdükdə başa çatmışdı.</w:t>
      </w:r>
    </w:p>
    <w:p>
      <w:pPr>
        <w:pStyle w:val="ArticleScripture"/>
        <w:jc w:val="left"/>
      </w:pPr>
      <w:r>
        <w:rPr>
          <w:rFonts w:ascii="Times New Roman" w:hAnsi="Times New Roman" w:eastAsia="Times New Roman" w:cs="Times New Roman"/>
        </w:rPr>
        <w:t>“Anqay Diospa iglesianqa kunanqa librin kashan chinkasqa miraypa qispichisqanpaq diosmanta hamuq yuyayninta hunt’aspa ñawpaqman apanampaq. Achka pachak watakunapin Diospa llaqtanqa libertadenkunamanta hark’asqa ñak’arirqanku. Evangelio llapallan cheqninpi willakusqanqa amachasqa karqan, hinaspapas runakunapa kamachikuyninkunata mana kasukuqkunamanqa aswan sinchi castigonakuna churakusqa karqan. Chayraykun Señorpa hatun moral uvas chakranqa casi llapanpi mana llamk’asqa qhiparqan. Runakunan Diospa siminpa k’anchayninmanta qichusqa karqanku. Pantaypa hinaspa supersticiónpa tutayanmi cheq religionmanta yachayta chinkachiyta munarqan. Kay unay, mana samakuq ñak’ariykuna tiempopi, kay pachapi Diospa iglesianqa cheqaqtapunin prisionpi karqan, imaynachus Israelpa churinkuna exilio pacha Babiloniapi prisionerokuna karqanku, chay hinata.” Prophets and Kings, 714.</w:t>
      </w:r>
    </w:p>
    <w:p>
      <w:pPr>
        <w:pStyle w:val="ArticleBody"/>
        <w:jc w:val="left"/>
      </w:pPr>
      <w:r>
        <w:rPr>
          <w:rFonts w:ascii="Times New Roman" w:hAnsi="Times New Roman" w:eastAsia="Times New Roman" w:cs="Times New Roman"/>
        </w:rPr>
        <w:t>Բաբելոնում յոթանասուն տարիների վախճանը նախատիպում էր 1798 թվականը, և կային նշաններ, որոնք նախորդեցին 1798-ին և ազդարարեցին, որ Քրիստոսի վերադարձը մոտալուտ էր։</w:t>
      </w:r>
    </w:p>
    <w:p>
      <w:pPr>
        <w:pStyle w:val="ArticleScripture"/>
        <w:jc w:val="left"/>
      </w:pPr>
      <w:r>
        <w:rPr>
          <w:rFonts w:ascii="Times New Roman" w:hAnsi="Times New Roman" w:eastAsia="Times New Roman" w:cs="Times New Roman"/>
        </w:rPr>
        <w:t>«ظهور جيش كورش أمام أسوار بابل كان لليهود علامةً على أن خلاصهم من السبي قد اقترب. وقبل ولادة كورش بأكثر من قرن، كان الوحي قد ذكره بالاسم، وأمر بأن يُدوَّن سجلٌّ بالعمل الفعلي الذي كان سيقوم به في الاستيلاء على مدينة بابل على حين غِرَّة، وفي إعداد الطريق لإطلاق أبناء السبي.» الأنبياء والملوك، 551.</w:t>
      </w:r>
    </w:p>
    <w:p>
      <w:pPr>
        <w:pStyle w:val="ArticleBody"/>
        <w:jc w:val="left"/>
      </w:pPr>
      <w:r>
        <w:rPr>
          <w:rFonts w:ascii="Times New Roman" w:hAnsi="Times New Roman" w:eastAsia="Times New Roman" w:cs="Times New Roman"/>
        </w:rPr>
        <w:t>Cyrus sutam markakuna 1798 manaraq chayamunankupaq ñawpa willakuykunatapas rikuchirqan. Historiadorakunaqa Darioqwan Cyruspa kamachikuyninmanta manam allin sut’inchaywanchu rimanku, ichaqa Diospa Siminqa sut’im. Medo-Persia qhapaq suyuqa Babilonia qhapaq suyuta qatiqmi karqan, hinaspa Medo-Persiaq ñawpaq reyinqa Dario karqan, chaywanpas sobrino-nin Cyrusmi general karqan Babiloniata hap’iq, Belsasarpa qhipa hatun mikhuynin tuta. Cyruspas Dariopas iskayninku sutam kayacharqanku qanchis chunka watayuq prisionmanta tukukuy pacha, chaymi 1798 watapi pacha tukukuymanta rikuchin, hinaspapas 1989 watapi pacha tukukuymantataq rikuchin.</w:t>
      </w:r>
    </w:p>
    <w:p>
      <w:pPr>
        <w:pStyle w:val="ArticleBody"/>
        <w:jc w:val="left"/>
      </w:pPr>
      <w:r>
        <w:rPr>
          <w:rFonts w:ascii="MV Boli" w:hAnsi="MV Boli" w:eastAsia="MV Boli" w:cs="MV Boli"/>
        </w:rPr>
        <w:t>މޫސާގެ</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އަލާމާތްކުރެވުނީ</w:t>
      </w:r>
      <w:r>
        <w:rPr>
          <w:rFonts w:ascii="Times New Roman" w:hAnsi="Times New Roman" w:eastAsia="Times New Roman" w:cs="Times New Roman"/>
        </w:rPr>
        <w:t xml:space="preserve"> </w:t>
      </w:r>
      <w:r>
        <w:rPr>
          <w:rFonts w:ascii="MV Boli" w:hAnsi="MV Boli" w:eastAsia="MV Boli" w:cs="MV Boli"/>
        </w:rPr>
        <w:t>ހާރޫނާއި</w:t>
      </w:r>
      <w:r>
        <w:rPr>
          <w:rFonts w:ascii="Times New Roman" w:hAnsi="Times New Roman" w:eastAsia="Times New Roman" w:cs="Times New Roman"/>
        </w:rPr>
        <w:t xml:space="preserve"> </w:t>
      </w:r>
      <w:r>
        <w:rPr>
          <w:rFonts w:ascii="MV Boli" w:hAnsi="MV Boli" w:eastAsia="MV Boli" w:cs="MV Boli"/>
        </w:rPr>
        <w:t>މޫސާގެ</w:t>
      </w:r>
      <w:r>
        <w:rPr>
          <w:rFonts w:ascii="Times New Roman" w:hAnsi="Times New Roman" w:eastAsia="Times New Roman" w:cs="Times New Roman"/>
        </w:rPr>
        <w:t xml:space="preserve"> </w:t>
      </w:r>
      <w:r>
        <w:rPr>
          <w:rFonts w:ascii="MV Boli" w:hAnsi="MV Boli" w:eastAsia="MV Boli" w:cs="MV Boli"/>
        </w:rPr>
        <w:t>ވިލެތްތަކުން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ވިލެތް</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ވަކިން</w:t>
      </w:r>
      <w:r>
        <w:rPr>
          <w:rFonts w:ascii="Times New Roman" w:hAnsi="Times New Roman" w:eastAsia="Times New Roman" w:cs="Times New Roman"/>
        </w:rPr>
        <w:t xml:space="preserve"> </w:t>
      </w:r>
      <w:r>
        <w:rPr>
          <w:rFonts w:ascii="MV Boli" w:hAnsi="MV Boli" w:eastAsia="MV Boli" w:cs="MV Boli"/>
        </w:rPr>
        <w:t>ކުރެވިފައެވެ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ކްރިސްޓްގެ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ނިމިގެން</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ކަމިލައިން</w:t>
      </w:r>
      <w:r>
        <w:rPr>
          <w:rFonts w:ascii="Times New Roman" w:hAnsi="Times New Roman" w:eastAsia="Times New Roman" w:cs="Times New Roman"/>
        </w:rPr>
        <w:t xml:space="preserve"> </w:t>
      </w:r>
      <w:r>
        <w:rPr>
          <w:rFonts w:ascii="MV Boli" w:hAnsi="MV Boli" w:eastAsia="MV Boli" w:cs="MV Boli"/>
        </w:rPr>
        <w:t>މިސާލުކޮށްދެއެވެ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ތާރީޚުގެ</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އަލާމާތްކުރެވުނީ</w:t>
      </w:r>
      <w:r>
        <w:rPr>
          <w:rFonts w:ascii="Times New Roman" w:hAnsi="Times New Roman" w:eastAsia="Times New Roman" w:cs="Times New Roman"/>
        </w:rPr>
        <w:t xml:space="preserve"> </w:t>
      </w:r>
      <w:r>
        <w:rPr>
          <w:rFonts w:ascii="MV Boli" w:hAnsi="MV Boli" w:eastAsia="MV Boli" w:cs="MV Boli"/>
        </w:rPr>
        <w:t>ޔޫހަނާގެ</w:t>
      </w:r>
      <w:r>
        <w:rPr>
          <w:rFonts w:ascii="Times New Roman" w:hAnsi="Times New Roman" w:eastAsia="Times New Roman" w:cs="Times New Roman"/>
        </w:rPr>
        <w:t xml:space="preserve"> </w:t>
      </w:r>
      <w:r>
        <w:rPr>
          <w:rFonts w:ascii="MV Boli" w:hAnsi="MV Boli" w:eastAsia="MV Boli" w:cs="MV Boli"/>
        </w:rPr>
        <w:t>ވިލެތުން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ހަ</w:t>
      </w:r>
      <w:r>
        <w:rPr>
          <w:rFonts w:ascii="Times New Roman" w:hAnsi="Times New Roman" w:eastAsia="Times New Roman" w:cs="Times New Roman"/>
        </w:rPr>
        <w:t xml:space="preserve"> </w:t>
      </w:r>
      <w:r>
        <w:rPr>
          <w:rFonts w:ascii="MV Boli" w:hAnsi="MV Boli" w:eastAsia="MV Boli" w:cs="MV Boli"/>
        </w:rPr>
        <w:t>މަސް</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ކަޒިން</w:t>
      </w:r>
      <w:r>
        <w:rPr>
          <w:rFonts w:ascii="Times New Roman" w:hAnsi="Times New Roman" w:eastAsia="Times New Roman" w:cs="Times New Roman"/>
        </w:rPr>
        <w:t xml:space="preserve"> </w:t>
      </w:r>
      <w:r>
        <w:rPr>
          <w:rFonts w:ascii="MV Boli" w:hAnsi="MV Boli" w:eastAsia="MV Boli" w:cs="MV Boli"/>
        </w:rPr>
        <w:t>ޢީސާގެ</w:t>
      </w:r>
      <w:r>
        <w:rPr>
          <w:rFonts w:ascii="Times New Roman" w:hAnsi="Times New Roman" w:eastAsia="Times New Roman" w:cs="Times New Roman"/>
        </w:rPr>
        <w:t xml:space="preserve"> </w:t>
      </w:r>
      <w:r>
        <w:rPr>
          <w:rFonts w:ascii="MV Boli" w:hAnsi="MV Boli" w:eastAsia="MV Boli" w:cs="MV Boli"/>
        </w:rPr>
        <w:t>ވިލެތުންނެވެ</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ޒަމާނަށް</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ވޭމާކް</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ދާރިޔޫސް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ސައިރަސް</w:t>
      </w:r>
      <w:r>
        <w:rPr>
          <w:rFonts w:ascii="Times New Roman" w:hAnsi="Times New Roman" w:eastAsia="Times New Roman" w:cs="Times New Roman"/>
        </w:rPr>
        <w:t xml:space="preserve"> </w:t>
      </w:r>
      <w:r>
        <w:rPr>
          <w:rFonts w:ascii="MV Boli" w:hAnsi="MV Boli" w:eastAsia="MV Boli" w:cs="MV Boli"/>
        </w:rPr>
        <w:t>ދެކެމެން</w:t>
      </w:r>
      <w:r>
        <w:rPr>
          <w:rFonts w:ascii="Times New Roman" w:hAnsi="Times New Roman" w:eastAsia="Times New Roman" w:cs="Times New Roman"/>
        </w:rPr>
        <w:t xml:space="preserve"> </w:t>
      </w:r>
      <w:r>
        <w:rPr>
          <w:rFonts w:ascii="MV Boli" w:hAnsi="MV Boli" w:eastAsia="MV Boli" w:cs="MV Boli"/>
        </w:rPr>
        <w:t>ހަފްތަދިހަ</w:t>
      </w:r>
      <w:r>
        <w:rPr>
          <w:rFonts w:ascii="Times New Roman" w:hAnsi="Times New Roman" w:eastAsia="Times New Roman" w:cs="Times New Roman"/>
        </w:rPr>
        <w:t xml:space="preserve"> </w:t>
      </w:r>
      <w:r>
        <w:rPr>
          <w:rFonts w:ascii="MV Boli" w:hAnsi="MV Boli" w:eastAsia="MV Boli" w:cs="MV Boli"/>
        </w:rPr>
        <w:t>އަހަރުގެ</w:t>
      </w:r>
      <w:r>
        <w:rPr>
          <w:rFonts w:ascii="Times New Roman" w:hAnsi="Times New Roman" w:eastAsia="Times New Roman" w:cs="Times New Roman"/>
        </w:rPr>
        <w:t xml:space="preserve"> </w:t>
      </w:r>
      <w:r>
        <w:rPr>
          <w:rFonts w:ascii="MV Boli" w:hAnsi="MV Boli" w:eastAsia="MV Boli" w:cs="MV Boli"/>
        </w:rPr>
        <w:t>މަރުކަޒުގެ</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އަލާމާތްކުރެއެވެ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ސައްޓި</w:t>
      </w:r>
      <w:r>
        <w:rPr>
          <w:rFonts w:ascii="Times New Roman" w:hAnsi="Times New Roman" w:eastAsia="Times New Roman" w:cs="Times New Roman"/>
        </w:rPr>
        <w:t xml:space="preserve"> </w:t>
      </w:r>
      <w:r>
        <w:rPr>
          <w:rFonts w:ascii="MV Boli" w:hAnsi="MV Boli" w:eastAsia="MV Boli" w:cs="MV Boli"/>
        </w:rPr>
        <w:t>އަހަރުގެ</w:t>
      </w:r>
      <w:r>
        <w:rPr>
          <w:rFonts w:ascii="Times New Roman" w:hAnsi="Times New Roman" w:eastAsia="Times New Roman" w:cs="Times New Roman"/>
        </w:rPr>
        <w:t xml:space="preserve"> </w:t>
      </w:r>
      <w:r>
        <w:rPr>
          <w:rFonts w:ascii="MV Boli" w:hAnsi="MV Boli" w:eastAsia="MV Boli" w:cs="MV Boli"/>
        </w:rPr>
        <w:t>މަރުކަޒުގެ</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މިސާލުކޮށްދެނީއެވެ</w:t>
      </w:r>
      <w:r>
        <w:rPr>
          <w:rFonts w:ascii="Times New Roman" w:hAnsi="Times New Roman" w:eastAsia="Times New Roman" w:cs="Times New Roman"/>
        </w:rPr>
        <w:t xml:space="preserve">. 1798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ޕޭޕަލް</w:t>
      </w:r>
      <w:r>
        <w:rPr>
          <w:rFonts w:ascii="Times New Roman" w:hAnsi="Times New Roman" w:eastAsia="Times New Roman" w:cs="Times New Roman"/>
        </w:rPr>
        <w:t xml:space="preserve"> </w:t>
      </w:r>
      <w:r>
        <w:rPr>
          <w:rFonts w:ascii="MV Boli" w:hAnsi="MV Boli" w:eastAsia="MV Boli" w:cs="MV Boli"/>
        </w:rPr>
        <w:t>ދޫންޏަކަށް</w:t>
      </w:r>
      <w:r>
        <w:rPr>
          <w:rFonts w:ascii="Times New Roman" w:hAnsi="Times New Roman" w:eastAsia="Times New Roman" w:cs="Times New Roman"/>
        </w:rPr>
        <w:t xml:space="preserve"> </w:t>
      </w:r>
      <w:r>
        <w:rPr>
          <w:rFonts w:ascii="MV Boli" w:hAnsi="MV Boli" w:eastAsia="MV Boli" w:cs="MV Boli"/>
        </w:rPr>
        <w:t>ލިބުނު</w:t>
      </w:r>
      <w:r>
        <w:rPr>
          <w:rFonts w:ascii="Times New Roman" w:hAnsi="Times New Roman" w:eastAsia="Times New Roman" w:cs="Times New Roman"/>
        </w:rPr>
        <w:t xml:space="preserve"> </w:t>
      </w:r>
      <w:r>
        <w:rPr>
          <w:rFonts w:ascii="MV Boli" w:hAnsi="MV Boli" w:eastAsia="MV Boli" w:cs="MV Boli"/>
        </w:rPr>
        <w:t>މަރުވާ</w:t>
      </w:r>
      <w:r>
        <w:rPr>
          <w:rFonts w:ascii="Times New Roman" w:hAnsi="Times New Roman" w:eastAsia="Times New Roman" w:cs="Times New Roman"/>
        </w:rPr>
        <w:t xml:space="preserve"> </w:t>
      </w:r>
      <w:r>
        <w:rPr>
          <w:rFonts w:ascii="MV Boli" w:hAnsi="MV Boli" w:eastAsia="MV Boli" w:cs="MV Boli"/>
        </w:rPr>
        <w:t>ޒަޚަމްގެ</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ދޫންޏަށް</w:t>
      </w:r>
      <w:r>
        <w:rPr>
          <w:rFonts w:ascii="Times New Roman" w:hAnsi="Times New Roman" w:eastAsia="Times New Roman" w:cs="Times New Roman"/>
        </w:rPr>
        <w:t xml:space="preserve"> </w:t>
      </w:r>
      <w:r>
        <w:rPr>
          <w:rFonts w:ascii="MV Boli" w:hAnsi="MV Boli" w:eastAsia="MV Boli" w:cs="MV Boli"/>
        </w:rPr>
        <w:t>ސުވާރުވެ</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ރާއްޖެވެ</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މީހާގެ</w:t>
      </w:r>
      <w:r>
        <w:rPr>
          <w:rFonts w:ascii="Times New Roman" w:hAnsi="Times New Roman" w:eastAsia="Times New Roman" w:cs="Times New Roman"/>
        </w:rPr>
        <w:t xml:space="preserve"> </w:t>
      </w:r>
      <w:r>
        <w:rPr>
          <w:rFonts w:ascii="MV Boli" w:hAnsi="MV Boli" w:eastAsia="MV Boli" w:cs="MV Boli"/>
        </w:rPr>
        <w:t>މަރު</w:t>
      </w:r>
      <w:r>
        <w:rPr>
          <w:rFonts w:ascii="Times New Roman" w:hAnsi="Times New Roman" w:eastAsia="Times New Roman" w:cs="Times New Roman"/>
        </w:rPr>
        <w:t xml:space="preserve"> </w:t>
      </w:r>
      <w:r>
        <w:rPr>
          <w:rFonts w:ascii="MV Boli" w:hAnsi="MV Boli" w:eastAsia="MV Boli" w:cs="MV Boli"/>
        </w:rPr>
        <w:t>އަނެއް</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ތެރޭގައި</w:t>
      </w:r>
      <w:r>
        <w:rPr>
          <w:rFonts w:ascii="Times New Roman" w:hAnsi="Times New Roman" w:eastAsia="Times New Roman" w:cs="Times New Roman"/>
        </w:rPr>
        <w:t xml:space="preserve"> </w:t>
      </w:r>
      <w:r>
        <w:rPr>
          <w:rFonts w:ascii="MV Boli" w:hAnsi="MV Boli" w:eastAsia="MV Boli" w:cs="MV Boli"/>
        </w:rPr>
        <w:t>ހިނގިއެވެ</w:t>
      </w:r>
      <w:r>
        <w:rPr>
          <w:rFonts w:ascii="Times New Roman" w:hAnsi="Times New Roman" w:eastAsia="Times New Roman" w:cs="Times New Roman"/>
        </w:rPr>
        <w:t xml:space="preserve">. 1989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ރީގަން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ބުޝް</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ދެކެމެންވެސް</w:t>
      </w:r>
      <w:r>
        <w:rPr>
          <w:rFonts w:ascii="Times New Roman" w:hAnsi="Times New Roman" w:eastAsia="Times New Roman" w:cs="Times New Roman"/>
        </w:rPr>
        <w:t xml:space="preserve"> </w:t>
      </w:r>
      <w:r>
        <w:rPr>
          <w:rFonts w:ascii="MV Boli" w:hAnsi="MV Boli" w:eastAsia="MV Boli" w:cs="MV Boli"/>
        </w:rPr>
        <w:t>ރައީސުން</w:t>
      </w:r>
      <w:r>
        <w:rPr>
          <w:rFonts w:ascii="Times New Roman" w:hAnsi="Times New Roman" w:eastAsia="Times New Roman" w:cs="Times New Roman"/>
        </w:rPr>
        <w:t xml:space="preserve"> </w:t>
      </w:r>
      <w:r>
        <w:rPr>
          <w:rFonts w:ascii="MV Boli" w:hAnsi="MV Boli" w:eastAsia="MV Boli" w:cs="MV Boli"/>
        </w:rPr>
        <w:t>ތިބިއެވެ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Կյուրոսը նշանավորում է այն նշանները, որոնք ազդարարում են վախճանի ժամանակի գալուստը, և նա նշանավորում է վախճանի ժամանակը։ Նա նշանավորում է գիտության աճը և առաջին պատգամի զորացումն, երբ մի հրեշտակ իջնում է, և նա նշանավորում է այն աշխատանքը, որն այնուհետև ձեռնարկվում է հիմքերը դնելու մեջ՝ տաճարը շինելու գործը, և երրորդ հրեշտակի գալուստը, երբ Ուխտի Պատգամաբերը հանկարծ գալիս է Իր տաճարը։</w:t>
      </w:r>
    </w:p>
    <w:p>
      <w:pPr>
        <w:pStyle w:val="ArticleScripture"/>
        <w:jc w:val="left"/>
      </w:pPr>
      <w:r>
        <w:rPr>
          <w:rFonts w:ascii="Times New Roman" w:hAnsi="Times New Roman" w:eastAsia="Times New Roman" w:cs="Times New Roman"/>
        </w:rPr>
        <w:t>در سالِ سوّمِ کورش، پادشاهِ فارس، امری بر دانیال، که نامش بلطشصر خوانده می‌شد، مکشوف گردید؛ و آن امر راست بود، امّا زمانِ مقرّر دراز بود؛ و او آن امر را دریافت و از رؤیا فهم حاصل کرد. در آن ایّام، من، دانیال، سه هفتهٔ کامل ماتم گرفته بودم. نانِ لذیذ نخوردم، و گوشت و شراب به دهانم درنیامد، و خویشتن را اصلاً تدهین نکردم، تا آنکه سه هفتهٔ تمام به انجام رسید. و در روزِ بیست و چهارمِ ماهِ اوّل، هنگامی که در کنارِ نهرِ عظیم، یعنی حدّاقل، بودم. دانیال ۱۰:۱–۴.</w:t>
      </w:r>
    </w:p>
    <w:p>
      <w:pPr>
        <w:pStyle w:val="ArticleBody"/>
        <w:jc w:val="left"/>
      </w:pPr>
      <w:r>
        <w:rPr>
          <w:rFonts w:ascii="Times New Roman" w:hAnsi="Times New Roman" w:eastAsia="Times New Roman" w:cs="Times New Roman"/>
        </w:rPr>
        <w:t>Կյուրոսի և Բելթեշացարի խորհրդանիշները ներկայացնում են վերջին օրերի որոշակի մարգարեական պատմություն։ Բելթեշացարի խորհրդանիշը մեզ հայտնում է, որ ներկայացվող ժողովուրդը հարյուր քառասունչորս հազարն է, որոնք ուխտի ժողովրդի վերջին սերունդն են։ Նրանք տեղադրված են Կյուրոսով ներկայացվող մարգարեական պատմության մեջ, որը ներկայացնում է այն պատմությունը, որ նախորդել է 1798-ին, և 1989-ին, և 2001 թվականի սեպտեմբերի 11-ին, որովհետև Կյուրոսը ներկայացնում է այդ բոլոր ճանապարհանշանները։ Նա ներկայացնում է նաև 2020 թվականի հուլիսի 18-ի հիասթափությունը, և նույնիսկ Միացյալ Նահանգներում շուտով եկող կիրակնօրյա օրենքը։ Դանիելի վերջին տեսիլքը մարգարեապես որտեղ է տեղադրված՝ որոշելու բանալին որոշվում է նրանով, թե Դանիելն ինչ գիտի։</w:t>
      </w:r>
    </w:p>
    <w:p>
      <w:pPr>
        <w:pStyle w:val="ArticleBody"/>
        <w:jc w:val="left"/>
      </w:pPr>
      <w:r>
        <w:rPr>
          <w:rFonts w:ascii="Times New Roman" w:hAnsi="Times New Roman" w:eastAsia="Times New Roman" w:cs="Times New Roman"/>
        </w:rPr>
        <w:t>Sa semmaan ci jëkk bi, Danyeel (Belteshazzar) am na xam-xam ci ñaari mbir yi, mooy “mbir mi” ak itam “peeñ mi”. “Mbir mi” mooy baat bu Ebraayik bi ñuy wax “dabar,” te maanaam mooy “kàddu”, te Jàbriil jëfandikoo na ko ngir tegu “peeñu chazon” bi ci ñaar-fukki téeméeri ak juróom-ñetti fukk ak ñaar at yi (“juróom-ñaari yoon”). “Peeñ mi” ci semmaan bi jëkk, bi Danyeel deggoo, mooy “peeñu mareh” bi ci ñetti junni ak ñaar téeméeri at yi. Ñi Yàlla fas kóllëre ak ñoom ci mujjug jamono ji, xamuñu woon “juróom-ñaari yoon” yi ci waxtu mujjug jamono ji, ci atum 1989. Xamuñu woon “juróom-ñaari yoon” yi, ba gannaaw 11 Suweññe 2001, ba tax na Danyeel nekk ci jamonoy yëngu-yëngub yeesal gu yonent yi di tegu Koorees gannaaw 11 Suweññe 2001, ndaxte Danyeel, miy tegu yëngu-yëngub yonent bu mujj bi, xam na benn ci “mbir mi,” ak “peeñ mi”.</w:t>
      </w:r>
    </w:p>
    <w:p>
      <w:pPr>
        <w:pStyle w:val="ArticleBody"/>
        <w:jc w:val="left"/>
      </w:pPr>
      <w:r>
        <w:rPr>
          <w:rFonts w:ascii="Nirmala UI" w:hAnsi="Nirmala UI" w:eastAsia="Nirmala UI" w:cs="Nirmala UI"/>
        </w:rPr>
        <w:t>డానియేలు</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దుఃఖకాలములో</w:t>
      </w:r>
      <w:r>
        <w:rPr>
          <w:rFonts w:ascii="Times New Roman" w:hAnsi="Times New Roman" w:eastAsia="Times New Roman" w:cs="Times New Roman"/>
        </w:rPr>
        <w:t xml:space="preserve"> </w:t>
      </w:r>
      <w:r>
        <w:rPr>
          <w:rFonts w:ascii="Nirmala UI" w:hAnsi="Nirmala UI" w:eastAsia="Nirmala UI" w:cs="Nirmala UI"/>
        </w:rPr>
        <w:t>ఉన్నవాడిగా</w:t>
      </w:r>
      <w:r>
        <w:rPr>
          <w:rFonts w:ascii="Times New Roman" w:hAnsi="Times New Roman" w:eastAsia="Times New Roman" w:cs="Times New Roman"/>
        </w:rPr>
        <w:t xml:space="preserve"> </w:t>
      </w:r>
      <w:r>
        <w:rPr>
          <w:rFonts w:ascii="Nirmala UI" w:hAnsi="Nirmala UI" w:eastAsia="Nirmala UI" w:cs="Nirmala UI"/>
        </w:rPr>
        <w:t>గుర్తింపబడెను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దుఃఖపు</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దినములలో</w:t>
      </w:r>
      <w:r>
        <w:rPr>
          <w:rFonts w:ascii="Times New Roman" w:hAnsi="Times New Roman" w:eastAsia="Times New Roman" w:cs="Times New Roman"/>
        </w:rPr>
        <w:t xml:space="preserve">” </w:t>
      </w:r>
      <w:r>
        <w:rPr>
          <w:rFonts w:ascii="Nirmala UI" w:hAnsi="Nirmala UI" w:eastAsia="Nirmala UI" w:cs="Nirmala UI"/>
        </w:rPr>
        <w:t>డానియేలు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విషయమును</w:t>
      </w:r>
      <w:r>
        <w:rPr>
          <w:rFonts w:ascii="Times New Roman" w:hAnsi="Times New Roman" w:eastAsia="Times New Roman" w:cs="Times New Roman"/>
        </w:rPr>
        <w:t xml:space="preserve">” </w:t>
      </w:r>
      <w:r>
        <w:rPr>
          <w:rFonts w:ascii="Nirmala UI" w:hAnsi="Nirmala UI" w:eastAsia="Nirmala UI" w:cs="Nirmala UI"/>
        </w:rPr>
        <w:t>గ్రహించెను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దర్శనమునకు</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అవగాహన</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దుఃఖదినములలో</w:t>
      </w:r>
      <w:r>
        <w:rPr>
          <w:rFonts w:ascii="Times New Roman" w:hAnsi="Times New Roman" w:eastAsia="Times New Roman" w:cs="Times New Roman"/>
        </w:rPr>
        <w:t xml:space="preserve"> </w:t>
      </w:r>
      <w:r>
        <w:rPr>
          <w:rFonts w:ascii="Nirmala UI" w:hAnsi="Nirmala UI" w:eastAsia="Nirmala UI" w:cs="Nirmala UI"/>
        </w:rPr>
        <w:t>డానియేలుకు</w:t>
      </w:r>
      <w:r>
        <w:rPr>
          <w:rFonts w:ascii="Times New Roman" w:hAnsi="Times New Roman" w:eastAsia="Times New Roman" w:cs="Times New Roman"/>
        </w:rPr>
        <w:t xml:space="preserve"> </w:t>
      </w:r>
      <w:r>
        <w:rPr>
          <w:rFonts w:ascii="Nirmala UI" w:hAnsi="Nirmala UI" w:eastAsia="Nirmala UI" w:cs="Nirmala UI"/>
        </w:rPr>
        <w:t>బయలుపరచబడెను</w:t>
      </w:r>
      <w:r>
        <w:rPr>
          <w:rFonts w:ascii="Times New Roman" w:hAnsi="Times New Roman" w:eastAsia="Times New Roman" w:cs="Times New Roman"/>
        </w:rPr>
        <w:t xml:space="preserve">. </w:t>
      </w:r>
      <w:r>
        <w:rPr>
          <w:rFonts w:ascii="Nirmala UI" w:hAnsi="Nirmala UI" w:eastAsia="Nirmala UI" w:cs="Nirmala UI"/>
        </w:rPr>
        <w:t>సంస్కరణ</w:t>
      </w:r>
      <w:r>
        <w:rPr>
          <w:rFonts w:ascii="Times New Roman" w:hAnsi="Times New Roman" w:eastAsia="Times New Roman" w:cs="Times New Roman"/>
        </w:rPr>
        <w:t xml:space="preserve"> </w:t>
      </w:r>
      <w:r>
        <w:rPr>
          <w:rFonts w:ascii="Nirmala UI" w:hAnsi="Nirmala UI" w:eastAsia="Nirmala UI" w:cs="Nirmala UI"/>
        </w:rPr>
        <w:t>రేఖలలో</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క్రందనమునకు</w:t>
      </w:r>
      <w:r>
        <w:rPr>
          <w:rFonts w:ascii="Times New Roman" w:hAnsi="Times New Roman" w:eastAsia="Times New Roman" w:cs="Times New Roman"/>
        </w:rPr>
        <w:t xml:space="preserve"> </w:t>
      </w:r>
      <w:r>
        <w:rPr>
          <w:rFonts w:ascii="Nirmala UI" w:hAnsi="Nirmala UI" w:eastAsia="Nirmala UI" w:cs="Nirmala UI"/>
        </w:rPr>
        <w:t>కాస్త</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దుఃఖించుచున్నవారిగా</w:t>
      </w:r>
      <w:r>
        <w:rPr>
          <w:rFonts w:ascii="Times New Roman" w:hAnsi="Times New Roman" w:eastAsia="Times New Roman" w:cs="Times New Roman"/>
        </w:rPr>
        <w:t xml:space="preserve">” </w:t>
      </w:r>
      <w:r>
        <w:rPr>
          <w:rFonts w:ascii="Nirmala UI" w:hAnsi="Nirmala UI" w:eastAsia="Nirmala UI" w:cs="Nirmala UI"/>
        </w:rPr>
        <w:t>ప్రతినిధీకరింపబడుదురు</w:t>
      </w:r>
      <w:r>
        <w:rPr>
          <w:rFonts w:ascii="Times New Roman" w:hAnsi="Times New Roman" w:eastAsia="Times New Roman" w:cs="Times New Roman"/>
        </w:rPr>
        <w:t xml:space="preserve">. </w:t>
      </w:r>
      <w:r>
        <w:rPr>
          <w:rFonts w:ascii="Nirmala UI" w:hAnsi="Nirmala UI" w:eastAsia="Nirmala UI" w:cs="Nirmala UI"/>
        </w:rPr>
        <w:t>విజయప్రవేశమునకు</w:t>
      </w:r>
      <w:r>
        <w:rPr>
          <w:rFonts w:ascii="Times New Roman" w:hAnsi="Times New Roman" w:eastAsia="Times New Roman" w:cs="Times New Roman"/>
        </w:rPr>
        <w:t xml:space="preserve"> </w:t>
      </w:r>
      <w:r>
        <w:rPr>
          <w:rFonts w:ascii="Nirmala UI" w:hAnsi="Nirmala UI" w:eastAsia="Nirmala UI" w:cs="Nirmala UI"/>
        </w:rPr>
        <w:t>కాస్త</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లాజరు</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మార్థా</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దుఃఖించుటలో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దుఃఖము</w:t>
      </w:r>
      <w:r>
        <w:rPr>
          <w:rFonts w:ascii="Times New Roman" w:hAnsi="Times New Roman" w:eastAsia="Times New Roman" w:cs="Times New Roman"/>
        </w:rPr>
        <w:t xml:space="preserve"> </w:t>
      </w:r>
      <w:r>
        <w:rPr>
          <w:rFonts w:ascii="Nirmala UI" w:hAnsi="Nirmala UI" w:eastAsia="Nirmala UI" w:cs="Nirmala UI"/>
        </w:rPr>
        <w:t>ప్రతినిధీకరించబడెను</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w:t>
      </w:r>
      <w:r>
        <w:rPr>
          <w:rFonts w:ascii="Nirmala UI" w:hAnsi="Nirmala UI" w:eastAsia="Nirmala UI" w:cs="Nirmala UI"/>
        </w:rPr>
        <w:t>వ్యక్తపరచినట్లుగా</w:t>
      </w:r>
      <w:r>
        <w:rPr>
          <w:rFonts w:ascii="Times New Roman" w:hAnsi="Times New Roman" w:eastAsia="Times New Roman" w:cs="Times New Roman"/>
        </w:rPr>
        <w:t xml:space="preserve">, </w:t>
      </w:r>
      <w:r>
        <w:rPr>
          <w:rFonts w:ascii="Nirmala UI" w:hAnsi="Nirmala UI" w:eastAsia="Nirmala UI" w:cs="Nirmala UI"/>
        </w:rPr>
        <w:t>మిల్లరైట్</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నిరాశానంతర</w:t>
      </w:r>
      <w:r>
        <w:rPr>
          <w:rFonts w:ascii="Times New Roman" w:hAnsi="Times New Roman" w:eastAsia="Times New Roman" w:cs="Times New Roman"/>
        </w:rPr>
        <w:t xml:space="preserve"> </w:t>
      </w:r>
      <w:r>
        <w:rPr>
          <w:rFonts w:ascii="Nirmala UI" w:hAnsi="Nirmala UI" w:eastAsia="Nirmala UI" w:cs="Nirmala UI"/>
        </w:rPr>
        <w:t>నిరుత్సాహముచేత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ఉదాహరింపబడెను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Նոր խօսքերը գտայ, եւ ես կերայ զանոնք. եւ քու խօսքդ ինծի եղաւ իմ սրտիս ցնծութիւնն ու ուրախութիւնը. քանզի ես կոչուած եմ քու անունովդ, ո՛վ Զօրքերու Տէր Աստուած։ Ես չնստայ ծաղրողներու ժողովին մէջ, ոչ ալ ուրախացայ. ես առանձին նստայ քու ձեռքովդ, որովհետեւ դուն զիս լեցուցիր բարկութեամբ։ Ինչո՞ւ է իմ ցաւս մշտնջենաւոր, եւ իմ վէրքս անբուժելի, որ չի կամենար բուժուիլ։ Մի՞թէ դուն բնաւ ինծի համար պիտի ըլլաս ստախօսի պէս, եւ ինչպէս ջուրեր, որոնք կը պակսին։ Երեմիա 15:16–18։</w:t>
      </w:r>
    </w:p>
    <w:p>
      <w:pPr>
        <w:pStyle w:val="ArticleBody"/>
        <w:jc w:val="left"/>
      </w:pPr>
      <w:r>
        <w:rPr>
          <w:rFonts w:ascii="Times New Roman" w:hAnsi="Times New Roman" w:eastAsia="Times New Roman" w:cs="Times New Roman"/>
        </w:rPr>
        <w:t>Jeremiah man “rejoice” nɛn, alɔ́ nsaara Sodom na Egypt nsafoa wɔ Revelation kapita kɛtɛkɛtɛ 11 mu yɛe wɔ nnipa baanu a wɔyɛ adansefo no wuo ho. Sɛ obi “nnye ahurisie” a, ɛkyerɛ sɛ ɔredi awerɛhoɔ. Belteshazzar ne awerɛhoɔ no da awerɛhoɔ a ɛfa adansefo baanu no wuo ho no adi. July 18, 2020, ne November 3, 2020 no, wɔkumm adansefo baanu a wɔyɛ nokorɛ Protestant abɛn no ne Republican mmɛn a ɛwɔ asase so aboa no mu no wɔ Sodom ne Egypt mmorɔn so, faako a wɔsan bɔɔ yɛn Awurade asɛndua mu no. Ɛberɛ a wɔbɔɔ yɛn Awurade asɛndua mu no, n’akyidifoɔ fii ase dii awerɛhoɔ. Wɔgyinaa adansefo baanu no anan mu wɔ Revelation kapita kɛtɛkɛtɛ 11 mu sɛ Mose ne Elija.</w:t>
      </w:r>
    </w:p>
    <w:p>
      <w:pPr>
        <w:pStyle w:val="ArticleBody"/>
        <w:jc w:val="left"/>
      </w:pPr>
      <w:r>
        <w:rPr>
          <w:rFonts w:ascii="Times New Roman" w:hAnsi="Times New Roman" w:eastAsia="Times New Roman" w:cs="Times New Roman"/>
        </w:rPr>
        <w:t>Ọ nwere ebe ise n’Akwụkwọ Nsọ ebe a kpọrọ Kraịst Maịkel, atọ n’akwụkwọ Daniel, otu n’akwụkwọ Jude, na nke ọzọ n’akwụkwọ Mkpughe. N’isi nke iri, nke anyị na-atụle ugbu a, a kpọrọ Maịkel aha ugboro abụọ, n’amaokwu nke iri na atọ na nke iri abụọ na otu, ma emesịa ọzọ n’isi nke iri na abụọ, amaokwu nke mbụ. A kọwara ya n’akwụkwọ Mkpughe 12:7. N’akwụkwọ Jude, a kọwara Maịkel dịka onye kpọlitere Moses n’ọnwụ, onye, n’akwụkwọ Mkpughe isi nke iri na otu, bụ otu n’ime ndị àmà ahụ nwụrụ n’okporo ámá.</w:t>
      </w:r>
    </w:p>
    <w:p>
      <w:pPr>
        <w:pStyle w:val="ArticleScripture"/>
        <w:jc w:val="left"/>
      </w:pPr>
      <w:r>
        <w:rPr>
          <w:rFonts w:ascii="Times New Roman" w:hAnsi="Times New Roman" w:eastAsia="Times New Roman" w:cs="Times New Roman"/>
        </w:rPr>
        <w:t>امپُر کھُونتِن مِی کِہ، اگرچِہ پے اِہ باتَلَک غان پِشتر آشنای داشتے، ایچون خُداوند قومَہ از سَرزمینِ مصر نجات دا، بعد ازاں اُن کسانَہ کِہ ایمان نیاوردے بوئے، ہلاک کرد. و آن فرشتگان کِہ مقامِ نخستینِ خُدِشَہ نگاه نداشتے، بلکہ مسکنِ خُدِشَہ ترک کردے، او ایشانَہ در زنجیرانِ جاودانی زیرِ تاریکی تا روزِ داوریِ بزرگ محفوظ داشتہ است. چنان‌کِہ سدوم و عمورہ و شہرانِ پیرامونِ ایشان نیز بہ همان‌گونہ خُدِشَہ بہ زنا سپردے و در پیِ جسمِ بیگانہ رفتے، برایِ عبرت پیشِ چشم نہادہ شدے و انتقامِ آتشِ جاودانیَہ می‌کشند. ہم‌چنان این خواب‌بینانِ ناپاک نیز جسمَہ آلوده می‌سازند، حاکمیتَہ خوار می‌شمارند، و بر بزرگان بد می‌گویند. اما میکائیلِ رئیس‌الملائکہ، آن‌گاه کِہ با ابلیس مجادلہ می‌کرد و دربارۂ جسدِ موسی منازعہ داشت، جرأت نکرد بر او تهمتِ دشنام‌آمیز آورد، بلکہ گفت: «خُداوند تو را توبیخ فرماید.» یهودا ۵–۹۔</w:t>
      </w:r>
    </w:p>
    <w:p>
      <w:pPr>
        <w:pStyle w:val="ArticleBody"/>
        <w:jc w:val="left"/>
      </w:pP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በሰዶምና</w:t>
      </w:r>
      <w:r>
        <w:rPr>
          <w:rFonts w:ascii="Times New Roman" w:hAnsi="Times New Roman" w:eastAsia="Times New Roman" w:cs="Times New Roman"/>
        </w:rPr>
        <w:t xml:space="preserve"> </w:t>
      </w:r>
      <w:r>
        <w:rPr>
          <w:rFonts w:ascii="Ebrima" w:hAnsi="Ebrima" w:eastAsia="Ebrima" w:cs="Ebrima"/>
        </w:rPr>
        <w:t>በግብጽ</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ሙሴና</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የሚገደሉባትን</w:t>
      </w:r>
      <w:r>
        <w:rPr>
          <w:rFonts w:ascii="Times New Roman" w:hAnsi="Times New Roman" w:eastAsia="Times New Roman" w:cs="Times New Roman"/>
        </w:rPr>
        <w:t xml:space="preserve"> </w:t>
      </w:r>
      <w:r>
        <w:rPr>
          <w:rFonts w:ascii="Ebrima" w:hAnsi="Ebrima" w:eastAsia="Ebrima" w:cs="Ebrima"/>
        </w:rPr>
        <w:t>ታላቂቱን</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በሚካኤል</w:t>
      </w:r>
      <w:r>
        <w:rPr>
          <w:rFonts w:ascii="Times New Roman" w:hAnsi="Times New Roman" w:eastAsia="Times New Roman" w:cs="Times New Roman"/>
        </w:rPr>
        <w:t xml:space="preserve"> </w:t>
      </w:r>
      <w:r>
        <w:rPr>
          <w:rFonts w:ascii="Ebrima" w:hAnsi="Ebrima" w:eastAsia="Ebrima" w:cs="Ebrima"/>
        </w:rPr>
        <w:t>የተመሰለ፣</w:t>
      </w:r>
      <w:r>
        <w:rPr>
          <w:rFonts w:ascii="Times New Roman" w:hAnsi="Times New Roman" w:eastAsia="Times New Roman" w:cs="Times New Roman"/>
        </w:rPr>
        <w:t xml:space="preserve"> </w:t>
      </w:r>
      <w:r>
        <w:rPr>
          <w:rFonts w:ascii="Ebrima" w:hAnsi="Ebrima" w:eastAsia="Ebrima" w:cs="Ebrima"/>
        </w:rPr>
        <w:t>የሙሴን</w:t>
      </w:r>
      <w:r>
        <w:rPr>
          <w:rFonts w:ascii="Times New Roman" w:hAnsi="Times New Roman" w:eastAsia="Times New Roman" w:cs="Times New Roman"/>
        </w:rPr>
        <w:t xml:space="preserve"> </w:t>
      </w:r>
      <w:r>
        <w:rPr>
          <w:rFonts w:ascii="Ebrima" w:hAnsi="Ebrima" w:eastAsia="Ebrima" w:cs="Ebrima"/>
        </w:rPr>
        <w:t>ሥጋ</w:t>
      </w:r>
      <w:r>
        <w:rPr>
          <w:rFonts w:ascii="Times New Roman" w:hAnsi="Times New Roman" w:eastAsia="Times New Roman" w:cs="Times New Roman"/>
        </w:rPr>
        <w:t xml:space="preserve"> </w:t>
      </w:r>
      <w:r>
        <w:rPr>
          <w:rFonts w:ascii="Ebrima" w:hAnsi="Ebrima" w:eastAsia="Ebrima" w:cs="Ebrima"/>
        </w:rPr>
        <w:t>ያስነሣል።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ሙሴና</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ለሦስት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ምሳሌያዊ</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ሞተው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ሚካኤልም</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በሚወርድበት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ለቤልጤሻጸር</w:t>
      </w:r>
      <w:r>
        <w:rPr>
          <w:rFonts w:ascii="Times New Roman" w:hAnsi="Times New Roman" w:eastAsia="Times New Roman" w:cs="Times New Roman"/>
        </w:rPr>
        <w:t xml:space="preserve"> </w:t>
      </w:r>
      <w:r>
        <w:rPr>
          <w:rFonts w:ascii="Ebrima" w:hAnsi="Ebrima" w:eastAsia="Ebrima" w:cs="Ebrima"/>
        </w:rPr>
        <w:t>የሚደረገው</w:t>
      </w:r>
      <w:r>
        <w:rPr>
          <w:rFonts w:ascii="Times New Roman" w:hAnsi="Times New Roman" w:eastAsia="Times New Roman" w:cs="Times New Roman"/>
        </w:rPr>
        <w:t xml:space="preserve"> </w:t>
      </w:r>
      <w:r>
        <w:rPr>
          <w:rFonts w:ascii="Ebrima" w:hAnsi="Ebrima" w:eastAsia="Ebrima" w:cs="Ebrima"/>
        </w:rPr>
        <w:t>የሐዘን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በሚካኤል</w:t>
      </w:r>
      <w:r>
        <w:rPr>
          <w:rFonts w:ascii="Times New Roman" w:hAnsi="Times New Roman" w:eastAsia="Times New Roman" w:cs="Times New Roman"/>
        </w:rPr>
        <w:t xml:space="preserve"> </w:t>
      </w:r>
      <w:r>
        <w:rPr>
          <w:rFonts w:ascii="Ebrima" w:hAnsi="Ebrima" w:eastAsia="Ebrima" w:cs="Ebrima"/>
        </w:rPr>
        <w:t>ሲያስነሣቸው</w:t>
      </w:r>
      <w:r>
        <w:rPr>
          <w:rFonts w:ascii="Times New Roman" w:hAnsi="Times New Roman" w:eastAsia="Times New Roman" w:cs="Times New Roman"/>
        </w:rPr>
        <w:t xml:space="preserve"> </w:t>
      </w:r>
      <w:r>
        <w:rPr>
          <w:rFonts w:ascii="Ebrima" w:hAnsi="Ebrima" w:eastAsia="Ebrima" w:cs="Ebrima"/>
        </w:rPr>
        <w:t>የሚጠናቀቀውን</w:t>
      </w:r>
      <w:r>
        <w:rPr>
          <w:rFonts w:ascii="Times New Roman" w:hAnsi="Times New Roman" w:eastAsia="Times New Roman" w:cs="Times New Roman"/>
        </w:rPr>
        <w:t xml:space="preserve"> </w:t>
      </w:r>
      <w:r>
        <w:rPr>
          <w:rFonts w:ascii="Ebrima" w:hAnsi="Ebrima" w:eastAsia="Ebrima" w:cs="Ebrima"/>
        </w:rPr>
        <w:t>የሐዘን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እየለዩ</w:t>
      </w:r>
      <w:r>
        <w:rPr>
          <w:rFonts w:ascii="Times New Roman" w:hAnsi="Times New Roman" w:eastAsia="Times New Roman" w:cs="Times New Roman"/>
        </w:rPr>
        <w:t xml:space="preserve"> </w:t>
      </w:r>
      <w:r>
        <w:rPr>
          <w:rFonts w:ascii="Ebrima" w:hAnsi="Ebrima" w:eastAsia="Ebrima" w:cs="Ebrima"/>
        </w:rPr>
        <w:t>ያሳያሉ።</w:t>
      </w:r>
    </w:p>
    <w:p>
      <w:pPr>
        <w:pStyle w:val="ArticleBody"/>
        <w:jc w:val="left"/>
      </w:pPr>
      <w:r>
        <w:rPr>
          <w:rFonts w:ascii="Times New Roman" w:hAnsi="Times New Roman" w:eastAsia="Times New Roman" w:cs="Times New Roman"/>
        </w:rPr>
        <w:t>Yaqinaka kay yachayta qatiq willakuypi rantiykuqkunaq qepa qillqapi qatirqasunchik.</w:t>
      </w:r>
    </w:p>
    <w:p>
      <w:pPr>
        <w:pStyle w:val="ArticleScripture"/>
        <w:jc w:val="left"/>
      </w:pPr>
      <w:r>
        <w:rPr>
          <w:rFonts w:ascii="Times New Roman" w:hAnsi="Times New Roman" w:eastAsia="Times New Roman" w:cs="Times New Roman"/>
        </w:rPr>
        <w:t>«أب الآسمى موسى وإيليّاَ اختيروا ليكونوا رُسُلَه إلى المسيح، وليُمجّدوه بنور السماء، ويتحادثوا معه بشأن آلامه الآتية، لأنهم قد عاشوا على الأرض كبشر؛ وقد اختبروا الحزن والألم الإنسانيَّين، واستطاعوا أن يتعاطفوا مع امتحان يسوع في حياته الأرضية. وكان إيليّا، في مقامه كنبيّ لإسرائيل، قد مثّل المسيح، وكانت خدمته، إلى حدٍّ ما، مشابهةً لخدمة المخلّص. أمّا موسى، فبصفته قائد إسرائيل، فقد قام مقام المسيح، متحادثًا معه ومتّبعًا توجيهاته؛ ولذلك كان هذان الاثنان، من بين جميع الجموع المحتشدة حول عرش الله، الأليقَ بأن يخدما ابن الله.»</w:t>
      </w:r>
    </w:p>
    <w:p>
      <w:pPr>
        <w:pStyle w:val="ArticleScripture"/>
        <w:jc w:val="left"/>
      </w:pPr>
      <w:r>
        <w:rPr>
          <w:rFonts w:ascii="Times New Roman" w:hAnsi="Times New Roman" w:eastAsia="Times New Roman" w:cs="Times New Roman"/>
        </w:rPr>
        <w:t>«Όταν ο Μωυσής, εξοργισμένος από την απιστία των υιών του Ισραήλ, εκτύπησε τον βράχο εν οργή και τους έδωσε το ύδωρ το οποίο ζητούσαν, οικειοποιήθηκε τη δόξα για τον εαυτό του· διότι ο νους του ήταν τόσο απορροφημένος από την αχαριστία και την απείθεια του Ισραήλ, ώστε παρέλειψε να τιμήσει τον Θεό και να μεγαλύνει το όνομά Του, εκτελώντας την πράξη την οποία Εκείνος τον είχε διατάξει να πράξει. Ήταν στο σχέδιο του Παντοδυνάμου να φέρνει συχνά τους υιούς του Ισραήλ σε στενές περιστάσεις και έπειτα, μέσα στη μεγάλη τους ανάγκη, να τους ελευθερώνει με τη δύναμή Του, ώστε να αναγνωρίζουν την ιδιαίτερη μέριμνά Του γι’ αυτούς και να δοξάζουν το όνομά Του. Αλλά ο Μωυσής, υποκύπτοντας στις φυσικές παρορμήσεις της καρδιάς του, ιδιοποιήθηκε για τον εαυτό του την τιμή που ανήκε στον Θεό, έπεσε κάτω από την εξουσία του Σατανά και του απαγορεύθηκε να εισέλθει στη γη της επαγγελίας. Αν ο Μωυσής είχε παραμείνει σταθερός, ο Κύριος θα τον είχε φέρει στη γη της επαγγελίας, και έπειτα θα τον είχε μεταθέσει στον Ουρανό χωρίς να δει θάνατο.»</w:t>
      </w:r>
    </w:p>
    <w:p>
      <w:pPr>
        <w:pStyle w:val="ArticleScripture"/>
        <w:jc w:val="left"/>
      </w:pPr>
      <w:r>
        <w:rPr>
          <w:rFonts w:ascii="Times New Roman" w:hAnsi="Times New Roman" w:eastAsia="Times New Roman" w:cs="Times New Roman"/>
        </w:rPr>
        <w:t>«Kama ilivyokuwa, Musa alipitia mauti, lakini Mwana wa Mungu alishuka kutoka Mbinguni akamfufua kabla mwili wake haujaona uharibifu. Ingawa Shetani alishindana na Mikaeli kwa ajili ya mwili wa Musa, na akadai kuwa ni mawindo yake halali, hakuweza kumshinda Mwana wa Mungu; naye Musa, akiwa na mwili uliofufuliwa na kutukuzwa, akachukuliwa mpaka kwenye nyua za Mbinguni, naye sasa alikuwa mmoja wa wale wawili wenye kuheshimiwa, waliopewa agizo na Baba ili wamngojee Mwana wake.»</w:t>
      </w:r>
    </w:p>
    <w:p>
      <w:pPr>
        <w:pStyle w:val="ArticleScripture"/>
        <w:jc w:val="left"/>
      </w:pPr>
      <w:r>
        <w:rPr>
          <w:rFonts w:ascii="Times New Roman" w:hAnsi="Times New Roman" w:eastAsia="Times New Roman" w:cs="Times New Roman"/>
        </w:rPr>
        <w:t>«Με το να επιτρέψουν στον εαυτό τους να καταβληθεί τόσο πολύ από τον ύπνο, οι μαθητές είχαν χάσει τη συνομιλία μεταξύ των ουρανίων αγγελιοφόρων και του δοξασμένου Λυτρωτή. Αλλά όταν ξυπνούν ξαφνικά από βαθύ ύπνο και αντικρίζουν ενώπιόν τους το υπερκόσμιο όραμα, γεμίζουν από έκσταση και δέος. Καθώς ατενίζουν την ακτινοβόλο μορφή του αγαπημένου τους Διδασκάλου, αναγκάζονται να σκεπάσουν τα μάτια τους με τα χέρια τους, επειδή διαφορετικά δεν μπορούν να υπομείνουν την ανέκφραστη δόξα που περιβάλλει το πρόσωπό του και εκπέμπει ακτίνες φωτός όπως εκείνες του ήλιου. Για σύντομο διάστημα οι μαθητές βλέπουν τον Κύριό τους δοξασμένο και υψωμένο μπροστά στα μάτια τους, και τιμημένο από τα λαμπροφόρα όντα, τα οποία αναγνωρίζουν ως τους ευνοημένους του Θεού.»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Satu Ratus Lima Puluh Tujuh</dc:title>
  <dc:subject>تفسير الرمزية النبوية لكورش في سفر دانيال</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