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Kitaabii Daaniʼel - Tokkoffaa Dhibbaa Shantamii Saddeet</w:t>
      </w:r>
    </w:p>
    <w:p>
      <w:pPr>
        <w:pStyle w:val="ArticleSubtitle"/>
        <w:jc w:val="left"/>
      </w:pPr>
      <w:r>
        <w:rPr>
          <w:rFonts w:ascii="Myanmar Text" w:hAnsi="Myanmar Text" w:eastAsia="Myanmar Text" w:cs="Myanmar Text"/>
        </w:rPr>
        <w:t>ပရောဖက်ဒံယေလ၌</w:t>
      </w:r>
      <w:r>
        <w:rPr>
          <w:rFonts w:ascii="Arial" w:hAnsi="Arial" w:eastAsia="Arial" w:cs="Arial"/>
        </w:rPr>
        <w:t xml:space="preserve"> </w:t>
      </w:r>
      <w:r>
        <w:rPr>
          <w:rFonts w:ascii="Myanmar Text" w:hAnsi="Myanmar Text" w:eastAsia="Myanmar Text" w:cs="Myanmar Text"/>
        </w:rPr>
        <w:t>ဝမ်းနည်းပူဆွေးခြင်း၏နေ့ရက်များကို</w:t>
      </w:r>
      <w:r>
        <w:rPr>
          <w:rFonts w:ascii="Arial" w:hAnsi="Arial" w:eastAsia="Arial" w:cs="Arial"/>
        </w:rPr>
        <w:t xml:space="preserve"> </w:t>
      </w:r>
      <w:r>
        <w:rPr>
          <w:rFonts w:ascii="Myanmar Text" w:hAnsi="Myanmar Text" w:eastAsia="Myanmar Text" w:cs="Myanmar Text"/>
        </w:rPr>
        <w:t>နားလည်သဘောပေါက်ရန်</w:t>
      </w:r>
      <w:r>
        <w:rPr>
          <w:rFonts w:ascii="Arial" w:hAnsi="Arial" w:eastAsia="Arial" w:cs="Arial"/>
        </w:rPr>
        <w:t xml:space="preserve"> </w:t>
      </w:r>
      <w:r>
        <w:rPr>
          <w:rFonts w:ascii="Myanmar Text" w:hAnsi="Myanmar Text" w:eastAsia="Myanmar Text" w:cs="Myanmar Text"/>
        </w:rPr>
        <w:t>ဗျာဒိတ်ရူပါရုံကို</w:t>
      </w:r>
      <w:r>
        <w:rPr>
          <w:rFonts w:ascii="Arial" w:hAnsi="Arial" w:eastAsia="Arial" w:cs="Arial"/>
        </w:rPr>
        <w:t xml:space="preserve"> </w:t>
      </w:r>
      <w:r>
        <w:rPr>
          <w:rFonts w:ascii="Myanmar Text" w:hAnsi="Myanmar Text" w:eastAsia="Myanmar Text" w:cs="Myanmar Text"/>
        </w:rPr>
        <w:t>ဖော်ထုတ်ခြင်း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Nirmala UI" w:hAnsi="Nirmala UI" w:eastAsia="Nirmala UI" w:cs="Nirmala UI"/>
        </w:rPr>
        <w:t>පර්සියාවේ</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කයිරස්ගේ</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අවුරුද්දේ</w:t>
      </w:r>
      <w:r>
        <w:rPr>
          <w:rFonts w:ascii="Times New Roman" w:hAnsi="Times New Roman" w:eastAsia="Times New Roman" w:cs="Times New Roman"/>
        </w:rPr>
        <w:t xml:space="preserve">, </w:t>
      </w:r>
      <w:r>
        <w:rPr>
          <w:rFonts w:ascii="Nirmala UI" w:hAnsi="Nirmala UI" w:eastAsia="Nirmala UI" w:cs="Nirmala UI"/>
        </w:rPr>
        <w:t>බෙල්තෙෂාස්සර්</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නාමයෙන්</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කාරණයක්</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කාරණය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වූයේය</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දීර්ඝ</w:t>
      </w:r>
      <w:r>
        <w:rPr>
          <w:rFonts w:ascii="Times New Roman" w:hAnsi="Times New Roman" w:eastAsia="Times New Roman" w:cs="Times New Roman"/>
        </w:rPr>
        <w:t xml:space="preserve"> </w:t>
      </w:r>
      <w:r>
        <w:rPr>
          <w:rFonts w:ascii="Nirmala UI" w:hAnsi="Nirmala UI" w:eastAsia="Nirmala UI" w:cs="Nirmala UI"/>
        </w:rPr>
        <w:t>වූයේය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කාරණය</w:t>
      </w:r>
      <w:r>
        <w:rPr>
          <w:rFonts w:ascii="Times New Roman" w:hAnsi="Times New Roman" w:eastAsia="Times New Roman" w:cs="Times New Roman"/>
        </w:rPr>
        <w:t xml:space="preserve"> </w:t>
      </w:r>
      <w:r>
        <w:rPr>
          <w:rFonts w:ascii="Nirmala UI" w:hAnsi="Nirmala UI" w:eastAsia="Nirmala UI" w:cs="Nirmala UI"/>
        </w:rPr>
        <w:t>තේරුම්ගත්තේය</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අවබෝධයද</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තිබුණේය</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ශෝකව</w:t>
      </w:r>
      <w:r>
        <w:rPr>
          <w:rFonts w:ascii="Times New Roman" w:hAnsi="Times New Roman" w:eastAsia="Times New Roman" w:cs="Times New Roman"/>
        </w:rPr>
        <w:t xml:space="preserve"> </w:t>
      </w:r>
      <w:r>
        <w:rPr>
          <w:rFonts w:ascii="Nirmala UI" w:hAnsi="Nirmala UI" w:eastAsia="Nirmala UI" w:cs="Nirmala UI"/>
        </w:rPr>
        <w:t>සිටියෙමි</w:t>
      </w:r>
      <w:r>
        <w:rPr>
          <w:rFonts w:ascii="Times New Roman" w:hAnsi="Times New Roman" w:eastAsia="Times New Roman" w:cs="Times New Roman"/>
        </w:rPr>
        <w:t xml:space="preserve">. </w:t>
      </w:r>
      <w:r>
        <w:rPr>
          <w:rFonts w:ascii="Nirmala UI" w:hAnsi="Nirmala UI" w:eastAsia="Nirmala UI" w:cs="Nirmala UI"/>
        </w:rPr>
        <w:t>රසවත්</w:t>
      </w:r>
      <w:r>
        <w:rPr>
          <w:rFonts w:ascii="Times New Roman" w:hAnsi="Times New Roman" w:eastAsia="Times New Roman" w:cs="Times New Roman"/>
        </w:rPr>
        <w:t xml:space="preserve"> </w:t>
      </w:r>
      <w:r>
        <w:rPr>
          <w:rFonts w:ascii="Nirmala UI" w:hAnsi="Nirmala UI" w:eastAsia="Nirmala UI" w:cs="Nirmala UI"/>
        </w:rPr>
        <w:t>ආහාර</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නොකෑවෙමි</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වයින්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මුඛයට</w:t>
      </w:r>
      <w:r>
        <w:rPr>
          <w:rFonts w:ascii="Times New Roman" w:hAnsi="Times New Roman" w:eastAsia="Times New Roman" w:cs="Times New Roman"/>
        </w:rPr>
        <w:t xml:space="preserve"> </w:t>
      </w:r>
      <w:r>
        <w:rPr>
          <w:rFonts w:ascii="Nirmala UI" w:hAnsi="Nirmala UI" w:eastAsia="Nirmala UI" w:cs="Nirmala UI"/>
        </w:rPr>
        <w:t>පැමිණියේ</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කිසිසේත්ම</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තෙල්</w:t>
      </w:r>
      <w:r>
        <w:rPr>
          <w:rFonts w:ascii="Times New Roman" w:hAnsi="Times New Roman" w:eastAsia="Times New Roman" w:cs="Times New Roman"/>
        </w:rPr>
        <w:t xml:space="preserve"> </w:t>
      </w:r>
      <w:r>
        <w:rPr>
          <w:rFonts w:ascii="Nirmala UI" w:hAnsi="Nirmala UI" w:eastAsia="Nirmala UI" w:cs="Nirmala UI"/>
        </w:rPr>
        <w:t>ආලේප</w:t>
      </w:r>
      <w:r>
        <w:rPr>
          <w:rFonts w:ascii="Times New Roman" w:hAnsi="Times New Roman" w:eastAsia="Times New Roman" w:cs="Times New Roman"/>
        </w:rPr>
        <w:t xml:space="preserve"> </w:t>
      </w:r>
      <w:r>
        <w:rPr>
          <w:rFonts w:ascii="Nirmala UI" w:hAnsi="Nirmala UI" w:eastAsia="Nirmala UI" w:cs="Nirmala UI"/>
        </w:rPr>
        <w:t>නොකළෙමි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විසිහතරවන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හිද්දෙකෙල්</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ගඟ</w:t>
      </w:r>
      <w:r>
        <w:rPr>
          <w:rFonts w:ascii="Times New Roman" w:hAnsi="Times New Roman" w:eastAsia="Times New Roman" w:cs="Times New Roman"/>
        </w:rPr>
        <w:t xml:space="preserve"> </w:t>
      </w:r>
      <w:r>
        <w:rPr>
          <w:rFonts w:ascii="Nirmala UI" w:hAnsi="Nirmala UI" w:eastAsia="Nirmala UI" w:cs="Nirmala UI"/>
        </w:rPr>
        <w:t>අසල</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10:1–4.</w:t>
      </w:r>
    </w:p>
    <w:p>
      <w:pPr>
        <w:pStyle w:val="ArticleBody"/>
        <w:jc w:val="left"/>
      </w:pPr>
      <w:r>
        <w:rPr>
          <w:rFonts w:ascii="Times New Roman" w:hAnsi="Times New Roman" w:eastAsia="Times New Roman" w:cs="Times New Roman"/>
        </w:rPr>
        <w:t>В течение символических трёх с половиной дней одиннадцатой главы Откровения, когда два свидетеля лежат мёртвыми на улице, нечто открывается Валтасару. Прежде он уже уразумел «видение» (mareh), ибо в девятой главе Гавриил уже приходил и дал ему разумение видения.</w:t>
      </w:r>
    </w:p>
    <w:p>
      <w:pPr>
        <w:pStyle w:val="ArticleScripture"/>
        <w:jc w:val="left"/>
      </w:pPr>
      <w:r>
        <w:rPr>
          <w:rFonts w:ascii="Times New Roman" w:hAnsi="Times New Roman" w:eastAsia="Times New Roman" w:cs="Times New Roman"/>
        </w:rPr>
        <w:t>Oui, tandis que je parlais encore dans la prière, l’homme Gabriel, que j’avais vu auparavant dans la vision, s’approcha de moi d’un vol rapide, vers le temps de l’oblation du soir. Il m’instruisit, s’entretint avec moi, et dit: Ô Daniel, je suis maintenant sorti pour t’ouvrir l’intelligence et te donner la compréhension. Au commencement de tes supplications, la parole a été émise, et je suis venu pour te l’annoncer; car tu es un bien-aimé: comprends donc la parole, et considère la vision. Daniel 9:21–23.</w:t>
      </w:r>
    </w:p>
    <w:p>
      <w:pPr>
        <w:pStyle w:val="ArticleBody"/>
        <w:jc w:val="left"/>
      </w:pPr>
      <w:r>
        <w:rPr>
          <w:rFonts w:ascii="Times New Roman" w:hAnsi="Times New Roman" w:eastAsia="Times New Roman" w:cs="Times New Roman"/>
        </w:rPr>
        <w:t>«Габриэль-эрэгтэй, түүнийг» Даниел «эхэндээ үзэгдэлд харсан» гэж хэлсэн нь эш үзүүллэгийн түүхийн «хазон» үзэгдлийг зааж байгаа бөгөөд энэ нь наймдугаар бүлэгт Библийн эш үзүүллэг дэх хаант улсуудын үзэгдлийг Габриэль Даниелд тайлбарлаж байсныг хэлж байна. Харин Даниел есдүгээр бүлэгт тунгаан бодох ёстой байсан «үзэгдэл» нь дүр төрхийн «маре» үзэгдэл байв. Дараа нь Габриэль Даниелд хоёр мянга гурван зуун жилийн эш үзүүллэгийн түүхэн задлалыг өгдөг.</w:t>
      </w:r>
    </w:p>
    <w:p>
      <w:pPr>
        <w:pStyle w:val="ArticleBody"/>
        <w:jc w:val="left"/>
      </w:pPr>
      <w:r>
        <w:rPr>
          <w:rFonts w:ascii="Times New Roman" w:hAnsi="Times New Roman" w:eastAsia="Times New Roman" w:cs="Times New Roman"/>
        </w:rPr>
        <w:t>الفصل التاسع قد تمّ في السنة الأولى من داريوس. وحين يصرّح بيلطشاصر أنّه «فهم الرؤيا» في «السنة الثالثة لكورش»، يكون قد أدرك «المرأه»، أي الرؤيا، منذ سنتين. وما جاء بيلطشاصر إلى فهمه في «تلك الأيام» من النوح هو «الأمر»، أي الكلمة العبرية «دابار»، وكان طويلًا، لأن الزمان المعيَّن كان ألفين وخمس مئة وعشرين سنة.</w:t>
      </w:r>
    </w:p>
    <w:p>
      <w:pPr>
        <w:pStyle w:val="ArticleBody"/>
        <w:jc w:val="left"/>
      </w:pPr>
      <w:r>
        <w:rPr>
          <w:rFonts w:ascii="Times New Roman" w:hAnsi="Times New Roman" w:eastAsia="Times New Roman" w:cs="Times New Roman"/>
        </w:rPr>
        <w:t>دانيال قد كان فهمَ بالفعل بعضَ «الأمر»، لأنه كان يُتمّ في الأصحاح التاسع صلاةَ اللاويين ستة وعشرين، وهي صلاةُ «الأمر». وقد ازداد النور على «الأزمنة السبعة» الذي جاء بيلتشاصر إلى فهمه خلال أيام النوح الواحد والعشرين، وكانت زيادةُ النور على «الأزمنة السبعة» في تلك الأيام من النوح رمزًا لزيادة النور على «الأزمنة السبعة» في سنة 1856. وكان الميليريون أيضًا قد عرفوا سابقًا «الأزمنة السبعة»، لأنهم كانوا قد نادوا بها، غير أن نورًا إضافيًّا كان مزمعًا أن يمتحنهم عند النقطة عينها من تاريخهم حين انتقلوا من حركة فيلادلفيا إلى حركة لاودكية.</w:t>
      </w:r>
    </w:p>
    <w:p>
      <w:pPr>
        <w:pStyle w:val="ArticleBody"/>
        <w:jc w:val="left"/>
      </w:pPr>
      <w:r>
        <w:rPr>
          <w:rFonts w:ascii="Nirmala UI" w:hAnsi="Nirmala UI" w:eastAsia="Nirmala UI" w:cs="Nirmala UI"/>
        </w:rPr>
        <w:t>अरामिकवाणी</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शोकमा</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इतिहाससँग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फिलाडेल्फियन</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माथिको</w:t>
      </w:r>
      <w:r>
        <w:rPr>
          <w:rFonts w:ascii="Times New Roman" w:hAnsi="Times New Roman" w:eastAsia="Times New Roman" w:cs="Times New Roman"/>
        </w:rPr>
        <w:t xml:space="preserve"> </w:t>
      </w:r>
      <w:r>
        <w:rPr>
          <w:rFonts w:ascii="Nirmala UI" w:hAnsi="Nirmala UI" w:eastAsia="Nirmala UI" w:cs="Nirmala UI"/>
        </w:rPr>
        <w:t>बढेको</w:t>
      </w:r>
      <w:r>
        <w:rPr>
          <w:rFonts w:ascii="Times New Roman" w:hAnsi="Times New Roman" w:eastAsia="Times New Roman" w:cs="Times New Roman"/>
        </w:rPr>
        <w:t xml:space="preserve"> </w:t>
      </w:r>
      <w:r>
        <w:rPr>
          <w:rFonts w:ascii="Nirmala UI" w:hAnsi="Nirmala UI" w:eastAsia="Nirmala UI" w:cs="Nirmala UI"/>
        </w:rPr>
        <w:t>ज्योतिसम्बन्धी</w:t>
      </w:r>
      <w:r>
        <w:rPr>
          <w:rFonts w:ascii="Times New Roman" w:hAnsi="Times New Roman" w:eastAsia="Times New Roman" w:cs="Times New Roman"/>
        </w:rPr>
        <w:t xml:space="preserve"> </w:t>
      </w:r>
      <w:r>
        <w:rPr>
          <w:rFonts w:ascii="Nirmala UI" w:hAnsi="Nirmala UI" w:eastAsia="Nirmala UI" w:cs="Nirmala UI"/>
        </w:rPr>
        <w:t>अरामिकवाणी</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आन्दोलनबाट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फिलाडेल्फियन</w:t>
      </w:r>
      <w:r>
        <w:rPr>
          <w:rFonts w:ascii="Times New Roman" w:hAnsi="Times New Roman" w:eastAsia="Times New Roman" w:cs="Times New Roman"/>
        </w:rPr>
        <w:t xml:space="preserve"> </w:t>
      </w:r>
      <w:r>
        <w:rPr>
          <w:rFonts w:ascii="Nirmala UI" w:hAnsi="Nirmala UI" w:eastAsia="Nirmala UI" w:cs="Nirmala UI"/>
        </w:rPr>
        <w:t>आन्दोलनतर्फको</w:t>
      </w:r>
      <w:r>
        <w:rPr>
          <w:rFonts w:ascii="Times New Roman" w:hAnsi="Times New Roman" w:eastAsia="Times New Roman" w:cs="Times New Roman"/>
        </w:rPr>
        <w:t xml:space="preserve"> </w:t>
      </w:r>
      <w:r>
        <w:rPr>
          <w:rFonts w:ascii="Nirmala UI" w:hAnsi="Nirmala UI" w:eastAsia="Nirmala UI" w:cs="Nirmala UI"/>
        </w:rPr>
        <w:t>संक्रमणसँग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शोकका</w:t>
      </w:r>
      <w:r>
        <w:rPr>
          <w:rFonts w:ascii="Times New Roman" w:hAnsi="Times New Roman" w:eastAsia="Times New Roman" w:cs="Times New Roman"/>
        </w:rPr>
        <w:t xml:space="preserve"> </w:t>
      </w:r>
      <w:r>
        <w:rPr>
          <w:rFonts w:ascii="Nirmala UI" w:hAnsi="Nirmala UI" w:eastAsia="Nirmala UI" w:cs="Nirmala UI"/>
        </w:rPr>
        <w:t>दिनहरूसँग</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पर्खाइको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माथिको</w:t>
      </w:r>
      <w:r>
        <w:rPr>
          <w:rFonts w:ascii="Times New Roman" w:hAnsi="Times New Roman" w:eastAsia="Times New Roman" w:cs="Times New Roman"/>
        </w:rPr>
        <w:t xml:space="preserve"> </w:t>
      </w:r>
      <w:r>
        <w:rPr>
          <w:rFonts w:ascii="Nirmala UI" w:hAnsi="Nirmala UI" w:eastAsia="Nirmala UI" w:cs="Nirmala UI"/>
        </w:rPr>
        <w:t>बढेको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p>
    <w:p>
      <w:pPr>
        <w:pStyle w:val="ArticleBody"/>
        <w:jc w:val="left"/>
      </w:pPr>
      <w:r>
        <w:rPr>
          <w:rFonts w:ascii="Times New Roman" w:hAnsi="Times New Roman" w:eastAsia="Times New Roman" w:cs="Times New Roman"/>
        </w:rPr>
        <w:t>Beltxessar həm bir elçini, həm də bir hərəkatı təmsil edir. Onun yas günlərində elçi “şeyi”, yəni Həqiqəti anlamalıdır və sonra, Mikayıl 2023-cü ildə iki şahidi diriltdiyi zaman, həmin “şeyi” bir hərəkata təqdim etməlidir.</w:t>
      </w:r>
    </w:p>
    <w:p>
      <w:pPr>
        <w:pStyle w:val="ArticleBody"/>
        <w:jc w:val="left"/>
      </w:pPr>
      <w:r>
        <w:rPr>
          <w:rFonts w:ascii="Microsoft Himalaya" w:hAnsi="Microsoft Himalaya" w:eastAsia="Microsoft Himalaya" w:cs="Microsoft Himalaya"/>
        </w:rPr>
        <w:t>ཧེབ་རུའི་ཚིག</w:t>
      </w:r>
      <w:r>
        <w:rPr>
          <w:rFonts w:ascii="Times New Roman" w:hAnsi="Times New Roman" w:eastAsia="Times New Roman" w:cs="Times New Roman"/>
        </w:rPr>
        <w:t xml:space="preserve"> “mareh” (</w:t>
      </w:r>
      <w:r>
        <w:rPr>
          <w:rFonts w:ascii="Microsoft Himalaya" w:hAnsi="Microsoft Himalaya" w:eastAsia="Microsoft Himalaya" w:cs="Microsoft Himalaya"/>
        </w:rPr>
        <w:t>ཀྲིསཏིའི་སྐུ་གཟུགས་སྣང་བའི་ཞལ་གཟིགས་</w:t>
      </w:r>
      <w:r>
        <w:rPr>
          <w:rFonts w:ascii="Times New Roman" w:hAnsi="Times New Roman" w:eastAsia="Times New Roman" w:cs="Times New Roman"/>
        </w:rPr>
        <w:t xml:space="preserve">) </w:t>
      </w:r>
      <w:r>
        <w:rPr>
          <w:rFonts w:ascii="Microsoft Himalaya" w:hAnsi="Microsoft Himalaya" w:eastAsia="Microsoft Himalaya" w:cs="Microsoft Himalaya"/>
        </w:rPr>
        <w:t>ཞེས་པ་དེ།</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དན་ཨེལ་གྱིས་ཚིགས་བཅད་དང་པོའི་ནང་དུ་རང་ཉིད་ཀྱིས་གོ་རྟོགས་ཡོད་པར་ངོས་འཛིན་པ་དེ་ནི།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དན་ཨེལ་གྱི་མཐའ་མའི་ཞལ་གཟིགས་ནང་ལན་བཞིར་བཀོད་ཡོད།</w:t>
      </w:r>
      <w:r>
        <w:rPr>
          <w:rFonts w:ascii="Times New Roman" w:hAnsi="Times New Roman" w:eastAsia="Times New Roman" w:cs="Times New Roman"/>
        </w:rPr>
        <w:t xml:space="preserve"> </w:t>
      </w:r>
      <w:r>
        <w:rPr>
          <w:rFonts w:ascii="Microsoft Himalaya" w:hAnsi="Microsoft Himalaya" w:eastAsia="Microsoft Himalaya" w:cs="Microsoft Himalaya"/>
        </w:rPr>
        <w:t>དེའི་ནང་ལན་གཉིས་ནི</w:t>
      </w:r>
      <w:r>
        <w:rPr>
          <w:rFonts w:ascii="Times New Roman" w:hAnsi="Times New Roman" w:eastAsia="Times New Roman" w:cs="Times New Roman"/>
        </w:rPr>
        <w:t xml:space="preserve"> “vision” </w:t>
      </w:r>
      <w:r>
        <w:rPr>
          <w:rFonts w:ascii="Microsoft Himalaya" w:hAnsi="Microsoft Himalaya" w:eastAsia="Microsoft Himalaya" w:cs="Microsoft Himalaya"/>
        </w:rPr>
        <w:t>ཞེས་བསྒྱུར་ཡོད་ཅིང་།</w:t>
      </w:r>
      <w:r>
        <w:rPr>
          <w:rFonts w:ascii="Times New Roman" w:hAnsi="Times New Roman" w:eastAsia="Times New Roman" w:cs="Times New Roman"/>
        </w:rPr>
        <w:t xml:space="preserve"> </w:t>
      </w:r>
      <w:r>
        <w:rPr>
          <w:rFonts w:ascii="Microsoft Himalaya" w:hAnsi="Microsoft Himalaya" w:eastAsia="Microsoft Himalaya" w:cs="Microsoft Himalaya"/>
        </w:rPr>
        <w:t>ལན་གཉིས་ནི</w:t>
      </w:r>
      <w:r>
        <w:rPr>
          <w:rFonts w:ascii="Times New Roman" w:hAnsi="Times New Roman" w:eastAsia="Times New Roman" w:cs="Times New Roman"/>
        </w:rPr>
        <w:t xml:space="preserve"> “appearance” </w:t>
      </w:r>
      <w:r>
        <w:rPr>
          <w:rFonts w:ascii="Microsoft Himalaya" w:hAnsi="Microsoft Himalaya" w:eastAsia="Microsoft Himalaya" w:cs="Microsoft Himalaya"/>
        </w:rPr>
        <w:t>ཞེས་བསྒྱུར་ཡོད།</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དན་ཨེལ་གྱིས་ཚིགས་བཅད་དང་པོར་ཐེངས་དང་པོར་ཚིག་དེ་སྤྱད་པའི་སྐབས།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ཁོང་གིས་རང་ཉིད་ཀྱིས</w:t>
      </w:r>
      <w:r>
        <w:rPr>
          <w:rFonts w:ascii="Times New Roman" w:hAnsi="Times New Roman" w:eastAsia="Times New Roman" w:cs="Times New Roman"/>
        </w:rPr>
        <w:t xml:space="preserve"> “vision” </w:t>
      </w:r>
      <w:r>
        <w:rPr>
          <w:rFonts w:ascii="Microsoft Himalaya" w:hAnsi="Microsoft Himalaya" w:eastAsia="Microsoft Himalaya" w:cs="Microsoft Himalaya"/>
        </w:rPr>
        <w:t>གོ་རྟོགས་བྱས་པར་ངོས་འཛིན་གྱི་ཡོད།</w:t>
      </w:r>
      <w:r>
        <w:rPr>
          <w:rFonts w:ascii="Times New Roman" w:hAnsi="Times New Roman" w:eastAsia="Times New Roman" w:cs="Times New Roman"/>
        </w:rPr>
        <w:t xml:space="preserve"> </w:t>
      </w:r>
      <w:r>
        <w:rPr>
          <w:rFonts w:ascii="Microsoft Himalaya" w:hAnsi="Microsoft Himalaya" w:eastAsia="Microsoft Himalaya" w:cs="Microsoft Himalaya"/>
        </w:rPr>
        <w:t>འོན་ཀྱང་དཔྱད་གཞི་གསུམ་པ་གཞན་རྣམས་ནི་དན་ཨེལ་གྱིས་ཞལ་གཟིགས་དེ་ཉམས་སུ་མྱོང་བ་ངོས་འཛིན་གྱི་ཡོད།</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ཚིགས་བཅད་དྲུག་པར།</w:t>
      </w:r>
      <w:r>
        <w:rPr>
          <w:rFonts w:ascii="Times New Roman" w:hAnsi="Times New Roman" w:eastAsia="Times New Roman" w:cs="Times New Roman"/>
        </w:rPr>
        <w:t xml:space="preserve"> </w:t>
      </w:r>
      <w:r>
        <w:rPr>
          <w:rFonts w:ascii="Microsoft Himalaya" w:hAnsi="Microsoft Himalaya" w:eastAsia="Microsoft Himalaya" w:cs="Microsoft Himalaya"/>
        </w:rPr>
        <w:t>ཀྲིསཏིའི་ཞལ་ནི</w:t>
      </w:r>
      <w:r>
        <w:rPr>
          <w:rFonts w:ascii="Times New Roman" w:hAnsi="Times New Roman" w:eastAsia="Times New Roman" w:cs="Times New Roman"/>
        </w:rPr>
        <w:t xml:space="preserve"> “</w:t>
      </w:r>
      <w:r>
        <w:rPr>
          <w:rFonts w:ascii="Microsoft Himalaya" w:hAnsi="Microsoft Himalaya" w:eastAsia="Microsoft Himalaya" w:cs="Microsoft Himalaya"/>
        </w:rPr>
        <w:t>གློག་གི</w:t>
      </w:r>
      <w:r>
        <w:rPr>
          <w:rFonts w:ascii="Times New Roman" w:hAnsi="Times New Roman" w:eastAsia="Times New Roman" w:cs="Times New Roman"/>
        </w:rPr>
        <w:t xml:space="preserve"> ‘appearance’ </w:t>
      </w:r>
      <w:r>
        <w:rPr>
          <w:rFonts w:ascii="Microsoft Himalaya" w:hAnsi="Microsoft Himalaya" w:eastAsia="Microsoft Himalaya" w:cs="Microsoft Himalaya"/>
        </w:rPr>
        <w:t>ལྟ་བུ</w:t>
      </w:r>
      <w:r>
        <w:rPr>
          <w:rFonts w:ascii="Times New Roman" w:hAnsi="Times New Roman" w:eastAsia="Times New Roman" w:cs="Times New Roman"/>
        </w:rPr>
        <w:t xml:space="preserve">” </w:t>
      </w:r>
      <w:r>
        <w:rPr>
          <w:rFonts w:ascii="Microsoft Himalaya" w:hAnsi="Microsoft Himalaya" w:eastAsia="Microsoft Himalaya" w:cs="Microsoft Himalaya"/>
        </w:rPr>
        <w:t>ཡིན།</w:t>
      </w:r>
    </w:p>
    <w:p>
      <w:pPr>
        <w:pStyle w:val="ArticleScripture"/>
        <w:jc w:val="left"/>
      </w:pPr>
      <w:r>
        <w:rPr>
          <w:rFonts w:ascii="Times New Roman" w:hAnsi="Times New Roman" w:eastAsia="Times New Roman" w:cs="Times New Roman"/>
        </w:rPr>
        <w:t>Atsïngä uvud mirri yu pɛnïr kʼäda mü mïngthup, ngä a dak ni ri hïrïm chä aji kʼlang mo yi Hiddekel. Ka ngä pa aji aŋu lok, ga nyi, rïŋ rïŋ, mi tïngät mäk ju, pinyïr nyïnï rïn nɛ̈n, ka guŋguŋ nyïnï pöc löŋ fine gold of Uphaz. Riinïr nyïnï beryl tɔ̈, ka lëk nyïnï riök tënëŋ lightning, ka aŋu nyïnï lamp of fire tɔ̈, ka kɔc nyïnï ku këdë nyïnï color polished brass tɔ̈, ka rinë töŋ nyïnï rinë raan kɔc jööl bɛ̈i. Ka ngä Daniel ëtënë kede acï vision kënë yeŋ; ku mi kɔc ëbɛnë keda aa vision acï yeŋ, dhil quaking dit acï tɔ̈ŋ kɔc, kɔ̈k aa rot yɔ̈k piny ku muun alɛ̈t. Tɛ̈në, ngä ëtënë acï baŋ, ka ngä vision dit kënë yeŋ, ka käŋ ŋic ye strength acï tɔ̈ŋ raan në ngä: ku comeliness dïët nyïnï acï rot wal në corruption, ka ngä strength acï kuar. Daniel 10:4–8.</w:t>
      </w:r>
    </w:p>
    <w:p>
      <w:pPr>
        <w:pStyle w:val="ArticleBody"/>
        <w:jc w:val="left"/>
      </w:pPr>
      <w:r>
        <w:rPr>
          <w:rFonts w:ascii="Times New Roman" w:hAnsi="Times New Roman" w:eastAsia="Times New Roman" w:cs="Times New Roman"/>
        </w:rPr>
        <w:t>Hebrew-ում կա «տեսիլք» թարգմանված ևս մեկ բառ, որին կանդրադառնանք այն բանից հետո, երբ ներկայացնենք եբրայերեն «mareh» բառի որոշ հատկանիշներ։ Նախորդ համարներում «տեսք» թարգմանված բառն է հենց եբրայերեն «mareh»-ը։ Նույն բառը տասնվեցերորդ համարում թարգմանված է որպես «տեսիլք»։ Տասնվեցերորդ համարում Քրիստոսի տեսիլքը Դանիելին վշտացրել է։</w:t>
      </w:r>
    </w:p>
    <w:p>
      <w:pPr>
        <w:pStyle w:val="ArticleScripture"/>
        <w:jc w:val="left"/>
      </w:pPr>
      <w:r>
        <w:rPr>
          <w:rFonts w:ascii="Times New Roman" w:hAnsi="Times New Roman" w:eastAsia="Times New Roman" w:cs="Times New Roman"/>
        </w:rPr>
        <w:t>І ось, щось подібне до подоби синів людських торкнулося моїх уст; тоді я відкрив уста свої, і говорив, і сказав тому, хто стояв передо мною: О господарю мій, через це видіння муки мої повернулися на мене, і не зосталося в мені сили. Даниїла 10:16.</w:t>
      </w:r>
    </w:p>
    <w:p>
      <w:pPr>
        <w:pStyle w:val="ArticleBody"/>
        <w:jc w:val="left"/>
      </w:pPr>
      <w:r>
        <w:rPr>
          <w:rFonts w:ascii="Times New Roman" w:hAnsi="Times New Roman" w:eastAsia="Times New Roman" w:cs="Times New Roman"/>
        </w:rPr>
        <w:t>Lo simi breo daukasina nu “sorrows,” niin ga hinge, ma “vision” nena Christus nena aparese Daniel ikus iha versikulu nee mak fila sai hanesan hinge ida. Iha profesia, “hinge” representa pontu ida ba mudansa.</w:t>
      </w:r>
    </w:p>
    <w:p>
      <w:pPr>
        <w:pStyle w:val="ArticleScripture"/>
        <w:jc w:val="left"/>
      </w:pPr>
      <w:r>
        <w:rPr>
          <w:rFonts w:ascii="Times New Roman" w:hAnsi="Times New Roman" w:eastAsia="Times New Roman" w:cs="Times New Roman"/>
        </w:rPr>
        <w:t>«Тарихтың өткен кезеңдерінен алынуға тиісті сабақтар бар; бұларға назар аударылады, сонда бәрі де Құдайдың қазір де әрдайым істеп келген жолымен әрекет ететінін түсінсін. Оның қолы Өз ісінде де, халықтардың арасында да қазір көрінеді, дәл Інжіл Едемде Адам атаға алғаш жарияланғаннан бергі барлық уақытта қалай көрінген болса, солай.»</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ယဉ်ကျေးမှုများ၏</w:t>
      </w:r>
      <w:r>
        <w:rPr>
          <w:rFonts w:ascii="Times New Roman" w:hAnsi="Times New Roman" w:eastAsia="Times New Roman" w:cs="Times New Roman"/>
        </w:rPr>
        <w:t xml:space="preserve"> </w:t>
      </w:r>
      <w:r>
        <w:rPr>
          <w:rFonts w:ascii="Myanmar Text" w:hAnsi="Myanmar Text" w:eastAsia="Myanmar Text" w:cs="Myanmar Text"/>
        </w:rPr>
        <w:t>သမိုင်းတွင်လည်းကောင်း၊</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သမိုင်းတွင်လည်းကောင်း</w:t>
      </w:r>
      <w:r>
        <w:rPr>
          <w:rFonts w:ascii="Times New Roman" w:hAnsi="Times New Roman" w:eastAsia="Times New Roman" w:cs="Times New Roman"/>
        </w:rPr>
        <w:t xml:space="preserve"> </w:t>
      </w:r>
      <w:r>
        <w:rPr>
          <w:rFonts w:ascii="Myanmar Text" w:hAnsi="Myanmar Text" w:eastAsia="Myanmar Text" w:cs="Myanmar Text"/>
        </w:rPr>
        <w:t>အလှည့်အပြောင်းအမှတ်ဖြစ်သော</w:t>
      </w:r>
      <w:r>
        <w:rPr>
          <w:rFonts w:ascii="Times New Roman" w:hAnsi="Times New Roman" w:eastAsia="Times New Roman" w:cs="Times New Roman"/>
        </w:rPr>
        <w:t xml:space="preserve"> </w:t>
      </w:r>
      <w:r>
        <w:rPr>
          <w:rFonts w:ascii="Myanmar Text" w:hAnsi="Myanmar Text" w:eastAsia="Myanmar Text" w:cs="Myanmar Text"/>
        </w:rPr>
        <w:t>ကာလများရှိကြသည်။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အုပ်ထိန်းတော်မူခြင်းအတွင်း၌</w:t>
      </w:r>
      <w:r>
        <w:rPr>
          <w:rFonts w:ascii="Times New Roman" w:hAnsi="Times New Roman" w:eastAsia="Times New Roman" w:cs="Times New Roman"/>
        </w:rPr>
        <w:t xml:space="preserve"> </w:t>
      </w:r>
      <w:r>
        <w:rPr>
          <w:rFonts w:ascii="Myanmar Text" w:hAnsi="Myanmar Text" w:eastAsia="Myanmar Text" w:cs="Myanmar Text"/>
        </w:rPr>
        <w:t>ထိုကဲ့သို့သော</w:t>
      </w:r>
      <w:r>
        <w:rPr>
          <w:rFonts w:ascii="Times New Roman" w:hAnsi="Times New Roman" w:eastAsia="Times New Roman" w:cs="Times New Roman"/>
        </w:rPr>
        <w:t xml:space="preserve"> </w:t>
      </w:r>
      <w:r>
        <w:rPr>
          <w:rFonts w:ascii="Myanmar Text" w:hAnsi="Myanmar Text" w:eastAsia="Myanmar Text" w:cs="Myanmar Text"/>
        </w:rPr>
        <w:t>အကျပ်အတည်းအမျိုးမျိုး</w:t>
      </w:r>
      <w:r>
        <w:rPr>
          <w:rFonts w:ascii="Times New Roman" w:hAnsi="Times New Roman" w:eastAsia="Times New Roman" w:cs="Times New Roman"/>
        </w:rPr>
        <w:t xml:space="preserve"> </w:t>
      </w:r>
      <w:r>
        <w:rPr>
          <w:rFonts w:ascii="Myanmar Text" w:hAnsi="Myanmar Text" w:eastAsia="Myanmar Text" w:cs="Myanmar Text"/>
        </w:rPr>
        <w:t>ရောက်ရှိလာသောအခါ၊</w:t>
      </w:r>
      <w:r>
        <w:rPr>
          <w:rFonts w:ascii="Times New Roman" w:hAnsi="Times New Roman" w:eastAsia="Times New Roman" w:cs="Times New Roman"/>
        </w:rPr>
        <w:t xml:space="preserve"> </w:t>
      </w:r>
      <w:r>
        <w:rPr>
          <w:rFonts w:ascii="Myanmar Text" w:hAnsi="Myanmar Text" w:eastAsia="Myanmar Text" w:cs="Myanmar Text"/>
        </w:rPr>
        <w:t>ထိုအချိန်အတွက်</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ပေးအပ်တော်မူသည်။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လက်ခံလျှင်</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တိုးတက်မှုရှိလာ၏။</w:t>
      </w:r>
      <w:r>
        <w:rPr>
          <w:rFonts w:ascii="Times New Roman" w:hAnsi="Times New Roman" w:eastAsia="Times New Roman" w:cs="Times New Roman"/>
        </w:rPr>
        <w:t xml:space="preserve"> </w:t>
      </w:r>
      <w:r>
        <w:rPr>
          <w:rFonts w:ascii="Myanmar Text" w:hAnsi="Myanmar Text" w:eastAsia="Myanmar Text" w:cs="Myanmar Text"/>
        </w:rPr>
        <w:t>ပယ်ချလျှင်မူ</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ဆုတ်ယုတ်ကျဆင်းမှုနှင့်</w:t>
      </w:r>
      <w:r>
        <w:rPr>
          <w:rFonts w:ascii="Times New Roman" w:hAnsi="Times New Roman" w:eastAsia="Times New Roman" w:cs="Times New Roman"/>
        </w:rPr>
        <w:t xml:space="preserve"> </w:t>
      </w:r>
      <w:r>
        <w:rPr>
          <w:rFonts w:ascii="Myanmar Text" w:hAnsi="Myanmar Text" w:eastAsia="Myanmar Text" w:cs="Myanmar Text"/>
        </w:rPr>
        <w:t>ပျက်စီးဆုံးရှုံးမှုတို့</w:t>
      </w:r>
      <w:r>
        <w:rPr>
          <w:rFonts w:ascii="Times New Roman" w:hAnsi="Times New Roman" w:eastAsia="Times New Roman" w:cs="Times New Roman"/>
        </w:rPr>
        <w:t xml:space="preserve"> </w:t>
      </w:r>
      <w:r>
        <w:rPr>
          <w:rFonts w:ascii="Myanmar Text" w:hAnsi="Myanmar Text" w:eastAsia="Myanmar Text" w:cs="Myanmar Text"/>
        </w:rPr>
        <w:t>နောက်ဆက်တွဲလာကြ၏။</w:t>
      </w:r>
      <w:r>
        <w:rPr>
          <w:rFonts w:ascii="Times New Roman" w:hAnsi="Times New Roman" w:eastAsia="Times New Roman" w:cs="Times New Roman"/>
        </w:rPr>
        <w:t xml:space="preserve"> </w:t>
      </w:r>
      <w:r>
        <w:rPr>
          <w:rFonts w:ascii="Myanmar Text" w:hAnsi="Myanmar Text" w:eastAsia="Myanmar Text" w:cs="Myanmar Text"/>
        </w:rPr>
        <w:t>အရှင်ဘုရားသည်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နှုတ်ကပတ်တော်အတွင်း၌</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ရှေ့တန်းထိုးဖောက်သည့်</w:t>
      </w:r>
      <w:r>
        <w:rPr>
          <w:rFonts w:ascii="Times New Roman" w:hAnsi="Times New Roman" w:eastAsia="Times New Roman" w:cs="Times New Roman"/>
        </w:rPr>
        <w:t xml:space="preserve"> </w:t>
      </w:r>
      <w:r>
        <w:rPr>
          <w:rFonts w:ascii="Myanmar Text" w:hAnsi="Myanmar Text" w:eastAsia="Myanmar Text" w:cs="Myanmar Text"/>
        </w:rPr>
        <w:t>အလုပ်ကို</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ဆောင်ရွက်ခဲ့ကြသည်ကိုလည်းကောင်း၊</w:t>
      </w:r>
      <w:r>
        <w:rPr>
          <w:rFonts w:ascii="Times New Roman" w:hAnsi="Times New Roman" w:eastAsia="Times New Roman" w:cs="Times New Roman"/>
        </w:rPr>
        <w:t xml:space="preserve"> </w:t>
      </w:r>
      <w:r>
        <w:rPr>
          <w:rFonts w:ascii="Myanmar Text" w:hAnsi="Myanmar Text" w:eastAsia="Myanmar Text" w:cs="Myanmar Text"/>
        </w:rPr>
        <w:t>အနာဂတ်ကာလ၌</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ဖြစ်ပေါ်မည်ကိုလည်းကောင်း၊</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ကိုယ်စားလှယ်အင်အားစုများက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ပြုလုပ်မည့်</w:t>
      </w:r>
      <w:r>
        <w:rPr>
          <w:rFonts w:ascii="Times New Roman" w:hAnsi="Times New Roman" w:eastAsia="Times New Roman" w:cs="Times New Roman"/>
        </w:rPr>
        <w:t xml:space="preserve"> </w:t>
      </w:r>
      <w:r>
        <w:rPr>
          <w:rFonts w:ascii="Myanmar Text" w:hAnsi="Myanmar Text" w:eastAsia="Myanmar Text" w:cs="Myanmar Text"/>
        </w:rPr>
        <w:t>ပိတ်သိမ်းရာ</w:t>
      </w:r>
      <w:r>
        <w:rPr>
          <w:rFonts w:ascii="Times New Roman" w:hAnsi="Times New Roman" w:eastAsia="Times New Roman" w:cs="Times New Roman"/>
        </w:rPr>
        <w:t xml:space="preserve"> </w:t>
      </w:r>
      <w:r>
        <w:rPr>
          <w:rFonts w:ascii="Myanmar Text" w:hAnsi="Myanmar Text" w:eastAsia="Myanmar Text" w:cs="Myanmar Text"/>
        </w:rPr>
        <w:t>တိုက်ပွဲအထိပင်</w:t>
      </w:r>
      <w:r>
        <w:rPr>
          <w:rFonts w:ascii="Times New Roman" w:hAnsi="Times New Roman" w:eastAsia="Times New Roman" w:cs="Times New Roman"/>
        </w:rPr>
        <w:t xml:space="preserve"> </w:t>
      </w:r>
      <w:r>
        <w:rPr>
          <w:rFonts w:ascii="Myanmar Text" w:hAnsi="Myanmar Text" w:eastAsia="Myanmar Text" w:cs="Myanmar Text"/>
        </w:rPr>
        <w:t>ဖွင့်လှစ်ပြသတော်မူခဲ့ပြီဖြစ်သည်။</w:t>
      </w:r>
      <w:r>
        <w:rPr>
          <w:rFonts w:ascii="Times New Roman" w:hAnsi="Times New Roman" w:eastAsia="Times New Roman" w:cs="Times New Roman"/>
        </w:rPr>
        <w:t>” Bible Echo, August 26, 1895.</w:t>
      </w:r>
    </w:p>
    <w:p>
      <w:pPr>
        <w:pStyle w:val="ArticleBody"/>
        <w:jc w:val="left"/>
      </w:pPr>
      <w:r>
        <w:rPr>
          <w:rFonts w:ascii="Times New Roman" w:hAnsi="Times New Roman" w:eastAsia="Times New Roman" w:cs="Times New Roman"/>
        </w:rPr>
        <w:t>آية ستة عشر تمثّل نقطة تحوّل في التاريخ الذي يمثّله بلطشاصر. وهي نقطة تحوّل لكلٍّ من القرن الجمهوري (الأمّة) والقرن البروتستانتي (الكنيسة). فهي تمثّل أزمة، وتمثّل الموضع الذي يُعطى فيه نور خاص لذلك التاريخ. وقد حدثت نقطة التحوّل لدانيال حين كان قد «لُمِس»، للمرّة الثانية من ثلاث مرّات. لقد لُمِس دانيال ثلاث مرّات، وكانت المرّة الثانية التي لُمِس فيها نقطة تحوّل بالنسبة إلى دانيال، وكانت تلك النقطة التحوّلية هي الثانية من ثلاث مرّات رأى فيها دانيال رؤيا «mareh».</w:t>
      </w:r>
    </w:p>
    <w:p>
      <w:pPr>
        <w:pStyle w:val="ArticleScripture"/>
        <w:jc w:val="left"/>
      </w:pPr>
      <w:r>
        <w:rPr>
          <w:rFonts w:ascii="Times New Roman" w:hAnsi="Times New Roman" w:eastAsia="Times New Roman" w:cs="Times New Roman"/>
        </w:rPr>
        <w:t>И, вот, нечто, подобное сынам человеческим, коснулось уст моих; тогда я открыл уста мои, и стал говорить, и сказал стоявшему предо мною: господин мой! от этого видения внутренности мои повернулись во мне, и не стало во мне силы. Даниил 10:16.</w:t>
      </w:r>
    </w:p>
    <w:p>
      <w:pPr>
        <w:pStyle w:val="ArticleBody"/>
        <w:jc w:val="left"/>
      </w:pP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స్పర్శలను</w:t>
      </w:r>
      <w:r>
        <w:rPr>
          <w:rFonts w:ascii="Times New Roman" w:hAnsi="Times New Roman" w:eastAsia="Times New Roman" w:cs="Times New Roman"/>
        </w:rPr>
        <w:t xml:space="preserve"> </w:t>
      </w:r>
      <w:r>
        <w:rPr>
          <w:rFonts w:ascii="Nirmala UI" w:hAnsi="Nirmala UI" w:eastAsia="Nirmala UI" w:cs="Nirmala UI"/>
        </w:rPr>
        <w:t>కొద్దిలో</w:t>
      </w:r>
      <w:r>
        <w:rPr>
          <w:rFonts w:ascii="Times New Roman" w:hAnsi="Times New Roman" w:eastAsia="Times New Roman" w:cs="Times New Roman"/>
        </w:rPr>
        <w:t xml:space="preserve"> </w:t>
      </w:r>
      <w:r>
        <w:rPr>
          <w:rFonts w:ascii="Nirmala UI" w:hAnsi="Nirmala UI" w:eastAsia="Nirmala UI" w:cs="Nirmala UI"/>
        </w:rPr>
        <w:t>పరిశీలిస్తాము</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“mareh”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పదాన్ని</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సందర్భాలలో</w:t>
      </w:r>
      <w:r>
        <w:rPr>
          <w:rFonts w:ascii="Times New Roman" w:hAnsi="Times New Roman" w:eastAsia="Times New Roman" w:cs="Times New Roman"/>
        </w:rPr>
        <w:t xml:space="preserve"> </w:t>
      </w:r>
      <w:r>
        <w:rPr>
          <w:rFonts w:ascii="Nirmala UI" w:hAnsi="Nirmala UI" w:eastAsia="Nirmala UI" w:cs="Nirmala UI"/>
        </w:rPr>
        <w:t>మొదటిది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దర్శనాన్ని</w:t>
      </w:r>
      <w:r>
        <w:rPr>
          <w:rFonts w:ascii="Times New Roman" w:hAnsi="Times New Roman" w:eastAsia="Times New Roman" w:cs="Times New Roman"/>
        </w:rPr>
        <w:t xml:space="preserve"> </w:t>
      </w:r>
      <w:r>
        <w:rPr>
          <w:rFonts w:ascii="Nirmala UI" w:hAnsi="Nirmala UI" w:eastAsia="Nirmala UI" w:cs="Nirmala UI"/>
        </w:rPr>
        <w:t>గ్రహించెనని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సాక్ష్యమే</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సూచనలు</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వాస్తవంగా</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ప్రత్యక్షరూపాన్ని</w:t>
      </w:r>
      <w:r>
        <w:rPr>
          <w:rFonts w:ascii="Times New Roman" w:hAnsi="Times New Roman" w:eastAsia="Times New Roman" w:cs="Times New Roman"/>
        </w:rPr>
        <w:t xml:space="preserve"> </w:t>
      </w:r>
      <w:r>
        <w:rPr>
          <w:rFonts w:ascii="Nirmala UI" w:hAnsi="Nirmala UI" w:eastAsia="Nirmala UI" w:cs="Nirmala UI"/>
        </w:rPr>
        <w:t>చూచినప్పుడు</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అనుభవాన్ని</w:t>
      </w:r>
      <w:r>
        <w:rPr>
          <w:rFonts w:ascii="Times New Roman" w:hAnsi="Times New Roman" w:eastAsia="Times New Roman" w:cs="Times New Roman"/>
        </w:rPr>
        <w:t xml:space="preserve"> </w:t>
      </w:r>
      <w:r>
        <w:rPr>
          <w:rFonts w:ascii="Nirmala UI" w:hAnsi="Nirmala UI" w:eastAsia="Nirmala UI" w:cs="Nirmala UI"/>
        </w:rPr>
        <w:t>గుర్తించుచున్నవి</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సారి</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ప్రత్యక్షరూపపు</w:t>
      </w:r>
      <w:r>
        <w:rPr>
          <w:rFonts w:ascii="Times New Roman" w:hAnsi="Times New Roman" w:eastAsia="Times New Roman" w:cs="Times New Roman"/>
        </w:rPr>
        <w:t xml:space="preserve"> </w:t>
      </w:r>
      <w:r>
        <w:rPr>
          <w:rFonts w:ascii="Nirmala UI" w:hAnsi="Nirmala UI" w:eastAsia="Nirmala UI" w:cs="Nirmala UI"/>
        </w:rPr>
        <w:t>దర్శనాన్ని</w:t>
      </w:r>
      <w:r>
        <w:rPr>
          <w:rFonts w:ascii="Times New Roman" w:hAnsi="Times New Roman" w:eastAsia="Times New Roman" w:cs="Times New Roman"/>
        </w:rPr>
        <w:t xml:space="preserve"> </w:t>
      </w:r>
      <w:r>
        <w:rPr>
          <w:rFonts w:ascii="Nirmala UI" w:hAnsi="Nirmala UI" w:eastAsia="Nirmala UI" w:cs="Nirmala UI"/>
        </w:rPr>
        <w:t>గుర్తించేది</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సారి</w:t>
      </w:r>
      <w:r>
        <w:rPr>
          <w:rFonts w:ascii="Times New Roman" w:hAnsi="Times New Roman" w:eastAsia="Times New Roman" w:cs="Times New Roman"/>
        </w:rPr>
        <w:t xml:space="preserve"> </w:t>
      </w:r>
      <w:r>
        <w:rPr>
          <w:rFonts w:ascii="Nirmala UI" w:hAnsi="Nirmala UI" w:eastAsia="Nirmala UI" w:cs="Nirmala UI"/>
        </w:rPr>
        <w:t>స్పృశింపబడెను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tamawt leh mi pakhat, mi anga lang, min rawn khawih leh a, min tihchak e. Daniel 10:18.</w:t>
      </w:r>
    </w:p>
    <w:p>
      <w:pPr>
        <w:pStyle w:val="ArticleBody"/>
        <w:jc w:val="left"/>
      </w:pPr>
      <w:r>
        <w:rPr>
          <w:rFonts w:ascii="Times New Roman" w:hAnsi="Times New Roman" w:eastAsia="Times New Roman" w:cs="Times New Roman"/>
        </w:rPr>
        <w:t>ئىككىنچى قېتىمقى تېگىشتە، ئون ئالتىنچى ئايەتتە، يەنى «ماراھ» كۆرۈنۈشىگە بولغان ئىككىنچى ئىشارەتتە، ئۇنىڭ كۈچى تۈگەيدۇ؛ ئەمما ئۈچىنچى قېتىمقى تېگىشتە، ئۇنىڭ كۈچى قايتا ئەسلىگە كېلىدۇ. ئونىنچى، ئون ئالتىنچى ۋە ئون سەككىزىنچى ئايەتلەردە دانىيالغا تېگىلىدۇ. ئالتىنچى ئايەتتە دانىيال مەسىھنىڭ، ئاندىن جەبرائىلنىڭ كۆرۈنۈشىنى كۆرىدۇ؛ ئونىنچى ئايەتتە بولسا، جەبرائىل دانىيالغا بىرىنچى قېتىم تېگىدۇ.</w:t>
      </w:r>
    </w:p>
    <w:p>
      <w:pPr>
        <w:pStyle w:val="ArticleScripture"/>
        <w:jc w:val="left"/>
      </w:pPr>
      <w:r>
        <w:rPr>
          <w:rFonts w:ascii="Times New Roman" w:hAnsi="Times New Roman" w:eastAsia="Times New Roman" w:cs="Times New Roman"/>
        </w:rPr>
        <w:t>Chaymantata oqarirqani hawanpi ñawiykuna hoqarirqani, qhawarirqanitaq; hinaspan ricurqan huk qhari linu p’achawan p’achallisqa, sikinpi Uphazmanta sumaq qoriwan chumpisqa. Cuerponpas berilo rumi hina karqan, uyanpas illapa rikch’aynin hina; ñawinkunapas nina rawray hina, rikrankunapas chakinpas lliphisqa bronciyman rikch’akuq; simin rimayninkunapas achka runakunaq rimaynin hina karqan. Ñoqa Daniel sapallaymi chay visiónta rikurqani; ñoqawan kuska kaq runakunaqa manan visiónta rikurqankuchu. Ichaqa hatun chukchuy paykunaman urmaykurqan, chaymi pakakuyta ayqekurqanku. Chayraykun sapallayta saqesqa qhepakurqani, hinaspan kay hatun visiónta rikurqani; manataqmi kallpaqa noqapi qhepakurqanchu. Sumaq kayniypas uqlluy tukuspa tikrarikamurqan, manataqmi ima kallpatapas waqaycharqanichu.</w:t>
      </w:r>
    </w:p>
    <w:p>
      <w:pPr>
        <w:pStyle w:val="ArticleScripture"/>
        <w:jc w:val="left"/>
      </w:pPr>
      <w:r>
        <w:rPr>
          <w:rFonts w:ascii="Nirmala UI" w:hAnsi="Nirmala UI" w:eastAsia="Nirmala UI" w:cs="Nirmala UI"/>
        </w:rPr>
        <w:t>अथ</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श्रुतः</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श्रुत्वा</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मुखेन</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गाढनिद्रायां</w:t>
      </w:r>
      <w:r>
        <w:rPr>
          <w:rFonts w:ascii="Times New Roman" w:hAnsi="Times New Roman" w:eastAsia="Times New Roman" w:cs="Times New Roman"/>
        </w:rPr>
        <w:t xml:space="preserve"> </w:t>
      </w:r>
      <w:r>
        <w:rPr>
          <w:rFonts w:ascii="Nirmala UI" w:hAnsi="Nirmala UI" w:eastAsia="Nirmala UI" w:cs="Nirmala UI"/>
        </w:rPr>
        <w:t>निमग्नोऽभवम्।</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पश्य</w:t>
      </w:r>
      <w:r>
        <w:rPr>
          <w:rFonts w:ascii="Times New Roman" w:hAnsi="Times New Roman" w:eastAsia="Times New Roman" w:cs="Times New Roman"/>
        </w:rPr>
        <w:t xml:space="preserve">, </w:t>
      </w:r>
      <w:r>
        <w:rPr>
          <w:rFonts w:ascii="Nirmala UI" w:hAnsi="Nirmala UI" w:eastAsia="Nirmala UI" w:cs="Nirmala UI"/>
        </w:rPr>
        <w:t>कश्चिद्</w:t>
      </w:r>
      <w:r>
        <w:rPr>
          <w:rFonts w:ascii="Times New Roman" w:hAnsi="Times New Roman" w:eastAsia="Times New Roman" w:cs="Times New Roman"/>
        </w:rPr>
        <w:t xml:space="preserve"> </w:t>
      </w:r>
      <w:r>
        <w:rPr>
          <w:rFonts w:ascii="Nirmala UI" w:hAnsi="Nirmala UI" w:eastAsia="Nirmala UI" w:cs="Nirmala UI"/>
        </w:rPr>
        <w:t>हस्तः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स्पृष्टवान्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जानुभ्यां</w:t>
      </w:r>
      <w:r>
        <w:rPr>
          <w:rFonts w:ascii="Times New Roman" w:hAnsi="Times New Roman" w:eastAsia="Times New Roman" w:cs="Times New Roman"/>
        </w:rPr>
        <w:t xml:space="preserve"> </w:t>
      </w:r>
      <w:r>
        <w:rPr>
          <w:rFonts w:ascii="Nirmala UI" w:hAnsi="Nirmala UI" w:eastAsia="Nirmala UI" w:cs="Nirmala UI"/>
        </w:rPr>
        <w:t>हस्ततलाभ्यां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उत्थापितवान्।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अवदत्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अतिप्रिय</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तुभ्यं</w:t>
      </w:r>
      <w:r>
        <w:rPr>
          <w:rFonts w:ascii="Times New Roman" w:hAnsi="Times New Roman" w:eastAsia="Times New Roman" w:cs="Times New Roman"/>
        </w:rPr>
        <w:t xml:space="preserve"> </w:t>
      </w:r>
      <w:r>
        <w:rPr>
          <w:rFonts w:ascii="Nirmala UI" w:hAnsi="Nirmala UI" w:eastAsia="Nirmala UI" w:cs="Nirmala UI"/>
        </w:rPr>
        <w:t>वदामि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बोधस्व</w:t>
      </w:r>
      <w:r>
        <w:rPr>
          <w:rFonts w:ascii="Times New Roman" w:hAnsi="Times New Roman" w:eastAsia="Times New Roman" w:cs="Times New Roman"/>
        </w:rPr>
        <w:t xml:space="preserve">, </w:t>
      </w:r>
      <w:r>
        <w:rPr>
          <w:rFonts w:ascii="Nirmala UI" w:hAnsi="Nirmala UI" w:eastAsia="Nirmala UI" w:cs="Nirmala UI"/>
        </w:rPr>
        <w:t>सम्यगुत्तिष्ठ</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इदानीं</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समीपं</w:t>
      </w:r>
      <w:r>
        <w:rPr>
          <w:rFonts w:ascii="Times New Roman" w:hAnsi="Times New Roman" w:eastAsia="Times New Roman" w:cs="Times New Roman"/>
        </w:rPr>
        <w:t xml:space="preserve"> </w:t>
      </w:r>
      <w:r>
        <w:rPr>
          <w:rFonts w:ascii="Nirmala UI" w:hAnsi="Nirmala UI" w:eastAsia="Nirmala UI" w:cs="Nirmala UI"/>
        </w:rPr>
        <w:t>प्रेषितोऽस्मि।</w:t>
      </w:r>
      <w:r>
        <w:rPr>
          <w:rFonts w:ascii="Times New Roman" w:hAnsi="Times New Roman" w:eastAsia="Times New Roman" w:cs="Times New Roman"/>
        </w:rPr>
        <w:t xml:space="preserve"> </w:t>
      </w:r>
      <w:r>
        <w:rPr>
          <w:rFonts w:ascii="Nirmala UI" w:hAnsi="Nirmala UI" w:eastAsia="Nirmala UI" w:cs="Nirmala UI"/>
        </w:rPr>
        <w:t>एतद्वचनं</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वेपमानः</w:t>
      </w:r>
      <w:r>
        <w:rPr>
          <w:rFonts w:ascii="Times New Roman" w:hAnsi="Times New Roman" w:eastAsia="Times New Roman" w:cs="Times New Roman"/>
        </w:rPr>
        <w:t xml:space="preserve"> </w:t>
      </w:r>
      <w:r>
        <w:rPr>
          <w:rFonts w:ascii="Nirmala UI" w:hAnsi="Nirmala UI" w:eastAsia="Nirmala UI" w:cs="Nirmala UI"/>
        </w:rPr>
        <w:t>स्थितवान्।</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अवदत्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यस्मिन्</w:t>
      </w:r>
      <w:r>
        <w:rPr>
          <w:rFonts w:ascii="Times New Roman" w:hAnsi="Times New Roman" w:eastAsia="Times New Roman" w:cs="Times New Roman"/>
        </w:rPr>
        <w:t xml:space="preserve"> </w:t>
      </w:r>
      <w:r>
        <w:rPr>
          <w:rFonts w:ascii="Nirmala UI" w:hAnsi="Nirmala UI" w:eastAsia="Nirmala UI" w:cs="Nirmala UI"/>
        </w:rPr>
        <w:t>प्रथमदिने</w:t>
      </w:r>
      <w:r>
        <w:rPr>
          <w:rFonts w:ascii="Times New Roman" w:hAnsi="Times New Roman" w:eastAsia="Times New Roman" w:cs="Times New Roman"/>
        </w:rPr>
        <w:t xml:space="preserve"> </w:t>
      </w:r>
      <w:r>
        <w:rPr>
          <w:rFonts w:ascii="Nirmala UI" w:hAnsi="Nirmala UI" w:eastAsia="Nirmala UI" w:cs="Nirmala UI"/>
        </w:rPr>
        <w:t>त्वया</w:t>
      </w:r>
      <w:r>
        <w:rPr>
          <w:rFonts w:ascii="Times New Roman" w:hAnsi="Times New Roman" w:eastAsia="Times New Roman" w:cs="Times New Roman"/>
        </w:rPr>
        <w:t xml:space="preserve"> </w:t>
      </w:r>
      <w:r>
        <w:rPr>
          <w:rFonts w:ascii="Nirmala UI" w:hAnsi="Nirmala UI" w:eastAsia="Nirmala UI" w:cs="Nirmala UI"/>
        </w:rPr>
        <w:t>अवगन्तुं</w:t>
      </w:r>
      <w:r>
        <w:rPr>
          <w:rFonts w:ascii="Times New Roman" w:hAnsi="Times New Roman" w:eastAsia="Times New Roman" w:cs="Times New Roman"/>
        </w:rPr>
        <w:t xml:space="preserve"> </w:t>
      </w:r>
      <w:r>
        <w:rPr>
          <w:rFonts w:ascii="Nirmala UI" w:hAnsi="Nirmala UI" w:eastAsia="Nirmala UI" w:cs="Nirmala UI"/>
        </w:rPr>
        <w:t>स्वहृदयं</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स्वदेवस्य</w:t>
      </w:r>
      <w:r>
        <w:rPr>
          <w:rFonts w:ascii="Times New Roman" w:hAnsi="Times New Roman" w:eastAsia="Times New Roman" w:cs="Times New Roman"/>
        </w:rPr>
        <w:t xml:space="preserve"> </w:t>
      </w:r>
      <w:r>
        <w:rPr>
          <w:rFonts w:ascii="Nirmala UI" w:hAnsi="Nirmala UI" w:eastAsia="Nirmala UI" w:cs="Nirmala UI"/>
        </w:rPr>
        <w:t>सन्निधौ</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तस्मिन्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श्रुतानि</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वचनानिमित्तं</w:t>
      </w:r>
      <w:r>
        <w:rPr>
          <w:rFonts w:ascii="Times New Roman" w:hAnsi="Times New Roman" w:eastAsia="Times New Roman" w:cs="Times New Roman"/>
        </w:rPr>
        <w:t xml:space="preserve"> </w:t>
      </w:r>
      <w:r>
        <w:rPr>
          <w:rFonts w:ascii="Nirmala UI" w:hAnsi="Nirmala UI" w:eastAsia="Nirmala UI" w:cs="Nirmala UI"/>
        </w:rPr>
        <w:t>चाहमागतः।</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पारस्य</w:t>
      </w:r>
      <w:r>
        <w:rPr>
          <w:rFonts w:ascii="Times New Roman" w:hAnsi="Times New Roman" w:eastAsia="Times New Roman" w:cs="Times New Roman"/>
        </w:rPr>
        <w:t xml:space="preserve"> </w:t>
      </w:r>
      <w:r>
        <w:rPr>
          <w:rFonts w:ascii="Nirmala UI" w:hAnsi="Nirmala UI" w:eastAsia="Nirmala UI" w:cs="Nirmala UI"/>
        </w:rPr>
        <w:t>राज्यस्य</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एकविंशतिदिनानि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कृतवान्</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पश्य</w:t>
      </w:r>
      <w:r>
        <w:rPr>
          <w:rFonts w:ascii="Times New Roman" w:hAnsi="Times New Roman" w:eastAsia="Times New Roman" w:cs="Times New Roman"/>
        </w:rPr>
        <w:t xml:space="preserve">, </w:t>
      </w:r>
      <w:r>
        <w:rPr>
          <w:rFonts w:ascii="Nirmala UI" w:hAnsi="Nirmala UI" w:eastAsia="Nirmala UI" w:cs="Nirmala UI"/>
        </w:rPr>
        <w:t>मुख्यप्रधानानामेकः</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साहाय्यार्थमागतः</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पारस्य</w:t>
      </w:r>
      <w:r>
        <w:rPr>
          <w:rFonts w:ascii="Times New Roman" w:hAnsi="Times New Roman" w:eastAsia="Times New Roman" w:cs="Times New Roman"/>
        </w:rPr>
        <w:t xml:space="preserve"> </w:t>
      </w:r>
      <w:r>
        <w:rPr>
          <w:rFonts w:ascii="Nirmala UI" w:hAnsi="Nirmala UI" w:eastAsia="Nirmala UI" w:cs="Nirmala UI"/>
        </w:rPr>
        <w:t>राजभिः</w:t>
      </w:r>
      <w:r>
        <w:rPr>
          <w:rFonts w:ascii="Times New Roman" w:hAnsi="Times New Roman" w:eastAsia="Times New Roman" w:cs="Times New Roman"/>
        </w:rPr>
        <w:t xml:space="preserve"> </w:t>
      </w:r>
      <w:r>
        <w:rPr>
          <w:rFonts w:ascii="Nirmala UI" w:hAnsi="Nirmala UI" w:eastAsia="Nirmala UI" w:cs="Nirmala UI"/>
        </w:rPr>
        <w:t>सहावशिष्टः।</w:t>
      </w:r>
      <w:r>
        <w:rPr>
          <w:rFonts w:ascii="Times New Roman" w:hAnsi="Times New Roman" w:eastAsia="Times New Roman" w:cs="Times New Roman"/>
        </w:rPr>
        <w:t xml:space="preserve"> </w:t>
      </w:r>
      <w:r>
        <w:rPr>
          <w:rFonts w:ascii="Nirmala UI" w:hAnsi="Nirmala UI" w:eastAsia="Nirmala UI" w:cs="Nirmala UI"/>
        </w:rPr>
        <w:t>इदानीं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बोधनाय</w:t>
      </w:r>
      <w:r>
        <w:rPr>
          <w:rFonts w:ascii="Times New Roman" w:hAnsi="Times New Roman" w:eastAsia="Times New Roman" w:cs="Times New Roman"/>
        </w:rPr>
        <w:t xml:space="preserve"> </w:t>
      </w:r>
      <w:r>
        <w:rPr>
          <w:rFonts w:ascii="Nirmala UI" w:hAnsi="Nirmala UI" w:eastAsia="Nirmala UI" w:cs="Nirmala UI"/>
        </w:rPr>
        <w:t>आगतः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उत्तरकाले</w:t>
      </w:r>
      <w:r>
        <w:rPr>
          <w:rFonts w:ascii="Times New Roman" w:hAnsi="Times New Roman" w:eastAsia="Times New Roman" w:cs="Times New Roman"/>
        </w:rPr>
        <w:t xml:space="preserve"> </w:t>
      </w:r>
      <w:r>
        <w:rPr>
          <w:rFonts w:ascii="Nirmala UI" w:hAnsi="Nirmala UI" w:eastAsia="Nirmala UI" w:cs="Nirmala UI"/>
        </w:rPr>
        <w:t>तव</w:t>
      </w:r>
      <w:r>
        <w:rPr>
          <w:rFonts w:ascii="Times New Roman" w:hAnsi="Times New Roman" w:eastAsia="Times New Roman" w:cs="Times New Roman"/>
        </w:rPr>
        <w:t xml:space="preserve"> </w:t>
      </w:r>
      <w:r>
        <w:rPr>
          <w:rFonts w:ascii="Nirmala UI" w:hAnsi="Nirmala UI" w:eastAsia="Nirmala UI" w:cs="Nirmala UI"/>
        </w:rPr>
        <w:t>प्रजायाः</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एषा</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अद्यापि</w:t>
      </w:r>
      <w:r>
        <w:rPr>
          <w:rFonts w:ascii="Times New Roman" w:hAnsi="Times New Roman" w:eastAsia="Times New Roman" w:cs="Times New Roman"/>
        </w:rPr>
        <w:t xml:space="preserve"> </w:t>
      </w:r>
      <w:r>
        <w:rPr>
          <w:rFonts w:ascii="Nirmala UI" w:hAnsi="Nirmala UI" w:eastAsia="Nirmala UI" w:cs="Nirmala UI"/>
        </w:rPr>
        <w:t>बहुदिनानन्तरं</w:t>
      </w:r>
      <w:r>
        <w:rPr>
          <w:rFonts w:ascii="Times New Roman" w:hAnsi="Times New Roman" w:eastAsia="Times New Roman" w:cs="Times New Roman"/>
        </w:rPr>
        <w:t xml:space="preserve"> </w:t>
      </w:r>
      <w:r>
        <w:rPr>
          <w:rFonts w:ascii="Nirmala UI" w:hAnsi="Nirmala UI" w:eastAsia="Nirmala UI" w:cs="Nirmala UI"/>
        </w:rPr>
        <w:t>फलिता</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10:5–14</w:t>
      </w:r>
      <w:r>
        <w:rPr>
          <w:rFonts w:ascii="Nirmala UI" w:hAnsi="Nirmala UI" w:eastAsia="Nirmala UI" w:cs="Nirmala UI"/>
        </w:rPr>
        <w:t>।</w:t>
      </w:r>
    </w:p>
    <w:p>
      <w:pPr>
        <w:pStyle w:val="ArticleBody"/>
        <w:jc w:val="left"/>
      </w:pPr>
      <w:r>
        <w:rPr>
          <w:rFonts w:ascii="Times New Roman" w:hAnsi="Times New Roman" w:eastAsia="Times New Roman" w:cs="Times New Roman"/>
        </w:rPr>
        <w:t>Taqa dieciséispe, Danielpe segunda vezpe toquna kan, Cristopa visiónninta rikushqanrayku.</w:t>
      </w:r>
    </w:p>
    <w:p>
      <w:pPr>
        <w:pStyle w:val="ArticleScripture"/>
        <w:jc w:val="left"/>
      </w:pPr>
      <w:r>
        <w:rPr>
          <w:rFonts w:ascii="Times New Roman" w:hAnsi="Times New Roman" w:eastAsia="Times New Roman" w:cs="Times New Roman"/>
        </w:rPr>
        <w:t>تىشىندە ئۇ ماڭا شۇنداق سۆزلەرنى قىلغاندا، مەن يۈزۈمنى يەرگە قارىتتىم ۋە گەپسىز قالدىم. ۋە مانا، ئىنسان ئوغۇللىرىنىڭ ئوخشىشىغا ئوخشايدىغان بىرى لەۋلىرىمگە تەگدى؛ شۇنىڭدىن كېيىن مەن ئاغزىمنى ئېچىپ سۆزلەپ، ئالدىمدا تۇرغان كىشىگە: ئەي خوجام، بۇ كۆرۈنۈش سەۋەبىدىن ئازابلىرىم ئۈستۈمگە قايتىپ كەلدى، مەن ھېچقانداق كۈچ ساقلاپ قالالمىدىم، دېدىم. چۈنكى بۇ خوجامنىڭ خىزمەتكارى بۇ خوجام بىلەن قانداق سۆزلىشەلەيدۇ؟ چۈنكى ماڭا كەلسەك، دەرھال مەندە ھېچقانداق كۈچ قالمىدى، ھەتتا مەندە نەپەسمۇ قالمىدى. دانيال 10:15–17.</w:t>
      </w:r>
    </w:p>
    <w:p>
      <w:pPr>
        <w:pStyle w:val="ArticleBody"/>
        <w:jc w:val="left"/>
      </w:pPr>
      <w:r>
        <w:rPr>
          <w:rFonts w:ascii="Times New Roman" w:hAnsi="Times New Roman" w:eastAsia="Times New Roman" w:cs="Times New Roman"/>
        </w:rPr>
        <w:t>Eppaas Daaniyeel yeroo sadaffaatiif tuqame, yeroo Gabri’eel mul’atutti, Kiristoos miti.</w:t>
      </w:r>
    </w:p>
    <w:p>
      <w:pPr>
        <w:pStyle w:val="ArticleScripture"/>
        <w:jc w:val="left"/>
      </w:pPr>
      <w:r>
        <w:rPr>
          <w:rFonts w:ascii="Times New Roman" w:hAnsi="Times New Roman" w:eastAsia="Times New Roman" w:cs="Times New Roman"/>
        </w:rPr>
        <w:t>U dîsa yek wekî di xuyangê mirovekî de hat û dest li min da, û ew min hêz kir. Û got: Ey mirovê gelek hezkirî, netirse; aşitî li ser te be; xurt be, erê, xurt be. Û gava ku ew bi min re axivî, ez hêz bûm û min got: Bila axayê min biaxive; çimkî te ez hêz kirim. Paşê ew got: Ma tu dizanî ez ji bo çi hatime cem te? Û niha ez ê vegerim ku bi serokê Farisî re şer bikim; û gava ku ez derkevim, va ye, serokê Yewnanistanê dê were. Lê ez ê nîşanî te bidim ew tiştê ku di nivîsa rastiyê de hatî tomar kirin; û di van tiştan de kesek bi min re namîne, ji bilî Mîxael, serokê we. Daniel 10:18–21.</w:t>
      </w:r>
    </w:p>
    <w:p>
      <w:pPr>
        <w:pStyle w:val="ArticleBody"/>
        <w:jc w:val="left"/>
      </w:pPr>
      <w:r>
        <w:rPr>
          <w:rFonts w:ascii="Times New Roman" w:hAnsi="Times New Roman" w:eastAsia="Times New Roman" w:cs="Times New Roman"/>
        </w:rPr>
        <w:t>دانیال سه بار لمس می‌شود، و بار نخست و سوم، فرشتهٔ جبرائیل او را لمس می‌کند. بار دوم که لمس می‌شود، این لمس به‌وسیلهٔ مسیح است. دانیال همان واژهٔ عبری را چهار بار به کار برد، اما در نخستینِ آن چهار مورد، در آیهٔ نخست، بیان می‌کرد که «رؤیا» را فهمیده بود. فهمیدنِ یک حقیقت مهم است، اما همانند تجربه کردنِ آن حقیقت نیست، چنان‌که او در آن سه بارِ دیگر تجربه کرد.</w:t>
      </w:r>
    </w:p>
    <w:p>
      <w:pPr>
        <w:pStyle w:val="ArticleBody"/>
        <w:jc w:val="left"/>
      </w:pPr>
      <w:r>
        <w:rPr>
          <w:rFonts w:ascii="Times New Roman" w:hAnsi="Times New Roman" w:eastAsia="Times New Roman" w:cs="Times New Roman"/>
        </w:rPr>
        <w:t>ڭە قەمكىنىدىڭ كۈنلىرى ئاخىرلاشقاندا، ئۇ قەمىنىڭ كۈنلىرى تامام بولۇشتىن بۇرۇنلا چۈشەنچىگە ئىگە بولغان شۇ كۆرۈنۈشنىڭ بىر تەجرىبىسى ئۇنىڭغا بېرىلدى. بۇ تەجرىبە ئۈچ قەدەمدىن تەركىب تاپقان بولۇپ، ئۇلار ئۈچ قېتىملىق تېگىش ئارقىلىق ئىپادىلەنگەن. بىرىنچى ۋە ئاخىرقى تېگىشلەر جىبرايىل تەرىپىدىن ئەمەلگە ئاشۇرۇلدى، ئوتتۇرىدىكى تېگىش بولسا مەسىھ تەرىپىدىن بولدى. بىرىنچى ۋە ئاخىرقى تېگىشلەر ئىبرانىي ئەلىپباسىنىڭ بىرىنچى ۋە ئاخىرقى ھەرپلىرى ئىدى. شۇ ئىككىنچى قەدەمدە، دانىيال ئۆز ھالىتىنى ئۆز رەبىگە قارشى باش كۆتۈرگەن گۇناھكار سۈپىتىدە تونۇيدۇ؛ شۇڭا ئوتتۇرىدىكى تېگىش، ئىبرانىي ئەلىپباسىنىڭ ئون ئۈچىنچى ھەرپى بىلەن ئىپادىلەنگەن باش كۆتۈرۈشنى بىلدۈرىدۇ.</w:t>
      </w:r>
    </w:p>
    <w:p>
      <w:pPr>
        <w:pStyle w:val="ArticleScripture"/>
        <w:jc w:val="left"/>
      </w:pPr>
      <w:r>
        <w:rPr>
          <w:rFonts w:ascii="Times New Roman" w:hAnsi="Times New Roman" w:eastAsia="Times New Roman" w:cs="Times New Roman"/>
        </w:rPr>
        <w:t>«Шимъон Петръ иси, кораблите или товара не помнеше вече. Това чудо, повече от всяко друго, на което нѣкога бѣлъ свидѣтель, бѣше за него явление на Божествена сила. Въ Иисусъ той видѣ Единъ, Който държеше цѣлата природа подъ Своята власть. Присѫтствието на Божествеността му откри неговата собствена несвятость. Любовь къмъ неговия Учитель, срамъ за собственото му невѣрие, благодарность за снизхождението на Христа, и най-вече съзнанието за неговата нечистота въ присѫтствието на безконечна чистота, го поразиха. Докато другаритѣ му осигуряваха съдържанието на мрежата, Петръ падна при нозетѣ на Спасителя и извика: „Иди си отъ мене; защото съмъ грѣшенъ човѣкъ, Господи.“»</w:t>
      </w:r>
    </w:p>
    <w:p>
      <w:pPr>
        <w:pStyle w:val="ArticleScripture"/>
        <w:jc w:val="left"/>
      </w:pPr>
      <w:r>
        <w:rPr>
          <w:rFonts w:ascii="Times New Roman" w:hAnsi="Times New Roman" w:eastAsia="Times New Roman" w:cs="Times New Roman"/>
        </w:rPr>
        <w:t>«Ուրեմն նույն աստվածային սրբության ներկայությունն էր, որ Աստծու հրեշտակի առաջ մարգարե Դանիելին մեռածի պես ընկնել էր տվել։ Նա ասաց. «Իմ վայելչությունը փչացմունքի փոխվեց իմ մեջ, և ես ոչ մի զորություն չպահեցի»։ Այսպես էլ, երբ Եսային տեսավ Տիրոջ փառքը, բացականչեց. «Վա՜յ ինձ, որովհետև ես կորա՛ծ եմ, որովհետև ես անմաքուր շուրթերով մարդ եմ, և բնակվում եմ անմաքուր շուրթերով ժողովրդի մեջ. որովհետև իմ աչքերը տեսան Թագավորին, Զորաց Տիրոջը»։ Դանիել 10։8, Եսայիա 6։5։ Մարդկությունը՝ իր տկարությամբ և մեղքով, հակադրվեց աստվածության կատարելությանը, և նա իրեն զգաց բոլորովին անբավարար ու անսուրբ։ Այսպես է եղել բոլոր նրանց հետ, որոնց շնորհվել է տեսնել Աստծու մեծությունն ու վեհությունը»։</w:t>
      </w:r>
    </w:p>
    <w:p>
      <w:pPr>
        <w:pStyle w:val="ArticleScripture"/>
        <w:jc w:val="left"/>
      </w:pPr>
      <w:r>
        <w:rPr>
          <w:rFonts w:ascii="Times New Roman" w:hAnsi="Times New Roman" w:eastAsia="Times New Roman" w:cs="Times New Roman"/>
        </w:rPr>
        <w:t>«Петр воскликнул: „Отойди от меня, ибо я человек грешный“; однако он припал к ногам Иисуса, чувствуя, что не может быть разлучен с Ним. Спаситель ответил: „Не бойся; отныне будешь ловить человеков“. Лишь после того, как Исаия узрел святость Бога и собственное недостоинство, ему было вверено Божественное послание. Лишь после того, как Петр был приведен к самоотречению и к зависимости от Божественной силы, он получил призыв к своему труду для Христа». The Desire of Ages, 246.</w:t>
      </w:r>
    </w:p>
    <w:p>
      <w:pPr>
        <w:pStyle w:val="ArticleBody"/>
        <w:jc w:val="left"/>
      </w:pPr>
      <w:r>
        <w:rPr>
          <w:rFonts w:ascii="Times New Roman" w:hAnsi="Times New Roman" w:eastAsia="Times New Roman" w:cs="Times New Roman"/>
        </w:rPr>
        <w:t>رؤیای «mareh» رؤیای ظهور مسیح است، اما فرشتهٔ جبرئیل به‌واسطهٔ دومین و چهارمین باری که دانیال این واژه را به کار برد، معرفی می‌شود. بار نخست، بیانگر آن بود که بلطشصر رؤیا را درک کرد، اما سه مورد پایانی دلالت بر آن دارند که دانیال خود رؤیا را تجربه می‌کرد. در هر سه بار که دانیال رؤیا را تجربه می‌کند، او نیز لمس می‌شود.</w:t>
      </w:r>
    </w:p>
    <w:p>
      <w:pPr>
        <w:pStyle w:val="ArticleBody"/>
        <w:jc w:val="left"/>
      </w:pPr>
      <w:r>
        <w:rPr>
          <w:rFonts w:ascii="Times New Roman" w:hAnsi="Times New Roman" w:eastAsia="Times New Roman" w:cs="Times New Roman"/>
        </w:rPr>
        <w:t>تە ئالхы ҿынтӏыгь Гавриил ӏыхьаз, лъаІыгь хьалха Христос и шавкьатлы къыяфатыгь къарагъандагьа, ва бу теджрибе оны «бетім бен, ерге къарап, дерин уйкуга» салды. Көрүниш айырылыкъ хасил этти, чүнки онынъ янында оланлар «көрүнишни көрмедилер; амма үстлерине буюк титреме тюшти, о себебтен качып сакъланмагъа кеттилер». Биринҗи хаял-кырыкълыгъында, Йеремия «Аллахнынъ эли себебинен ялгъыз отырды», ве Белтешаццаарда «къуввет къалмады», «чүнки» онынъ «гүзеллиги ичимде боzulушкъа айланды, ве» о «къуввет сақламadı».</w:t>
      </w:r>
    </w:p>
    <w:p>
      <w:pPr>
        <w:pStyle w:val="ArticleBody"/>
        <w:jc w:val="left"/>
      </w:pPr>
      <w:r>
        <w:rPr>
          <w:rFonts w:ascii="Times New Roman" w:hAnsi="Times New Roman" w:eastAsia="Times New Roman" w:cs="Times New Roman"/>
        </w:rPr>
        <w:t>Gabriel ukay apaqxaruwaya, Danielta qonqorinkunaman hinaspa makinkunapa t’aqllankunaman tiyachirqan. Chaymanta Danielta kamachirqan rimarisqan simikunata entiendenanpaq hinaspa sayarinanpaq; payqa chayta ruwarqan, ichaqa katkatashaq. Chaymanta Gabrielqa Danielman sut’incharqan imachus Danielpa llakikuyninpa iskay chunka hukniyuq p’unchaykunapi pasasqanta. Riqsichirqanmi Persia nacionpa reykunawan iskay chunka hukniyuq p’unchaykama maqanakusqan qhepaman, Michael hanaq pachamanta uraykamuspa chay maqanakuyman yaykusqanta; hinaspataq Gabriel hamusqa Danielpa mañakusqankunata kutichinanpaq hinaspa Danielman sut’inchananpaq “imachus qampa llaqtaykikunaman qhepa p’unchaykunapi pasanan.” Michael hanaq pachamanta uraykamusqan pacha, Gabrielqa kachkasqa Danielman qhepa p’unchaykunata sut’inchananpaq.</w:t>
      </w:r>
    </w:p>
    <w:p>
      <w:pPr>
        <w:pStyle w:val="ArticleBody"/>
        <w:jc w:val="left"/>
      </w:pPr>
      <w:r>
        <w:rPr>
          <w:rFonts w:ascii="Times New Roman" w:hAnsi="Times New Roman" w:eastAsia="Times New Roman" w:cs="Times New Roman"/>
        </w:rPr>
        <w:t>تفسير جبرائيل أُعطيَ لدانيال في نهاية الأيام الإحدى والعشرين من النوح، التي تمثّل، في تطبيق «سطرًا على سطر» لسفر الرؤيا الأصحاح الحادي عشر، الوقتَ الذي يُؤمَر فيه حزقيال في الأصحاح السابع والثلاثين مرّتين أن يتنبأ للعظام اليابسة، لكي يُقيم النبيَّين من قبريهما. ويحدث ذلك حين ينزل ميخائيل من السماء ويقيم جسد موسى، بينما يرفض أن يتعامل مع الشيطان في رسالة يهوذا. ولا يزال دانيال سَيُلمَس مرّتين أخريين بعد أن كان جبرائيل قد أعطاه العرضَ العام لأيام النوح.</w:t>
      </w:r>
    </w:p>
    <w:p>
      <w:pPr>
        <w:pStyle w:val="ArticleBody"/>
        <w:jc w:val="left"/>
      </w:pPr>
      <w:r>
        <w:rPr>
          <w:rFonts w:ascii="Times New Roman" w:hAnsi="Times New Roman" w:eastAsia="Times New Roman" w:cs="Times New Roman"/>
        </w:rPr>
        <w:t>Gabriel gɔsə mbar, Daniel, “aŋ məri ɗuk mə kəji, təŋa a bələŋ kəŋ,” ndəŋa Christ fəŋ “la” “bək Daniel,” ndəŋa Daniel “vəŋ” “wunəŋa, a məŋ, a cə məri ɓəŋa kəneŋa məri kəŋ, O məri gəŋ, tə viʒɔŋ, məri-səŋga gəŋ a hədəŋ məri, ndəŋa ndziŋ kəŋa səŋga ko. Kə aŋ məri kəneŋa gəŋ a cə məri gəŋ kəneŋa gəŋ nə? kə asəŋ məri, ndəŋa-nəŋ səŋga ko a kəŋ məri, ndəŋa fəŋa ndef ko a kəŋ məri.”</w:t>
      </w:r>
    </w:p>
    <w:p>
      <w:pPr>
        <w:pStyle w:val="ArticleBody"/>
        <w:jc w:val="left"/>
      </w:pPr>
      <w:r>
        <w:rPr>
          <w:rFonts w:ascii="Times New Roman" w:hAnsi="Times New Roman" w:eastAsia="Times New Roman" w:cs="Times New Roman"/>
        </w:rPr>
        <w:t>مەسیحنى كۆرۈپ، ئۇنىڭ بىلەن سۆزلەشكەن بۇ تەجرىبە دانيالنى تۇپراققاچە كەمتەرلەشتۈردى. ئۇ گەپ قىلالمايدىغان ھالغا چۈشتى، ۋە ئەگەر مەسىح ئۇنىڭ لەۋلىرىگە تېگىپ قويمىغان بولسا، ئۇ شۇنداقلا قېلىپ قالغان بولاتتى؛ خۇددى ئىسايانىڭ لەۋلىرىنىڭ قۇربانگاھتىن ئېلىنغان كۆمۈر بىلەن تەگكۈزۈلگىنىدەك.</w:t>
      </w:r>
    </w:p>
    <w:p>
      <w:pPr>
        <w:pStyle w:val="ArticleBody"/>
        <w:jc w:val="left"/>
      </w:pPr>
      <w:r>
        <w:rPr>
          <w:rFonts w:ascii="Times New Roman" w:hAnsi="Times New Roman" w:eastAsia="Times New Roman" w:cs="Times New Roman"/>
        </w:rPr>
        <w:t>Byddwn yn parhau â’r astudiaeth hon yn yr erthygl nesaf.</w:t>
      </w:r>
    </w:p>
    <w:p>
      <w:pPr>
        <w:pStyle w:val="ArticleScripture"/>
        <w:jc w:val="left"/>
      </w:pPr>
      <w:r>
        <w:rPr>
          <w:rFonts w:ascii="Times New Roman" w:hAnsi="Times New Roman" w:eastAsia="Times New Roman" w:cs="Times New Roman"/>
        </w:rPr>
        <w:t>“Ҳәввәр Өзиниң Рәббисиниң шәни-шәрпи вә улуқлуғиниң бу аянни көргәндә, у Худаниң пакизилиқи вә муқәддәслиги алдида чексиз дәриҗидә һәйран қалди. Униң Яратқучисиниң тәңдиши йоқ камалити билән, өзи қошулуп узун вақитлардин буян Исраил билән Йәһудадики талланған хәлиқ қатарида санилип кәлгәнләрниң гунакарлиқ йолиниң арисидики пәрқ нәқәдәр кәскин еди! «Вай маңа!» дәп пәряд қилди у; «чүнки мән һалак болдум; чүнки мән напак ләвлик бир адәммән, вә мән напак ләвлик бир хәлиқниң арисида туруватимән; чүнки мениң көзлирим Падишаһни, қошунларниң Пәрвәрдигарини көрди.» 5-айәт. У худди ички муқәддәс җайда илаһий һузурниң толуқ нури ичидә турғандәк, әгәр өз камалсизлиғи вә аҗизлиғи билән өзигә ташлинип қалса, өзи чақирилған вәзипини ада қилишқа мутләқ қадир болмайдиғанлиғини тонуп йәтти. Лекин униң дәрдини йоқитиш вә уни улуқ вәзиписи үчүн лайиқ қилиш үчүн бир сераф әвәтилди. Қурбангаһтин елинған тирик көмүр униң ләвлиригә тәккүзүлүп, мундақ дейилди: «Мана, бу сениң ләвлириңгә тәкти; вә сениң қәбиһлигиң елип ташланди, вә гунаһиң пакланди.» Андин Худаниң авази аңлинип мундақ деди: «Мән кимни әвәтәй, вә биз үчүн ким бариду?» вә Һәввәр җавап берип: «Мана мән, мени әвәткин,» деди. 7, 8-айәтләр.”</w:t>
      </w:r>
    </w:p>
    <w:p>
      <w:pPr>
        <w:pStyle w:val="ArticleScripture"/>
        <w:jc w:val="left"/>
      </w:pPr>
      <w:r>
        <w:rPr>
          <w:rFonts w:ascii="Times New Roman" w:hAnsi="Times New Roman" w:eastAsia="Times New Roman" w:cs="Times New Roman"/>
        </w:rPr>
        <w:t>سېنبلاي مېلمانه د تمه‌کوونکي پيغام‌وړونکي ته وفرمايل: «ولاړ شه، او دې ولس ته ووايه: په رښتيا واورئ، خو مه پوهېږئ؛ او په رښتيا ووينئ، خو مه درک کوئ. د دې ولس زړه چاغ کړه، او د هغوی غوږونه درانه کړه، او سترګې يې پټې کړه؛ هسې نه چې په خپلو سترګو وويني، او په خپلو غوږونو واوري، او په خپل زړه پوه شي، او راوګرځي، او روغ شي.» آيتونه ۹، ۱۰.</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先知的本分乃是明白的</w:t>
      </w:r>
      <w:r>
        <w:rPr>
          <w:rFonts w:ascii="Times New Roman" w:hAnsi="Times New Roman" w:eastAsia="Times New Roman" w:cs="Times New Roman"/>
        </w:rPr>
        <w:t>;</w:t>
      </w:r>
      <w:r>
        <w:rPr>
          <w:rFonts w:ascii="Microsoft YaHei" w:hAnsi="Microsoft YaHei" w:eastAsia="Microsoft YaHei" w:cs="Microsoft YaHei"/>
        </w:rPr>
        <w:t>他当扬声抗议当时盛行的诸般罪恶</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他惧怕在没有些许盼望保证的情形下承担这项工作</w:t>
      </w:r>
      <w:r>
        <w:rPr>
          <w:rFonts w:ascii="Times New Roman" w:hAnsi="Times New Roman" w:eastAsia="Times New Roman" w:cs="Times New Roman"/>
        </w:rPr>
        <w:t>.‘</w:t>
      </w:r>
      <w:r>
        <w:rPr>
          <w:rFonts w:ascii="Microsoft YaHei" w:hAnsi="Microsoft YaHei" w:eastAsia="Microsoft YaHei" w:cs="Microsoft YaHei"/>
        </w:rPr>
        <w:t>主啊</w:t>
      </w:r>
      <w:r>
        <w:rPr>
          <w:rFonts w:ascii="Times New Roman" w:hAnsi="Times New Roman" w:eastAsia="Times New Roman" w:cs="Times New Roman"/>
        </w:rPr>
        <w:t>,</w:t>
      </w:r>
      <w:r>
        <w:rPr>
          <w:rFonts w:ascii="Microsoft YaHei" w:hAnsi="Microsoft YaHei" w:eastAsia="Microsoft YaHei" w:cs="Microsoft YaHei"/>
        </w:rPr>
        <w:t>要到几时呢？</w:t>
      </w:r>
      <w:r>
        <w:rPr>
          <w:rFonts w:ascii="Times New Roman" w:hAnsi="Times New Roman" w:eastAsia="Times New Roman" w:cs="Times New Roman"/>
        </w:rPr>
        <w:t>’</w:t>
      </w:r>
      <w:r>
        <w:rPr>
          <w:rFonts w:ascii="Microsoft YaHei" w:hAnsi="Microsoft YaHei" w:eastAsia="Microsoft YaHei" w:cs="Microsoft YaHei"/>
        </w:rPr>
        <w:t>他问道</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11</w:t>
      </w:r>
      <w:r>
        <w:rPr>
          <w:rFonts w:ascii="Microsoft YaHei" w:hAnsi="Microsoft YaHei" w:eastAsia="Microsoft YaHei" w:cs="Microsoft YaHei"/>
        </w:rPr>
        <w:t>节</w:t>
      </w:r>
      <w:r>
        <w:rPr>
          <w:rFonts w:ascii="Times New Roman" w:hAnsi="Times New Roman" w:eastAsia="Times New Roman" w:cs="Times New Roman"/>
        </w:rPr>
        <w:t>.</w:t>
      </w:r>
      <w:r>
        <w:rPr>
          <w:rFonts w:ascii="Microsoft YaHei" w:hAnsi="Microsoft YaHei" w:eastAsia="Microsoft YaHei" w:cs="Microsoft YaHei"/>
        </w:rPr>
        <w:t>祢所拣选的子民</w:t>
      </w:r>
      <w:r>
        <w:rPr>
          <w:rFonts w:ascii="Times New Roman" w:hAnsi="Times New Roman" w:eastAsia="Times New Roman" w:cs="Times New Roman"/>
        </w:rPr>
        <w:t>,</w:t>
      </w:r>
      <w:r>
        <w:rPr>
          <w:rFonts w:ascii="Microsoft YaHei" w:hAnsi="Microsoft YaHei" w:eastAsia="Microsoft YaHei" w:cs="Microsoft YaHei"/>
        </w:rPr>
        <w:t>岂是永远没有一个能明白、悔改并得医治的吗？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«تەقۋادىن يىراقلاشقان يەھۇدا ئۈچۈن ئۇنىڭ جان ئاغرىقى بىكارغا كۆتۈرۈلمەيتتى. ئۇنىڭ ۋەزىپىسى پۈتۈنلەي مېۋىسىز قالمايتتى. بىراق كۆپ ئەۋلادلار بويىچە كۆپىيىپ كەلگەن يامانلىقلار ئۇنىڭ دەۋرىدە يوقىتىلىپ بولالمايتتى. ئۆمرى بويىچە ئۇ سەۋرچان ۋە جاسارەتلىك بىر ئۆگەتكۈچى — ھۆكۈم-جازانىڭلا ئەمەس، ئۈمىدنىڭمۇ پەيغەمبىرى بولۇشى كېرەك ئىدى. ئاخىرىدا ئىلاھىي مەقسەت ئەمەلگە ئاشقاندا، ئۇنىڭ تىرىشچانلىقىنىڭ، ۋە خۇدانىڭ بارلىق سادىق ئەلچىلىرىنىڭ ئەمگىكىنىڭ تولۇق مېۋىسى كۆرۈنىدۇ. بىر قالدۇق قۇتقۇزۇلىشى كېرەك ئىدى. بۇنىڭ ئەمەلگە ئېشىشى ئۈچۈن، ئاگاھلاندۇرۇش ۋە يېلىنىش ئۇچۇرلىرى ئىسيانكار مىللەتكە يەتكۈزۈلۈشى لازىم ئىدى؛ پەرۋەردىگار مۇنداق دېدى: «شەھەرلەر ئاھالىسىز خاراب بولغۇچە، ئۆيلەر ئادەمسىز قالغۇچە، زېمىن پۈتۈنلەي ۋەيران بولغۇچە، پەرۋەردىگار ئادەملەرنى يىراققا ئېلىپ كەتكۈچە، ۋە زېمىننىڭ ئوتتۇرىسىدا زور بىر تاشلىۋېتىش يۈز بەرگۈچە.» 11، 12-ئايەتلەر.»</w:t>
      </w:r>
    </w:p>
    <w:p>
      <w:pPr>
        <w:pStyle w:val="ArticleScripture"/>
        <w:jc w:val="left"/>
      </w:pPr>
      <w:r>
        <w:rPr>
          <w:rFonts w:ascii="Times New Roman" w:hAnsi="Times New Roman" w:eastAsia="Times New Roman" w:cs="Times New Roman"/>
        </w:rPr>
        <w:t>«ئەو قەزایە قورس و سەختانەی کە دەبوو بەسەر ئەو نەتابکارانەدا بێن،—جەنگ، دوورخرانەوە، ستەم، لەدەستدانی دەسەڵات و پایە لەنێو نەتەوەکاندا،—هەموو ئەمانە دەبوو بێن بۆ ئەوەی ئەوانەی کە لەواندا دەستی خودایەکی تووڕە بناسن، بۆ تەوبە کردن ڕابکێشرێن. دە قەبیلەی شانشینی باکوور زوو دەبوو لەنێو نەتەوەکاندا پەرت و بڵاو ببنەوە و شارەکانیان وێران بێت؛ سوپای وێرانکەری نەتەوە دوژمنەکان دەبوو جار بە جار بەسەر خاکەکەیاندا بڕوات؛ تەنانەت لە کۆتاییدا ئۆرشەلیمیش دەبوو بکەوێت، و یەهودا بە دیلی ببرێتە دوور؛ بەڵام خاکی بەڵێن‌پێدراو نەدەبوو بۆ هەمیشە بە تەواوی بەجێهێڵدرابێت. دڵنیایی میوانی ئاسمانی بۆ ئیشایا ئەمە بوو: «بەڵام لە ناویدا یەک لە دە دەبێت، و ئەوەش دەگەڕێتەوە، و دەخورێت: وەک دارێکی تەیڵ و وەک بەڕووێک، کە ماددەکەیان لە ناویاندایە، کاتێک گەڵاکانیان دەوەرێنن؛ ئاوا تۆوی پیرۆز ماددەی ئەوە دەبێت.» ئایەتی 13.»</w:t>
      </w:r>
    </w:p>
    <w:p>
      <w:pPr>
        <w:pStyle w:val="ArticleScripture"/>
        <w:jc w:val="left"/>
      </w:pPr>
      <w:r>
        <w:rPr>
          <w:rFonts w:ascii="Times New Roman" w:hAnsi="Times New Roman" w:eastAsia="Times New Roman" w:cs="Times New Roman"/>
        </w:rPr>
        <w:t>«این اطمینان به تحقق نهایی مقصود خدا، به دل اشعیا شجاعت بخشید. اگرچه قدرت‌های زمینی خود را بر ضد یهودا صف‌آرایی کنند، چه باک؟ اگرچه فرستادهٔ خداوند با مخالفت و مقاومت روبه‌رو شود، چه زیان؟ اشعیا پادشاه را دیده بود، یهوهٔ صبایوت را؛ سرود سرافیم را شنیده بود که می‌گفتند: “تمام زمین از جلال او مملو است”؛ او این وعده را داشت که پیام‌های یهوه به یهودای مرتد با قدرت محکوم‌کنندهٔ روح‌القدس همراه خواهد بود؛ و بدین‌سان نبی برای کاری که در پیش داشت، نیرو و استحکام یافت. آیهٔ 3. او در سراسر مأموریت طولانی و دشوار خویش، یاد این رؤیا را با خود نگاه داشت. به مدت شصت سال یا بیشتر، او همچون نبیِ امید در برابر فرزندان یهودا ایستاد و در پیشگویی‌های خود دربارهٔ پیروزی آیندهٔ کلیسا، هرچه بیشتر و بیشتر دلیر شد.» انبیا و پادشاهان،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Kitaabii Daaniʼel - Tokkoffaa Dhibbaa Shantamii Saddeet</dc:title>
  <dc:subject>ပရောဖက်ဒံယေလ၌ ဝမ်းနည်းပူဆွေးခြင်း၏နေ့ရက်များကို နားလည်သဘောပေါက်ရန် ဗျာဒိတ်ရူပါရုံကို ဖော်ထုတ်ခြင်း</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