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Himalaya" w:hAnsi="Microsoft Himalaya" w:eastAsia="Microsoft Himalaya" w:cs="Microsoft Himalaya"/>
        </w:rPr>
        <w:t>དཱ་ནི་ཡེལ་གྱི་དེབ།</w:t>
      </w:r>
      <w:r>
        <w:rPr>
          <w:rFonts w:ascii="Arial" w:hAnsi="Arial" w:eastAsia="Arial" w:cs="Arial"/>
        </w:rPr>
        <w:t xml:space="preserve"> — </w:t>
      </w:r>
      <w:r>
        <w:rPr>
          <w:rFonts w:ascii="Microsoft Himalaya" w:hAnsi="Microsoft Himalaya" w:eastAsia="Microsoft Himalaya" w:cs="Microsoft Himalaya"/>
        </w:rPr>
        <w:t>ཨང་གྲངས་བརྒྱ་དང་བདུན་ཅུ།</w:t>
      </w:r>
    </w:p>
    <w:p>
      <w:pPr>
        <w:pStyle w:val="ArticleSubtitle"/>
        <w:jc w:val="left"/>
      </w:pPr>
      <w:r>
        <w:rPr>
          <w:rFonts w:ascii="Segoe UI" w:hAnsi="Segoe UI" w:eastAsia="Segoe UI" w:cs="Segoe UI"/>
        </w:rPr>
        <w:t>ئەردەمی</w:t>
      </w:r>
      <w:r>
        <w:rPr>
          <w:rFonts w:ascii="Arial" w:hAnsi="Arial" w:eastAsia="Arial" w:cs="Arial"/>
        </w:rPr>
        <w:t xml:space="preserve"> </w:t>
      </w:r>
      <w:r>
        <w:rPr>
          <w:rFonts w:ascii="Segoe UI" w:hAnsi="Segoe UI" w:eastAsia="Segoe UI" w:cs="Segoe UI"/>
        </w:rPr>
        <w:t>رووح</w:t>
      </w:r>
      <w:r>
        <w:rPr>
          <w:rFonts w:ascii="Arial" w:hAnsi="Arial" w:eastAsia="Arial" w:cs="Arial"/>
        </w:rPr>
        <w:t xml:space="preserve">: </w:t>
      </w:r>
      <w:r>
        <w:rPr>
          <w:rFonts w:ascii="Segoe UI" w:hAnsi="Segoe UI" w:eastAsia="Segoe UI" w:cs="Segoe UI"/>
        </w:rPr>
        <w:t>تێگەیشتن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تەخت</w:t>
      </w:r>
      <w:r>
        <w:rPr>
          <w:rFonts w:ascii="Arial" w:hAnsi="Arial" w:eastAsia="Arial" w:cs="Arial"/>
        </w:rPr>
        <w:t>‌</w:t>
      </w:r>
      <w:r>
        <w:rPr>
          <w:rFonts w:ascii="Segoe UI" w:hAnsi="Segoe UI" w:eastAsia="Segoe UI" w:cs="Segoe UI"/>
        </w:rPr>
        <w:t>نشینیی</w:t>
      </w:r>
      <w:r>
        <w:rPr>
          <w:rFonts w:ascii="Arial" w:hAnsi="Arial" w:eastAsia="Arial" w:cs="Arial"/>
        </w:rPr>
        <w:t xml:space="preserve"> </w:t>
      </w:r>
      <w:r>
        <w:rPr>
          <w:rFonts w:ascii="Segoe UI" w:hAnsi="Segoe UI" w:eastAsia="Segoe UI" w:cs="Segoe UI"/>
        </w:rPr>
        <w:t>خودایی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گۆڕانکاری</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چوارچێوەی</w:t>
      </w:r>
      <w:r>
        <w:rPr>
          <w:rFonts w:ascii="Arial" w:hAnsi="Arial" w:eastAsia="Arial" w:cs="Arial"/>
        </w:rPr>
        <w:t xml:space="preserve"> </w:t>
      </w:r>
      <w:r>
        <w:rPr>
          <w:rFonts w:ascii="Segoe UI" w:hAnsi="Segoe UI" w:eastAsia="Segoe UI" w:cs="Segoe UI"/>
        </w:rPr>
        <w:t>پێشبینییەوە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شی کلییدی بۆ ناساندنی ڕوسیا وەک ئەو هێزەی کە لە ساڵی 2014 شەڕی ئۆکراینی دەستپێکرد، «قەڵا»یە، کە سەرە، یان پایتەختی شانشینەکەیە. پەرستگای مرۆڤی لە سەر و لەش پێکهاتووە. سەر سروشتی بەرزترە، و لەش سروشتی نزمترە. ئەو «حەوت کاتە»یەی لە 1844 کۆتایی هات، پاشان دەبوو بە ئۆرشەلیمەوە بپەیوەسترێت، کە سەری یەهودا بوو. لە پەرستگای ئۆرشەلیمدا تەختی پاشا، کە سەری ئۆرشەلیمە، و ئۆرشەلیمیش سەری یەهودا بوو، هەبوو. یەکگرتنی خوایەتی لەگەڵ مرۆڤایەتی، کە نوێنەرایەتی مۆرکردنی سەد و چل و چوار هەزار دەکات، وەک وەرگرتنی «مێشکی مەسیح» پیشان دراوە. مێشک سروشتی بەرزترە، و بۆیە ئەویش «سەر»ە.</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स्त्रीलिंगी</w:t>
      </w:r>
      <w:r>
        <w:rPr>
          <w:rFonts w:ascii="Times New Roman" w:hAnsi="Times New Roman" w:eastAsia="Times New Roman" w:cs="Times New Roman"/>
        </w:rPr>
        <w:t xml:space="preserve"> </w:t>
      </w:r>
      <w:r>
        <w:rPr>
          <w:rFonts w:ascii="Nirmala UI" w:hAnsi="Nirmala UI" w:eastAsia="Nirmala UI" w:cs="Nirmala UI"/>
        </w:rPr>
        <w:t>कारणकारी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वंशानुगत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पसंद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पसंद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आज्ञाकारी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सृजे</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अभिकल्पित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Ā plas lā i no stap long daunpela pasin bilong ol, em pasin we kingdom bilong not i makim. Em i stap long ples we kingdom bilong saut i makim, em ples we God i bin makim long putim nem bilong Em, em karakter bilong Em. Dispela ples i stap long Jerusalem, tasol olsem Jerusalem em kapitol bilong Judah, Jerusalem em het, tasol het bilong dispela kapitol em king. Na Jerusalem i bin makim bilong kamap kapitol, na long wankain pasin tu em i bin makim olsem ples we God bai putim tempel bilong Em. Orait long tempel bilong Em, Em i putim sia king bilong Em. Kingdom bilong saut i makim antap moa pasin bilong man, tasol em tu i gat wanpela spesel rum bilong sia king bilong king. Sista White i kolim dispela ples olsem “citadel” bilong sol. Wanpela citadel, long mining stret bilong en, em wanpela strongpela banis.</w:t>
      </w:r>
    </w:p>
    <w:p>
      <w:pPr>
        <w:pStyle w:val="ArticleScripture"/>
        <w:jc w:val="left"/>
      </w:pPr>
      <w:r>
        <w:rPr>
          <w:rFonts w:ascii="Times New Roman" w:hAnsi="Times New Roman" w:eastAsia="Times New Roman" w:cs="Times New Roman"/>
        </w:rPr>
        <w:t>«ار کِ دل باید به خدا سپرده شود، وگرنه حقیقتِ خدا در حیات و منش اثرِ تقدیس‌کننده نخواهد داشت. امّا حقیقتی اندوه‌بار این است که بسیاری از کسانی که نامِ مسیح را بر خود دارند، هرگز دل‌های خویش را با سادگی به او نسپرده‌اند. آنان هرگز ندامتِ ناشی از تسلیمی کامل به مطالباتِ مسیحیت را تجربه نکرده‌اند، و در نتیجه، قدرتِ دگرگون‌سازِ حقیقت در زندگی ایشان حضور ندارد؛ نفوذِ عمیق و نرم‌کنندهٔ محبتِ مسیح در حیات و منش آشکار نمی‌گردد. امّا اگر شبانانِ زیردست با مسیح مصلوب شده بودند و برای خدا زیست می‌کردند تا با شبانِ اعظمِ گله همکاری کنند، چه کار بزرگی در خوراک دادن به گلهٔ خدا می‌توانست انجام گیرد! مسیح انسان‌ها را فرا می‌خواند تا همان‌گونه کار کنند که او کار کرد. نیاز به شهادتی ژرف‌تر، نیرومندتر و الزام‌آورتر دربارهٔ قدرتِ حقیقت هست، آن‌گونه که در دینداریِ عملیِ کسانی دیده می‌شود که به اقرارِ خود به آن ایمان دارند. محبتِ نجات‌دهنده در جان، به تغییری قاطع در شیوه‌ای خواهد انجامید که کارکنان برای جان‌های آنان که در حال هلاک شدن‌اند زحمت می‌کشند. هنگامی که حقیقت ارگِ جان را در اختیار گیرد، مسیح بر دل تخت می‌نشیند، و آنگاه عاملِ انسانی می‌تواند بگوید: «با مسیح مصلوب شده‌ام؛ با این همه زیست می‌کنم؛ لیکن نه من، بلکه مسیح است که در من زندگی می‌کند؛ و آن زندگی را که اکنون در جسم می‌زیَم، به ایمانِ پسرِ خدا می‌زیَم، که مرا محبت نمود و خویشتن را برای من تسلیم کرد.» Review and Herald, October 9, 1894.»</w:t>
      </w:r>
    </w:p>
    <w:p>
      <w:pPr>
        <w:pStyle w:val="ArticleBody"/>
        <w:jc w:val="left"/>
      </w:pPr>
      <w:r>
        <w:rPr>
          <w:rFonts w:ascii="Times New Roman" w:hAnsi="Times New Roman" w:eastAsia="Times New Roman" w:cs="Times New Roman"/>
        </w:rPr>
        <w:t>«Жанның қамалы» — «Мәсіх таққа отырғызылған» орын. Мәсіхтің таққа отырғызылуы тән айқышқа шегеленген кезде жүзеге асады, ал Пауылдың анықтамасы бойынша тән — төменгі табиғат, және ол солтүстік патшалық болып табылады. Сондықтан солтүстік патшалықтың пайғамбарлығы тек 1798 жылға дейін ғана жетті. Төменгі табиғат Құдайлықпен біріктіріле алмайды; ол Екінші келуде көзді ашып-жұмғанша өзгертілуге тиіс. Құрамында Иерусалим болған «бас», әрі киелі орын болған «бас» бар оңтүстік патшалық 1844 жылға дейін жетті, өйткені ол тәнді айқышқа шегелеуді таңдай алатын және сенім арқылы Ең Киелінің қамалына еніп, Мәсіхпен бірге тағында отыра алатын жоғары табиғатты бейнеледі. Сол бірігу мен сол таққа отырғызылу жүзеге асатын орын — адам ғибадатханасының қамалы. Он бірінші тараудың оныншы аяты басты бекініс ретінде анықтайды, бірақ бұл ақиқат Ишаяның куәлігімен ғана бекітіледі, ал ол бекініске (қамалға) қатысты ақиқаттың сыртқы және ішкі қолданылуларында түсінілуін талап етеді.</w:t>
      </w:r>
    </w:p>
    <w:p>
      <w:pPr>
        <w:pStyle w:val="ArticleScripture"/>
        <w:jc w:val="left"/>
      </w:pPr>
      <w:r>
        <w:rPr>
          <w:rFonts w:ascii="Times New Roman" w:hAnsi="Times New Roman" w:eastAsia="Times New Roman" w:cs="Times New Roman"/>
        </w:rPr>
        <w:t>“Көннүөнү Сөҕөрөөн суруйааччыбыт рухани аһыыбыт буоларга иһин. «Мин — олох килиэппитэбин», — диэтэ Христос; «миэхэ кэлэр киһи хаһан да астаабат, миэхэ итэҕэр киһи хаһан да уутаабат». Аар дойду ыраас, хоспоһук суох ысын санааҕа кыһалҕаттан өлөрөллөр. Христос — ысын санаа. Кини тыллара — ысын санаа, уонна ол тылларга үрдүккэ көрүнэртэн дириҥэрэ суолтала баар, уонна кыайыыһыма суох курдук көрүнэр быһыыларааҕар таһынан баһылыыраах кыахтара баар. Ытык Өрүс ыытыллыбыт өй-санаалар бу тыллар суолтатын өйдүүрэ. Батыһа харах эмтээһининэн харахпыт аһынныҥа, үрдүк ысын санаа баайын, ол өйдөбүл баайдара үрдүккэ күмүс өйдөбүл буолан таһарыы аннынан көмүһүллүбүт буоллар да, билиэхпит.”</w:t>
      </w:r>
    </w:p>
    <w:p>
      <w:pPr>
        <w:pStyle w:val="ArticleScripture"/>
        <w:jc w:val="left"/>
      </w:pPr>
      <w:r>
        <w:rPr>
          <w:rFonts w:ascii="Times New Roman" w:hAnsi="Times New Roman" w:eastAsia="Times New Roman" w:cs="Times New Roman"/>
        </w:rPr>
        <w:t>“Ang kamatuoran delikado, pinino, ug halangdon. Sa diha nga kini maoy mohimo sa kinaiya, ang kalag motubo ilalom sa iyang langitnong impluwensiya. Matag adlaw ang kamatuoran pagadawaton sa kasingkasing. Sa ingon niini atong kan-on ang mga pulong ni Cristo, nga iyang giingon nga espiritu ug kinabuhi. Ang pagdawat sa kamatuoran magahimo sa matag modawat niini nga anak sa Dios, manununod sa langit. Ang kamatuoran nga gitipigan sa kasingkasing dili bugnaw, patay nga sulat, kondili buhing gahum.”</w:t>
      </w:r>
    </w:p>
    <w:p>
      <w:pPr>
        <w:pStyle w:val="ArticleScripture"/>
        <w:jc w:val="left"/>
      </w:pPr>
      <w:r>
        <w:rPr>
          <w:rFonts w:ascii="Times New Roman" w:hAnsi="Times New Roman" w:eastAsia="Times New Roman" w:cs="Times New Roman"/>
        </w:rPr>
        <w:t>«Раст ҳақиқати муқаддас ва илоҳист. Он дар ташаккули хислате ба шабоҳати Масеҳ аз ҳар чизи дигар қавитару пуриқтидортар аст. Дар он пуррагии шодӣ ҳаст. Вақте ки он дар дил гиромӣ дошта мешавад, муҳаббати Масеҳ аз муҳаббати ҳар инсони дигар авлотар дониста мешавад. Ин аст масеҳият. Ин аст муҳаббати Худо дар ҷон. Ҳамин тавр, ҳақиқати поку беолоиш қалъаи ҳастиро ишғол мекунад. Ин суханон ба иҷро меоянд: “Ва дили нав ба шумо хоҳам дод, ва рӯҳи нав дар андаруни шумо хоҳам ниҳод.” Дар зиндагии касе, ки зери таъсири ҷонбахши ҳақиқат зиндагӣ ва кор мекунад, як навъ наҷобат вуҷуд дорад.» Review and Herald, February 14, 1899.</w:t>
      </w:r>
    </w:p>
    <w:p>
      <w:pPr>
        <w:pStyle w:val="ArticleBody"/>
        <w:jc w:val="left"/>
      </w:pPr>
      <w:r>
        <w:rPr>
          <w:rFonts w:ascii="Times New Roman" w:hAnsi="Times New Roman" w:eastAsia="Times New Roman" w:cs="Times New Roman"/>
        </w:rPr>
        <w:t>Daniyel kitabının on birinci fəslindəki peyğəmbərlik tarixinin həmin görüntüsü, ikinci ayədə, altıncı və ən varlı prezidentin on birinci ayədən on beşinci ayəyədək olan hissədə başla, yəni Rusiya ilə uyğunlaşdığı zaman başlanır. Həmin tarixdə altıncı prezident yeddidən olub səkkizinci olacaq və o, Amerika Birləşmiş Ştatlarında kilsə ilə dövlət birləşib on altıncı ayədə öz murdar zinakarlıqlarını yaxınlaşmaqda olan bazar günü qanununda tamamladıqda hökmranlıq edəcək.</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ᎢᎦᏃᎯᏍᏗ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ᎤᏲᎱᏎᎵ</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ᏕᏂᎵ</w:t>
      </w:r>
      <w:r>
        <w:rPr>
          <w:rFonts w:ascii="Times New Roman" w:hAnsi="Times New Roman" w:eastAsia="Times New Roman" w:cs="Times New Roman"/>
        </w:rPr>
        <w:t xml:space="preserve"> </w:t>
      </w:r>
      <w:r>
        <w:rPr>
          <w:rFonts w:ascii="Gadugi" w:hAnsi="Gadugi" w:eastAsia="Gadugi" w:cs="Gadugi"/>
        </w:rPr>
        <w:t>ᎢᏍᎪᎯ</w:t>
      </w:r>
      <w:r>
        <w:rPr>
          <w:rFonts w:ascii="Times New Roman" w:hAnsi="Times New Roman" w:eastAsia="Times New Roman" w:cs="Times New Roman"/>
        </w:rPr>
        <w:t xml:space="preserve"> </w:t>
      </w:r>
      <w:r>
        <w:rPr>
          <w:rFonts w:ascii="Gadugi" w:hAnsi="Gadugi" w:eastAsia="Gadugi" w:cs="Gadugi"/>
        </w:rPr>
        <w:t>ᎢᏯᏍᏆᏂᎪᎯᎯ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ᎢᎩ</w:t>
      </w:r>
      <w:r>
        <w:rPr>
          <w:rFonts w:ascii="Times New Roman" w:hAnsi="Times New Roman" w:eastAsia="Times New Roman" w:cs="Times New Roman"/>
        </w:rPr>
        <w:t xml:space="preserve">. </w:t>
      </w:r>
      <w:r>
        <w:rPr>
          <w:rFonts w:ascii="Gadugi" w:hAnsi="Gadugi" w:eastAsia="Gadugi" w:cs="Gadugi"/>
        </w:rPr>
        <w:t>ᏅᏍᎪᎯ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ᎠᏲᎵᏱ</w:t>
      </w:r>
      <w:r>
        <w:rPr>
          <w:rFonts w:ascii="Times New Roman" w:hAnsi="Times New Roman" w:eastAsia="Times New Roman" w:cs="Times New Roman"/>
        </w:rPr>
        <w:t xml:space="preserve"> </w:t>
      </w:r>
      <w:r>
        <w:rPr>
          <w:rFonts w:ascii="Gadugi" w:hAnsi="Gadugi" w:eastAsia="Gadugi" w:cs="Gadugi"/>
        </w:rPr>
        <w:t>ᏕᏂᎵ</w:t>
      </w:r>
      <w:r>
        <w:rPr>
          <w:rFonts w:ascii="Times New Roman" w:hAnsi="Times New Roman" w:eastAsia="Times New Roman" w:cs="Times New Roman"/>
        </w:rPr>
        <w:t xml:space="preserve"> </w:t>
      </w:r>
      <w:r>
        <w:rPr>
          <w:rFonts w:ascii="Gadugi" w:hAnsi="Gadugi" w:eastAsia="Gadugi" w:cs="Gadugi"/>
        </w:rPr>
        <w:t>ᎤᏲᎵᎩ</w:t>
      </w:r>
      <w:r>
        <w:rPr>
          <w:rFonts w:ascii="Times New Roman" w:hAnsi="Times New Roman" w:eastAsia="Times New Roman" w:cs="Times New Roman"/>
        </w:rPr>
        <w:t xml:space="preserve"> </w:t>
      </w:r>
      <w:r>
        <w:rPr>
          <w:rFonts w:ascii="Gadugi" w:hAnsi="Gadugi" w:eastAsia="Gadugi" w:cs="Gadugi"/>
        </w:rPr>
        <w:t>ᎤᎵᏍᎨᏂᏍᏗ</w:t>
      </w:r>
      <w:r>
        <w:rPr>
          <w:rFonts w:ascii="Times New Roman" w:hAnsi="Times New Roman" w:eastAsia="Times New Roman" w:cs="Times New Roman"/>
        </w:rPr>
        <w:t xml:space="preserve"> </w:t>
      </w:r>
      <w:r>
        <w:rPr>
          <w:rFonts w:ascii="Gadugi" w:hAnsi="Gadugi" w:eastAsia="Gadugi" w:cs="Gadugi"/>
        </w:rPr>
        <w:t>ᎤᏍᏆᎸᎲᎢ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ᏧᏂᏲᎱᏒ</w:t>
      </w:r>
      <w:r>
        <w:rPr>
          <w:rFonts w:ascii="Times New Roman" w:hAnsi="Times New Roman" w:eastAsia="Times New Roman" w:cs="Times New Roman"/>
        </w:rPr>
        <w:t xml:space="preserve"> </w:t>
      </w:r>
      <w:r>
        <w:rPr>
          <w:rFonts w:ascii="Gadugi" w:hAnsi="Gadugi" w:eastAsia="Gadugi" w:cs="Gadugi"/>
        </w:rPr>
        <w:t>ᎦᎳᏅᎯ</w:t>
      </w:r>
      <w:r>
        <w:rPr>
          <w:rFonts w:ascii="Times New Roman" w:hAnsi="Times New Roman" w:eastAsia="Times New Roman" w:cs="Times New Roman"/>
        </w:rPr>
        <w:t xml:space="preserve"> </w:t>
      </w:r>
      <w:r>
        <w:rPr>
          <w:rFonts w:ascii="Gadugi" w:hAnsi="Gadugi" w:eastAsia="Gadugi" w:cs="Gadugi"/>
        </w:rPr>
        <w:t>ᎤᏅᏅ</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ᏗᏂᎦᎵᏦᏍᎬ</w:t>
      </w:r>
      <w:r>
        <w:rPr>
          <w:rFonts w:ascii="Times New Roman" w:hAnsi="Times New Roman" w:eastAsia="Times New Roman" w:cs="Times New Roman"/>
        </w:rPr>
        <w:t xml:space="preserve"> </w:t>
      </w:r>
      <w:r>
        <w:rPr>
          <w:rFonts w:ascii="Gadugi" w:hAnsi="Gadugi" w:eastAsia="Gadugi" w:cs="Gadugi"/>
        </w:rPr>
        <w:t>ᎤᏍᏆᎸᎲᎢ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ᎢᏏᎩᎵ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ᎤᎿᎭᎥ</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ᎤᏂᏲᎱᏒ</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ᎤᎵᏍᏆᏍᏗ</w:t>
      </w:r>
      <w:r>
        <w:rPr>
          <w:rFonts w:ascii="Times New Roman" w:hAnsi="Times New Roman" w:eastAsia="Times New Roman" w:cs="Times New Roman"/>
        </w:rPr>
        <w:t xml:space="preserve"> </w:t>
      </w:r>
      <w:r>
        <w:rPr>
          <w:rFonts w:ascii="Gadugi" w:hAnsi="Gadugi" w:eastAsia="Gadugi" w:cs="Gadugi"/>
        </w:rPr>
        <w:t>ᏗᎪᎳᎩ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w:t>
      </w:r>
      <w:r>
        <w:rPr>
          <w:rFonts w:ascii="Gadugi" w:hAnsi="Gadugi" w:eastAsia="Gadugi" w:cs="Gadugi"/>
        </w:rPr>
        <w:t>ᎦᏙᎯᏳ</w:t>
      </w:r>
      <w:r>
        <w:rPr>
          <w:rFonts w:ascii="Times New Roman" w:hAnsi="Times New Roman" w:eastAsia="Times New Roman" w:cs="Times New Roman"/>
        </w:rPr>
        <w:t xml:space="preserve"> </w:t>
      </w:r>
      <w:r>
        <w:rPr>
          <w:rFonts w:ascii="Gadugi" w:hAnsi="Gadugi" w:eastAsia="Gadugi" w:cs="Gadugi"/>
        </w:rPr>
        <w:t>ᎠᏙᎴᎰᎯᏍᏗ</w:t>
      </w:r>
      <w:r>
        <w:rPr>
          <w:rFonts w:ascii="Times New Roman" w:hAnsi="Times New Roman" w:eastAsia="Times New Roman" w:cs="Times New Roman"/>
        </w:rPr>
        <w:t xml:space="preserve"> </w:t>
      </w:r>
      <w:r>
        <w:rPr>
          <w:rFonts w:ascii="Gadugi" w:hAnsi="Gadugi" w:eastAsia="Gadugi" w:cs="Gadugi"/>
        </w:rPr>
        <w:t>ᎠᎦᏃᎮᏗ</w:t>
      </w:r>
      <w:r>
        <w:rPr>
          <w:rFonts w:ascii="Times New Roman" w:hAnsi="Times New Roman" w:eastAsia="Times New Roman" w:cs="Times New Roman"/>
        </w:rPr>
        <w:t xml:space="preserve"> </w:t>
      </w:r>
      <w:r>
        <w:rPr>
          <w:rFonts w:ascii="Gadugi" w:hAnsi="Gadugi" w:eastAsia="Gadugi" w:cs="Gadugi"/>
        </w:rPr>
        <w:t>ᎠᏂᎯᏍᏗ</w:t>
      </w:r>
      <w:r>
        <w:rPr>
          <w:rFonts w:ascii="Times New Roman" w:hAnsi="Times New Roman" w:eastAsia="Times New Roman" w:cs="Times New Roman"/>
        </w:rPr>
        <w:t xml:space="preserve"> </w:t>
      </w:r>
      <w:r>
        <w:rPr>
          <w:rFonts w:ascii="Gadugi" w:hAnsi="Gadugi" w:eastAsia="Gadugi" w:cs="Gadugi"/>
        </w:rPr>
        <w:t>ᎤᏂᏲᎱᏒ</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ᏫᏗᎬᏁᎯᏍᏗ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ᏕᏂᎵ</w:t>
      </w:r>
      <w:r>
        <w:rPr>
          <w:rFonts w:ascii="Times New Roman" w:hAnsi="Times New Roman" w:eastAsia="Times New Roman" w:cs="Times New Roman"/>
        </w:rPr>
        <w:t xml:space="preserve"> </w:t>
      </w:r>
      <w:r>
        <w:rPr>
          <w:rFonts w:ascii="Gadugi" w:hAnsi="Gadugi" w:eastAsia="Gadugi" w:cs="Gadugi"/>
        </w:rPr>
        <w:t>ᎢᏍᎪᎯ</w:t>
      </w:r>
      <w:r>
        <w:rPr>
          <w:rFonts w:ascii="Times New Roman" w:hAnsi="Times New Roman" w:eastAsia="Times New Roman" w:cs="Times New Roman"/>
        </w:rPr>
        <w:t xml:space="preserve"> </w:t>
      </w:r>
      <w:r>
        <w:rPr>
          <w:rFonts w:ascii="Gadugi" w:hAnsi="Gadugi" w:eastAsia="Gadugi" w:cs="Gadugi"/>
        </w:rPr>
        <w:t>ᎢᏯᏍᏆᏂᎪᎯ</w:t>
      </w:r>
      <w:r>
        <w:rPr>
          <w:rFonts w:ascii="Times New Roman" w:hAnsi="Times New Roman" w:eastAsia="Times New Roman" w:cs="Times New Roman"/>
        </w:rPr>
        <w:t xml:space="preserve"> </w:t>
      </w:r>
      <w:r>
        <w:rPr>
          <w:rFonts w:ascii="Gadugi" w:hAnsi="Gadugi" w:eastAsia="Gadugi" w:cs="Gadugi"/>
        </w:rPr>
        <w:t>ᎤᏪᏣᏅᎢ</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ᏕᎦᏎᏍᏗ</w:t>
      </w:r>
      <w:r>
        <w:rPr>
          <w:rFonts w:ascii="Times New Roman" w:hAnsi="Times New Roman" w:eastAsia="Times New Roman" w:cs="Times New Roman"/>
        </w:rPr>
        <w:t xml:space="preserve"> </w:t>
      </w:r>
      <w:r>
        <w:rPr>
          <w:rFonts w:ascii="Gadugi" w:hAnsi="Gadugi" w:eastAsia="Gadugi" w:cs="Gadugi"/>
        </w:rPr>
        <w:t>ᎠᎾᏟᎶᏍᏔᏅ</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w:t>
      </w:r>
    </w:p>
    <w:p>
      <w:pPr>
        <w:pStyle w:val="ArticleScripture"/>
        <w:jc w:val="left"/>
      </w:pP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চব্বিশতম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নদী</w:t>
      </w:r>
      <w:r>
        <w:rPr>
          <w:rFonts w:ascii="Times New Roman" w:hAnsi="Times New Roman" w:eastAsia="Times New Roman" w:cs="Times New Roman"/>
        </w:rPr>
        <w:t xml:space="preserve"> </w:t>
      </w:r>
      <w:r>
        <w:rPr>
          <w:rFonts w:ascii="Nirmala UI" w:hAnsi="Nirmala UI" w:eastAsia="Nirmala UI" w:cs="Nirmala UI"/>
        </w:rPr>
        <w:t>হিদ্দেকেলের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ছিলাম</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চোখ</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চাইলাম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সুতিবস্ত্রপরিহিত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 xml:space="preserve"> </w:t>
      </w:r>
      <w:r>
        <w:rPr>
          <w:rFonts w:ascii="Nirmala UI" w:hAnsi="Nirmala UI" w:eastAsia="Nirmala UI" w:cs="Nirmala UI"/>
        </w:rPr>
        <w:t>উফাজের</w:t>
      </w:r>
      <w:r>
        <w:rPr>
          <w:rFonts w:ascii="Times New Roman" w:hAnsi="Times New Roman" w:eastAsia="Times New Roman" w:cs="Times New Roman"/>
        </w:rPr>
        <w:t xml:space="preserve"> </w:t>
      </w:r>
      <w:r>
        <w:rPr>
          <w:rFonts w:ascii="Nirmala UI" w:hAnsi="Nirmala UI" w:eastAsia="Nirmala UI" w:cs="Nirmala UI"/>
        </w:rPr>
        <w:t>উৎকৃষ্ট</w:t>
      </w:r>
      <w:r>
        <w:rPr>
          <w:rFonts w:ascii="Times New Roman" w:hAnsi="Times New Roman" w:eastAsia="Times New Roman" w:cs="Times New Roman"/>
        </w:rPr>
        <w:t xml:space="preserve"> </w:t>
      </w:r>
      <w:r>
        <w:rPr>
          <w:rFonts w:ascii="Nirmala UI" w:hAnsi="Nirmala UI" w:eastAsia="Nirmala UI" w:cs="Nirmala UI"/>
        </w:rPr>
        <w:t>সোনায়</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দেহ</w:t>
      </w:r>
      <w:r>
        <w:rPr>
          <w:rFonts w:ascii="Times New Roman" w:hAnsi="Times New Roman" w:eastAsia="Times New Roman" w:cs="Times New Roman"/>
        </w:rPr>
        <w:t xml:space="preserve"> </w:t>
      </w:r>
      <w:r>
        <w:rPr>
          <w:rFonts w:ascii="Nirmala UI" w:hAnsi="Nirmala UI" w:eastAsia="Nirmala UI" w:cs="Nirmala UI"/>
        </w:rPr>
        <w:t>বৈদূর্যমণির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বিদ্যুতের</w:t>
      </w:r>
      <w:r>
        <w:rPr>
          <w:rFonts w:ascii="Times New Roman" w:hAnsi="Times New Roman" w:eastAsia="Times New Roman" w:cs="Times New Roman"/>
        </w:rPr>
        <w:t xml:space="preserve"> </w:t>
      </w:r>
      <w:r>
        <w:rPr>
          <w:rFonts w:ascii="Nirmala UI" w:hAnsi="Nirmala UI" w:eastAsia="Nirmala UI" w:cs="Nirmala UI"/>
        </w:rPr>
        <w:t>আভাসের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চোখ</w:t>
      </w:r>
      <w:r>
        <w:rPr>
          <w:rFonts w:ascii="Times New Roman" w:hAnsi="Times New Roman" w:eastAsia="Times New Roman" w:cs="Times New Roman"/>
        </w:rPr>
        <w:t xml:space="preserve"> </w:t>
      </w:r>
      <w:r>
        <w:rPr>
          <w:rFonts w:ascii="Nirmala UI" w:hAnsi="Nirmala UI" w:eastAsia="Nirmala UI" w:cs="Nirmala UI"/>
        </w:rPr>
        <w:t>অগ্নিদীপের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w:t>
      </w:r>
      <w:r>
        <w:rPr>
          <w:rFonts w:ascii="Times New Roman" w:hAnsi="Times New Roman" w:eastAsia="Times New Roman" w:cs="Times New Roman"/>
        </w:rPr>
        <w:t xml:space="preserve"> </w:t>
      </w:r>
      <w:r>
        <w:rPr>
          <w:rFonts w:ascii="Nirmala UI" w:hAnsi="Nirmala UI" w:eastAsia="Nirmala UI" w:cs="Nirmala UI"/>
        </w:rPr>
        <w:t>দীপ্ত</w:t>
      </w:r>
      <w:r>
        <w:rPr>
          <w:rFonts w:ascii="Times New Roman" w:hAnsi="Times New Roman" w:eastAsia="Times New Roman" w:cs="Times New Roman"/>
        </w:rPr>
        <w:t xml:space="preserve"> </w:t>
      </w:r>
      <w:r>
        <w:rPr>
          <w:rFonts w:ascii="Nirmala UI" w:hAnsi="Nirmala UI" w:eastAsia="Nirmala UI" w:cs="Nirmala UI"/>
        </w:rPr>
        <w:t>পিতলের</w:t>
      </w:r>
      <w:r>
        <w:rPr>
          <w:rFonts w:ascii="Times New Roman" w:hAnsi="Times New Roman" w:eastAsia="Times New Roman" w:cs="Times New Roman"/>
        </w:rPr>
        <w:t xml:space="preserve"> </w:t>
      </w:r>
      <w:r>
        <w:rPr>
          <w:rFonts w:ascii="Nirmala UI" w:hAnsi="Nirmala UI" w:eastAsia="Nirmala UI" w:cs="Nirmala UI"/>
        </w:rPr>
        <w:t>বর্ণসদৃশ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জনসমুদ্রের</w:t>
      </w:r>
      <w:r>
        <w:rPr>
          <w:rFonts w:ascii="Times New Roman" w:hAnsi="Times New Roman" w:eastAsia="Times New Roman" w:cs="Times New Roman"/>
        </w:rPr>
        <w:t xml:space="preserve"> </w:t>
      </w:r>
      <w:r>
        <w:rPr>
          <w:rFonts w:ascii="Nirmala UI" w:hAnsi="Nirmala UI" w:eastAsia="Nirmala UI" w:cs="Nirmala UI"/>
        </w:rPr>
        <w:t>কলরবের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দেখেনি</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মহাভয়</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এলো</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পালিয়ে</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লুকাল।</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রইলাম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রইল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শোভা</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রাখতে</w:t>
      </w:r>
      <w:r>
        <w:rPr>
          <w:rFonts w:ascii="Times New Roman" w:hAnsi="Times New Roman" w:eastAsia="Times New Roman" w:cs="Times New Roman"/>
        </w:rPr>
        <w:t xml:space="preserve"> </w:t>
      </w:r>
      <w:r>
        <w:rPr>
          <w:rFonts w:ascii="Nirmala UI" w:hAnsi="Nirmala UI" w:eastAsia="Nirmala UI" w:cs="Nirmala UI"/>
        </w:rPr>
        <w:t>পারলাম</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শুনলাম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শুনলাম</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থুবড়ে</w:t>
      </w:r>
      <w:r>
        <w:rPr>
          <w:rFonts w:ascii="Times New Roman" w:hAnsi="Times New Roman" w:eastAsia="Times New Roman" w:cs="Times New Roman"/>
        </w:rPr>
        <w:t xml:space="preserve"> </w:t>
      </w:r>
      <w:r>
        <w:rPr>
          <w:rFonts w:ascii="Nirmala UI" w:hAnsi="Nirmala UI" w:eastAsia="Nirmala UI" w:cs="Nirmala UI"/>
        </w:rPr>
        <w:t>ভূমির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গভীর</w:t>
      </w:r>
      <w:r>
        <w:rPr>
          <w:rFonts w:ascii="Times New Roman" w:hAnsi="Times New Roman" w:eastAsia="Times New Roman" w:cs="Times New Roman"/>
        </w:rPr>
        <w:t xml:space="preserve"> </w:t>
      </w:r>
      <w:r>
        <w:rPr>
          <w:rFonts w:ascii="Nirmala UI" w:hAnsi="Nirmala UI" w:eastAsia="Nirmala UI" w:cs="Nirmala UI"/>
        </w:rPr>
        <w:t>নিদ্রায়</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হলাম।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হাঁটুর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হাতের</w:t>
      </w:r>
      <w:r>
        <w:rPr>
          <w:rFonts w:ascii="Times New Roman" w:hAnsi="Times New Roman" w:eastAsia="Times New Roman" w:cs="Times New Roman"/>
        </w:rPr>
        <w:t xml:space="preserve"> </w:t>
      </w:r>
      <w:r>
        <w:rPr>
          <w:rFonts w:ascii="Nirmala UI" w:hAnsi="Nirmala UI" w:eastAsia="Nirmala UI" w:cs="Nirmala UI"/>
        </w:rPr>
        <w:t>তালুর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ভর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তুলল।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কথাগুলি</w:t>
      </w:r>
      <w:r>
        <w:rPr>
          <w:rFonts w:ascii="Times New Roman" w:hAnsi="Times New Roman" w:eastAsia="Times New Roman" w:cs="Times New Roman"/>
        </w:rPr>
        <w:t xml:space="preserve"> </w:t>
      </w:r>
      <w:r>
        <w:rPr>
          <w:rFonts w:ascii="Nirmala UI" w:hAnsi="Nirmala UI" w:eastAsia="Nirmala UI" w:cs="Nirmala UI"/>
        </w:rPr>
        <w:t>বলছি</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নাও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সোজা</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দাঁড়াও</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কাঁপতে</w:t>
      </w:r>
      <w:r>
        <w:rPr>
          <w:rFonts w:ascii="Times New Roman" w:hAnsi="Times New Roman" w:eastAsia="Times New Roman" w:cs="Times New Roman"/>
        </w:rPr>
        <w:t xml:space="preserve"> </w:t>
      </w:r>
      <w:r>
        <w:rPr>
          <w:rFonts w:ascii="Nirmala UI" w:hAnsi="Nirmala UI" w:eastAsia="Nirmala UI" w:cs="Nirmala UI"/>
        </w:rPr>
        <w:t>কাঁপতে</w:t>
      </w:r>
      <w:r>
        <w:rPr>
          <w:rFonts w:ascii="Times New Roman" w:hAnsi="Times New Roman" w:eastAsia="Times New Roman" w:cs="Times New Roman"/>
        </w:rPr>
        <w:t xml:space="preserve"> </w:t>
      </w:r>
      <w:r>
        <w:rPr>
          <w:rFonts w:ascii="Nirmala UI" w:hAnsi="Nirmala UI" w:eastAsia="Nirmala UI" w:cs="Nirmala UI"/>
        </w:rPr>
        <w:t>দাঁড়ালাম।</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বোঝার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থেকেই</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কথার</w:t>
      </w:r>
      <w:r>
        <w:rPr>
          <w:rFonts w:ascii="Times New Roman" w:hAnsi="Times New Roman" w:eastAsia="Times New Roman" w:cs="Times New Roman"/>
        </w:rPr>
        <w:t xml:space="preserve"> </w:t>
      </w:r>
      <w:r>
        <w:rPr>
          <w:rFonts w:ascii="Nirmala UI" w:hAnsi="Nirmala UI" w:eastAsia="Nirmala UI" w:cs="Nirmala UI"/>
        </w:rPr>
        <w:t>কারণেই</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এসেছি।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পারস্য</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অধিপতি</w:t>
      </w:r>
      <w:r>
        <w:rPr>
          <w:rFonts w:ascii="Times New Roman" w:hAnsi="Times New Roman" w:eastAsia="Times New Roman" w:cs="Times New Roman"/>
        </w:rPr>
        <w:t xml:space="preserve"> </w:t>
      </w:r>
      <w:r>
        <w:rPr>
          <w:rFonts w:ascii="Nirmala UI" w:hAnsi="Nirmala UI" w:eastAsia="Nirmala UI" w:cs="Nirmala UI"/>
        </w:rPr>
        <w:t>একুশ</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বিরোধিতা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অধিপতিদের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সাহায্য</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পারস্যের</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রইলাম।</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বুঝিয়ে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এসেছি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১০</w:t>
      </w:r>
      <w:r>
        <w:rPr>
          <w:rFonts w:ascii="Times New Roman" w:hAnsi="Times New Roman" w:eastAsia="Times New Roman" w:cs="Times New Roman"/>
        </w:rPr>
        <w:t>:</w:t>
      </w:r>
      <w:r>
        <w:rPr>
          <w:rFonts w:ascii="Nirmala UI" w:hAnsi="Nirmala UI" w:eastAsia="Nirmala UI" w:cs="Nirmala UI"/>
        </w:rPr>
        <w:t>৪</w:t>
      </w:r>
      <w:r>
        <w:rPr>
          <w:rFonts w:ascii="Times New Roman" w:hAnsi="Times New Roman" w:eastAsia="Times New Roman" w:cs="Times New Roman"/>
        </w:rPr>
        <w:t>–</w:t>
      </w:r>
      <w:r>
        <w:rPr>
          <w:rFonts w:ascii="Nirmala UI" w:hAnsi="Nirmala UI" w:eastAsia="Nirmala UI" w:cs="Nirmala UI"/>
        </w:rPr>
        <w:t>১৪।</w:t>
      </w:r>
    </w:p>
    <w:p>
      <w:pPr>
        <w:pStyle w:val="ArticleBody"/>
        <w:jc w:val="left"/>
      </w:pPr>
      <w:r>
        <w:rPr>
          <w:rFonts w:ascii="Times New Roman" w:hAnsi="Times New Roman" w:eastAsia="Times New Roman" w:cs="Times New Roman"/>
        </w:rPr>
        <w:t>Daniel yallqaña iskay chunka mayan urunaka llaquisiñ tukuyaru purisinaqhina, Cristopa rikuyñinta rikun, Cristopa siminkunataq uyarisin. Diospa Rimaynin qhawasqa, rimasqa ima rikuyqa, iskay kasta runakunata t’aqarin, hinaspan Danielqa ñanpi wañusqa karqa, payqa “hatun puñuypi” kasqanrayku.</w:t>
      </w:r>
    </w:p>
    <w:p>
      <w:pPr>
        <w:pStyle w:val="ArticleScripture"/>
        <w:jc w:val="left"/>
      </w:pPr>
      <w:r>
        <w:rPr>
          <w:rFonts w:ascii="Times New Roman" w:hAnsi="Times New Roman" w:eastAsia="Times New Roman" w:cs="Times New Roman"/>
        </w:rPr>
        <w:t>اے چیزاں اوہنے آکھیاں: تے ایس توں بعد اوہ اُناں نوں آکھدا اے، ساڈا دوست لعزر سُتّا پیا اے؛ پر میں جاندا آں، تاں جو میں اوہنوں نِند وچوں جگاواں۔ فیر اوہدے شاگرداں نے آکھیا، خداوندا، جے اوہ سُتّا پیا اے، تاں اوہ چنگا ہو جاؤ۔ پر یسوع نے اوہدی موت دی بابت آکھیا سی: پر اوہ سمجھدے سن جو اوہ نِند وچ آرام کرن دی گل کردا اے۔ تب یسوع نے اُناں نوں صاف صاف آکھیا، لعزر مر گیا اے۔ یوحنا 11:11–14۔</w:t>
      </w:r>
    </w:p>
    <w:p>
      <w:pPr>
        <w:pStyle w:val="ArticleBody"/>
        <w:jc w:val="left"/>
      </w:pPr>
      <w:r>
        <w:rPr>
          <w:rFonts w:ascii="Times New Roman" w:hAnsi="Times New Roman" w:eastAsia="Times New Roman" w:cs="Times New Roman"/>
        </w:rPr>
        <w:t>ئذٍ لَمَسَ جبرائيلُ دانيالَ للمرة الأولى، وأعلمه بالصراع السياسي الذي كان جارياً بينما كان دانيال ميتاً (نائماً)، وأنه الآن مزمعٌ أن يقدّم تفسير الرؤيا التي كانت قد حوّلت دانيال تَوّاً إلى صورة المسيح. ثم سيُلمَس بعد ذلك للمرة الثانية، من المسيح نفسه.</w:t>
      </w:r>
    </w:p>
    <w:p>
      <w:pPr>
        <w:pStyle w:val="ArticleScripture"/>
        <w:jc w:val="left"/>
      </w:pPr>
      <w:r>
        <w:rPr>
          <w:rFonts w:ascii="Times New Roman" w:hAnsi="Times New Roman" w:eastAsia="Times New Roman" w:cs="Times New Roman"/>
        </w:rPr>
        <w:t>A cuando amsaquellayta ñoqaman rimaykuchkaptin, uyaqta pampaman churakurqani, hinaspa upallayman tukurqani. Hinaqtinmi, qhawariy, runakunaq churinkunapa rikchaynin hina kaq hukqa simiyta llamk’achirqan. Chaymantam simiyta kicharirqani, rimarirqani, hinaspa ñawpaqpi sayashaqman nirqani: “Ay señorniy, kay visiónraykum llakikunaykuna ñoqaman kutirimun, manataqmi kallpayta waqaychayta atirqanichu. Imaynataq kay señorniypa kamachin kay señorniywan rimayta atinman? Ñoqapaqqa, chay ratollam mana ima kallpapas qhiparqarqanchu, nitaq samaypas ñoqapi qhiparqanchu.” Daniel 10:15–17.</w:t>
      </w:r>
    </w:p>
    <w:p>
      <w:pPr>
        <w:pStyle w:val="ArticleBody"/>
        <w:jc w:val="left"/>
      </w:pPr>
      <w:r>
        <w:rPr>
          <w:rFonts w:ascii="Times New Roman" w:hAnsi="Times New Roman" w:eastAsia="Times New Roman" w:cs="Times New Roman"/>
        </w:rPr>
        <w:t>Aua hangai te parau nei ki te poroite matamua a Ezekiela i roto i te pene toru ahuru ma hitu, no te mea i roto i na poroite e piti ta Ezekiela i parauhia ia faaite atu i te ivi pohe i roto i te peho, na te poroite matamua e hamanihia ’i te tino, aita râ i reira e aho to roto ia ratou, e aita atoa to ratou puai mai te nuu rahi itoito. Na te piti o te poroite a Ezekiela e farii ai taua mau tino ra i te aho no roto mai i na mata‘i e maha e e tia ratou i nia mai te hoê nuu rahi itoito; e i te piti o te pa-raa ia Daniela, “aita roa ’tura e puai toe i roto ia ’u nei, e aita atoa e aho toe i roto ia ’u.” I muri iho, ua pa-faahou-hia Daniela i te toru o te taime i te taatoaraa, e i te piti o te taime e Gabriela.</w:t>
      </w:r>
    </w:p>
    <w:p>
      <w:pPr>
        <w:pStyle w:val="ArticleScripture"/>
        <w:jc w:val="left"/>
      </w:pPr>
      <w:r>
        <w:rPr>
          <w:rFonts w:ascii="Times New Roman" w:hAnsi="Times New Roman" w:eastAsia="Times New Roman" w:cs="Times New Roman"/>
        </w:rPr>
        <w:t>Afei ebaa bio a na ɔde nea ɔte sɛ onipa no sɛso bɛkaa me, na ɔhyɛɛ me den, na ɔkae sɛ, O onipa a wɔdɔ wo yiye, nsuro: asomdwoe nka wo; yɛ den, yiw, yɛ den. Na bere a ɔkasa kyerɛɛ me no, minyaa ahoɔden, na mekae sɛ, Ma me wura nkasa; efisɛ woahyɛ me den. Daniel 10:18, 19.</w:t>
      </w:r>
    </w:p>
    <w:p>
      <w:pPr>
        <w:pStyle w:val="ArticleBody"/>
        <w:jc w:val="left"/>
      </w:pPr>
      <w:r>
        <w:rPr>
          <w:rFonts w:ascii="Times New Roman" w:hAnsi="Times New Roman" w:eastAsia="Times New Roman" w:cs="Times New Roman"/>
        </w:rPr>
        <w:t>Ukunyatshelwa kwesithathu kukaDaniyeli, kuyisiprofetho sesibili sikaHezekeli, esiletha imizimba ukuba ime ngezinyawo zayo njengempi enkulu enamandla. Isiprofetho sakhe sibhekiswe kubantu abaqondayo ukuthi bafile, ngoba babesesililweni, njengoba noDaniyeli wayenjalo.</w:t>
      </w:r>
    </w:p>
    <w:p>
      <w:pPr>
        <w:pStyle w:val="ArticleScripture"/>
        <w:jc w:val="left"/>
      </w:pPr>
      <w:r>
        <w:rPr>
          <w:rFonts w:ascii="Times New Roman" w:hAnsi="Times New Roman" w:eastAsia="Times New Roman" w:cs="Times New Roman"/>
        </w:rPr>
        <w:t>Y entonces me dijo: Profetiza al viento, profetiza, hijo de hombre, y di al viento: Así ha dicho el Señor Dios: Ven de los cuatro vientos, oh aliento, y sopla sobre estos muertos, para que vivan. Y profeticé como me había mandado, y entró aliento en ellos, y vivieron, y se pusieron sobre sus pies, un ejército inmensamente grande. Entonces me dijo: Hijo de hombre, estos huesos son toda la casa de Israel; he aquí, ellos dicen: Nuestros huesos se secaron, y nuestra esperanza pereció; somos del todo destruidos. Ezequiel 37:9–11.</w:t>
      </w:r>
    </w:p>
    <w:p>
      <w:pPr>
        <w:pStyle w:val="ArticleBody"/>
        <w:jc w:val="left"/>
      </w:pPr>
      <w:r>
        <w:rPr>
          <w:rFonts w:ascii="Times New Roman" w:hAnsi="Times New Roman" w:eastAsia="Times New Roman" w:cs="Times New Roman"/>
        </w:rPr>
        <w:t>El Señor ordena a Ezequiel que profetice, y le dice que el testimonio de la casa de Israel es que están muertos, sin esperanza y separados. Están de luto, como lo estaba Daniel, porque se sienten decepcionados por la predicción fallida del 18 de julio de 2020, y en esa condición, a Ezequiel se le dice que profetice.</w:t>
      </w:r>
    </w:p>
    <w:p>
      <w:pPr>
        <w:pStyle w:val="ArticleScripture"/>
        <w:jc w:val="left"/>
      </w:pPr>
      <w:r>
        <w:rPr>
          <w:rFonts w:ascii="Times New Roman" w:hAnsi="Times New Roman" w:eastAsia="Times New Roman" w:cs="Times New Roman"/>
        </w:rPr>
        <w:t>Sự vậy, hãy nói tiên tri và bảo chúng rằng: Chúa là Đức Giê-hô-va phán như vầy: Nầy, hỡi dân Ta, Ta sẽ mở các mồ mả các ngươi, khiến các ngươi từ các mồ mả mình đi lên, và đem các ngươi vào đất Y-sơ-ra-ên. Khi Ta đã mở các mồ mả các ngươi, hỡi dân Ta, và đem các ngươi lên khỏi các mồ mả mình, thì các ngươi sẽ biết rằng Ta là Đức Giê-hô-va. Ta sẽ đặt Thần Ta trong các ngươi, thì các ngươi sẽ sống; Ta sẽ đặt các ngươi trong đất của chính mình. Bấy giờ các ngươi sẽ biết rằng Ta, Đức Giê-hô-va, đã phán điều ấy và đã làm thành, Đức Giê-hô-va phán vậy. Ê-xê-chi-ên 37:12–14.</w:t>
      </w:r>
    </w:p>
    <w:p>
      <w:pPr>
        <w:pStyle w:val="ArticleBody"/>
        <w:jc w:val="left"/>
      </w:pPr>
      <w:r>
        <w:rPr>
          <w:rFonts w:ascii="Times New Roman" w:hAnsi="Times New Roman" w:eastAsia="Times New Roman" w:cs="Times New Roman"/>
        </w:rPr>
        <w:t>Tàan u Yuum, leti’ Michael u noj ka’anal ángel, ku jéets’ óoltik u je’elo’ob yéetel u ka’ach testigoso’ob ti’ Apocalipsis once, leti’ob xan tu’ux ka’ajsaj u kuxlajalil, ka ts’a’ab ti’ob le Espíritu Santo, ka wa’ats’abo’ob; bey xan ts’a’ab le Espíritu Santo ti’ le máako’ob ku wa’atalo’ob le ken jo’oksako’ob ti’ u je’elo’ob ichil u ka’ats’ p’aatal t’aan Ezequiel.</w:t>
      </w:r>
    </w:p>
    <w:p>
      <w:pPr>
        <w:pStyle w:val="ArticleScripture"/>
        <w:jc w:val="left"/>
      </w:pPr>
      <w:r>
        <w:rPr>
          <w:rFonts w:ascii="Times New Roman" w:hAnsi="Times New Roman" w:eastAsia="Times New Roman" w:cs="Times New Roman"/>
        </w:rPr>
        <w:t>And after three days and an half, the Spirit of life from God entered into them, and they stood upon their feet; and great fear fell upon them which saw them. Revelation 11:11.</w:t>
      </w:r>
    </w:p>
    <w:p>
      <w:pPr>
        <w:pStyle w:val="ArticleBody"/>
        <w:jc w:val="left"/>
      </w:pPr>
      <w:r>
        <w:rPr>
          <w:rFonts w:ascii="Times New Roman" w:hAnsi="Times New Roman" w:eastAsia="Times New Roman" w:cs="Times New Roman"/>
        </w:rPr>
        <w:t>Anang saksi duwa atig ilarawan a kaanggid da Moses ken Elias, ket ni Moses met napagungar babaen iti timek ti arkanghel.</w:t>
      </w:r>
    </w:p>
    <w:p>
      <w:pPr>
        <w:pStyle w:val="ArticleScripture"/>
        <w:jc w:val="left"/>
      </w:pPr>
      <w:r>
        <w:rPr>
          <w:rFonts w:ascii="Microsoft Himalaya" w:hAnsi="Microsoft Himalaya" w:eastAsia="Microsoft Himalaya" w:cs="Microsoft Himalaya"/>
        </w:rPr>
        <w:t>འོན་ཀྱང་ལྷ་དམག་གི་མགོན་པོ་མི་ཁཱེལ་གྱིས།</w:t>
      </w:r>
      <w:r>
        <w:rPr>
          <w:rFonts w:ascii="Times New Roman" w:hAnsi="Times New Roman" w:eastAsia="Times New Roman" w:cs="Times New Roman"/>
        </w:rPr>
        <w:t xml:space="preserve"> </w:t>
      </w:r>
      <w:r>
        <w:rPr>
          <w:rFonts w:ascii="Microsoft Himalaya" w:hAnsi="Microsoft Himalaya" w:eastAsia="Microsoft Himalaya" w:cs="Microsoft Himalaya"/>
        </w:rPr>
        <w:t>བདུད་དང་རྩོད་པ་བྱས་ཏེ་མོ་ཤེའི་ཕུང་པོའི་སྐོར་ལ་རྩོད་པ་བྱུང་བའི་ཚེ།</w:t>
      </w:r>
      <w:r>
        <w:rPr>
          <w:rFonts w:ascii="Times New Roman" w:hAnsi="Times New Roman" w:eastAsia="Times New Roman" w:cs="Times New Roman"/>
        </w:rPr>
        <w:t xml:space="preserve"> </w:t>
      </w:r>
      <w:r>
        <w:rPr>
          <w:rFonts w:ascii="Microsoft Himalaya" w:hAnsi="Microsoft Himalaya" w:eastAsia="Microsoft Himalaya" w:cs="Microsoft Himalaya"/>
        </w:rPr>
        <w:t>ཁོའི་མི་འོས་པའི་སྨད་ཚིག་གི་ཉེས་འཛུགས་ཤིག་ཀྱང་མ་བཀོད་པར།</w:t>
      </w:r>
      <w:r>
        <w:rPr>
          <w:rFonts w:ascii="Times New Roman" w:hAnsi="Times New Roman" w:eastAsia="Times New Roman" w:cs="Times New Roman"/>
        </w:rPr>
        <w:t xml:space="preserve"> “</w:t>
      </w:r>
      <w:r>
        <w:rPr>
          <w:rFonts w:ascii="Microsoft Himalaya" w:hAnsi="Microsoft Himalaya" w:eastAsia="Microsoft Himalaya" w:cs="Microsoft Himalaya"/>
        </w:rPr>
        <w:t>གཙོ་བོས་ཁྱོད་ལ་བཀག་པར་མཛོད།</w:t>
      </w:r>
      <w:r>
        <w:rPr>
          <w:rFonts w:ascii="Times New Roman" w:hAnsi="Times New Roman" w:eastAsia="Times New Roman" w:cs="Times New Roman"/>
        </w:rPr>
        <w:t xml:space="preserve">” </w:t>
      </w:r>
      <w:r>
        <w:rPr>
          <w:rFonts w:ascii="Microsoft Himalaya" w:hAnsi="Microsoft Himalaya" w:eastAsia="Microsoft Himalaya" w:cs="Microsoft Himalaya"/>
        </w:rPr>
        <w:t>ཅེས་གསུངས་སོ།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ཡུ་དཱ་</w:t>
      </w:r>
      <w:r>
        <w:rPr>
          <w:rFonts w:ascii="Times New Roman" w:hAnsi="Times New Roman" w:eastAsia="Times New Roman" w:cs="Times New Roman"/>
        </w:rPr>
        <w:t xml:space="preserve"> 1:9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Miguel, tu nꞌáanjil yéetel junpʼéelil áanjililoʼ, letiʼeʼ u páajtal a taal a yáantaj Gabriel ichil Daniel capítulo diez, yéetel letiʼeʼ u tʼaan le kʼáat chiʼik u kuxaʼanil le máakoʼoboʼ yéetel le xchʼúupaloʼoboʼ.</w:t>
      </w:r>
    </w:p>
    <w:p>
      <w:pPr>
        <w:pStyle w:val="ArticleScripture"/>
        <w:jc w:val="left"/>
      </w:pPr>
      <w:r>
        <w:rPr>
          <w:rFonts w:ascii="Times New Roman" w:hAnsi="Times New Roman" w:eastAsia="Times New Roman" w:cs="Times New Roman"/>
        </w:rPr>
        <w:t>Ard Tiarna féin anuas ó neamh le gáir á ordú, le glór an ardaingil, agus le trumpa Dé: agus éireoidh na mairbh i gCríost ar dtús. 1 Teasalónaigh 4:16.</w:t>
      </w:r>
    </w:p>
    <w:p>
      <w:pPr>
        <w:pStyle w:val="ArticleBody"/>
        <w:jc w:val="left"/>
      </w:pPr>
      <w:r>
        <w:rPr>
          <w:rFonts w:ascii="Times New Roman" w:hAnsi="Times New Roman" w:eastAsia="Times New Roman" w:cs="Times New Roman"/>
        </w:rPr>
        <w:t>دانیال کے تین لمس تیسرے فرشتے کی لاؤدِیکیہی تحریک سے تیسرے فرشتے کی فلاڈیلفیہی تحریک کی جانب انتقال کی نمائندگی کرتے ہیں، اور دانیال دس میں وہ رویا جو لاؤدِیکیہ کی شبیہ سے فلاڈیلفیہ کی شبیہ تک اس انتقال کو انجام دیتی ہے، اُس نبوی تاریخ کے ذریعہ ظاہر کی گئی ہے جو باب گیارہ میں پیش کی گئی ہے۔ حزقی ایل اس رویا کو تیسرے ہائے کے اسلام کی رویا کے طور پر ظاہر کرتا ہے۔ 2014 میں روس نے دوسری پراکسی جنگ کا آغاز کیا۔ 2015 میں دولت مند ترین صدر نے چھٹا صدر بننے کی اپنی کوششوں کا آغاز کیا۔</w:t>
      </w:r>
    </w:p>
    <w:p>
      <w:pPr>
        <w:pStyle w:val="ArticleBody"/>
        <w:jc w:val="left"/>
      </w:pP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सिङको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तल्लो</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कुण्डबाट</w:t>
      </w:r>
      <w:r>
        <w:rPr>
          <w:rFonts w:ascii="Times New Roman" w:hAnsi="Times New Roman" w:eastAsia="Times New Roman" w:cs="Times New Roman"/>
        </w:rPr>
        <w:t xml:space="preserve"> </w:t>
      </w:r>
      <w:r>
        <w:rPr>
          <w:rFonts w:ascii="Nirmala UI" w:hAnsi="Nirmala UI" w:eastAsia="Nirmala UI" w:cs="Nirmala UI"/>
        </w:rPr>
        <w:t>निस्केको</w:t>
      </w:r>
      <w:r>
        <w:rPr>
          <w:rFonts w:ascii="Times New Roman" w:hAnsi="Times New Roman" w:eastAsia="Times New Roman" w:cs="Times New Roman"/>
        </w:rPr>
        <w:t xml:space="preserve"> “</w:t>
      </w:r>
      <w:r>
        <w:rPr>
          <w:rFonts w:ascii="Nirmala UI" w:hAnsi="Nirmala UI" w:eastAsia="Nirmala UI" w:cs="Nirmala UI"/>
        </w:rPr>
        <w:t>वोक</w:t>
      </w:r>
      <w:r>
        <w:rPr>
          <w:rFonts w:ascii="Times New Roman" w:hAnsi="Times New Roman" w:eastAsia="Times New Roman" w:cs="Times New Roman"/>
        </w:rPr>
        <w:t xml:space="preserve">” </w:t>
      </w:r>
      <w:r>
        <w:rPr>
          <w:rFonts w:ascii="Nirmala UI" w:hAnsi="Nirmala UI" w:eastAsia="Nirmala UI" w:cs="Nirmala UI"/>
        </w:rPr>
        <w:t>नास्तिक</w:t>
      </w:r>
      <w:r>
        <w:rPr>
          <w:rFonts w:ascii="Times New Roman" w:hAnsi="Times New Roman" w:eastAsia="Times New Roman" w:cs="Times New Roman"/>
        </w:rPr>
        <w:t xml:space="preserve"> </w:t>
      </w:r>
      <w:r>
        <w:rPr>
          <w:rFonts w:ascii="Nirmala UI" w:hAnsi="Nirmala UI" w:eastAsia="Nirmala UI" w:cs="Nirmala UI"/>
        </w:rPr>
        <w:t>पशुद्वारा</w:t>
      </w:r>
      <w:r>
        <w:rPr>
          <w:rFonts w:ascii="Times New Roman" w:hAnsi="Times New Roman" w:eastAsia="Times New Roman" w:cs="Times New Roman"/>
        </w:rPr>
        <w:t xml:space="preserve"> </w:t>
      </w:r>
      <w:r>
        <w:rPr>
          <w:rFonts w:ascii="Nirmala UI" w:hAnsi="Nirmala UI" w:eastAsia="Nirmala UI" w:cs="Nirmala UI"/>
        </w:rPr>
        <w:t>मारियो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लाओडिसियाली</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मारियो।</w:t>
      </w:r>
      <w:r>
        <w:rPr>
          <w:rFonts w:ascii="Times New Roman" w:hAnsi="Times New Roman" w:eastAsia="Times New Roman" w:cs="Times New Roman"/>
        </w:rPr>
        <w:t xml:space="preserve"> </w:t>
      </w:r>
      <w:r>
        <w:rPr>
          <w:rFonts w:ascii="Nirmala UI" w:hAnsi="Nirmala UI" w:eastAsia="Nirmala UI" w:cs="Nirmala UI"/>
        </w:rPr>
        <w:t>२०२३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सातमध्ये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आठौँतर्फ</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एउटाले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ल्याइँदै</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प्रतिमातर्फ</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लाओडिसियाको</w:t>
      </w:r>
      <w:r>
        <w:rPr>
          <w:rFonts w:ascii="Times New Roman" w:hAnsi="Times New Roman" w:eastAsia="Times New Roman" w:cs="Times New Roman"/>
        </w:rPr>
        <w:t xml:space="preserve"> </w:t>
      </w:r>
      <w:r>
        <w:rPr>
          <w:rFonts w:ascii="Nirmala UI" w:hAnsi="Nirmala UI" w:eastAsia="Nirmala UI" w:cs="Nirmala UI"/>
        </w:rPr>
        <w:t>प्रतिमाबाट</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प्रतिमातर्फ</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दुवैलाई</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एउटाले</w:t>
      </w:r>
      <w:r>
        <w:rPr>
          <w:rFonts w:ascii="Times New Roman" w:hAnsi="Times New Roman" w:eastAsia="Times New Roman" w:cs="Times New Roman"/>
        </w:rPr>
        <w:t xml:space="preserve"> “</w:t>
      </w:r>
      <w:r>
        <w:rPr>
          <w:rFonts w:ascii="Nirmala UI" w:hAnsi="Nirmala UI" w:eastAsia="Nirmala UI" w:cs="Nirmala UI"/>
        </w:rPr>
        <w:t>अलेक्जेन्डर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बन्नेछ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राजामध्ये</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वेश्यालाई</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अर्कोलाई</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झन्डाका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पारिनेछ।</w:t>
      </w:r>
    </w:p>
    <w:p>
      <w:pPr>
        <w:pStyle w:val="ArticleBody"/>
        <w:jc w:val="left"/>
      </w:pPr>
      <w:r>
        <w:rPr>
          <w:rFonts w:ascii="Times New Roman" w:hAnsi="Times New Roman" w:eastAsia="Times New Roman" w:cs="Times New Roman"/>
        </w:rPr>
        <w:t>ڕوؤیایی کە هەردوو ئەم گواستنەوەیە بەرهەم دەهێنێت، ئەو مێژوویەیە کە لە نێوان ١١ی ئەیلوولی ٢٠٠١ و یاسای یەکشەممەدا دەکاتەوە. ئایەتی یازدەی بەشی یازدەی دانیال، بە تایبەتی لەو چوارچێوەیەدا ناسێنراوە کە ئەگەر باوەڕ نەکەن، جێگیر نابن.</w:t>
      </w:r>
    </w:p>
    <w:p>
      <w:pPr>
        <w:pStyle w:val="ArticleBody"/>
        <w:jc w:val="left"/>
      </w:pPr>
      <w:r>
        <w:rPr>
          <w:rFonts w:ascii="Times New Roman" w:hAnsi="Times New Roman" w:eastAsia="Times New Roman" w:cs="Times New Roman"/>
        </w:rPr>
        <w:t>Am yatnaqqel ad d-nekkem deg tezrawt-a deg umagrad d-iteddun.</w:t>
      </w:r>
    </w:p>
    <w:p>
      <w:pPr>
        <w:pStyle w:val="ArticleScripture"/>
        <w:jc w:val="left"/>
      </w:pPr>
      <w:r>
        <w:rPr>
          <w:rFonts w:ascii="Times New Roman" w:hAnsi="Times New Roman" w:eastAsia="Times New Roman" w:cs="Times New Roman"/>
        </w:rPr>
        <w:t>«Қасиетті кітап қағидалары күнделікті өмірдің жетекшісі болуға тиіс. Мәсіхтің айқышы үйреніп, іс жүзінде орындауға тиісті сабақтарды ашып көрсететін негізгі тақырып болуға тиіс. Студенттер Құдай туралы білімді бойларына сіңіріп, Оны мінез-құлықтарымен таныта алулары үшін, Мәсіх барлық оқу пәндерінің ішіне енгізілуге тиіс. Оның кемелдігі уақыт ішінде де, мәңгілікте де біздің зерттеуіміз болуға тиіс. Ескі және Жаңа Өсиеттерде Мәсіх айтқан Құдай сөзі — көктен түскен нан; бірақ ғылым деп аталатынның көп бөлігі адам ойлап тапқан тағамдар іспетті, былғанған ас; ол шынайы манна емес.</w:t>
      </w:r>
    </w:p>
    <w:p>
      <w:pPr>
        <w:pStyle w:val="ArticleScripture"/>
        <w:jc w:val="left"/>
      </w:pPr>
      <w:r>
        <w:rPr>
          <w:rFonts w:ascii="Times New Roman" w:hAnsi="Times New Roman" w:eastAsia="Times New Roman" w:cs="Times New Roman"/>
        </w:rPr>
        <w:t>“U ka jingïathuh da ka Ktien U Blei la shem ia ka jingstad kaba ym lah ban kylli, kaba ym ju kut—ka jingstad kaba la mih, ym na ka jingmut kaba rit, hynrei na ka jingmut bymjukut. Hynrei bun na kata kaba U Blei u la pynpaw ha ka Ktien jong U ka long kaba dum ha ki briew, namar ki mawlynnai ka jingshisha la tep hapoh ka niut jong ka jingstad bad ka rukom tynrai jong u briew. Ia kiba bun ki spah ka Ktien ki dang rieh, namar ym shym la wad ia ki da ka jingiaishah kaba shitom haduh ba la sngewthuh ia ki hukum ksiar. Ia ka Ktien dei ban wad khnang ban pynkhuid bad pynkhreh ia kito kiba pdiang ia ka ban long ki dkhot jong ka iing syiem, ki khun jong U Syiem bneng.”</w:t>
      </w:r>
    </w:p>
    <w:p>
      <w:pPr>
        <w:pStyle w:val="ArticleScripture"/>
        <w:jc w:val="left"/>
      </w:pPr>
      <w:r>
        <w:rPr>
          <w:rFonts w:ascii="Times New Roman" w:hAnsi="Times New Roman" w:eastAsia="Times New Roman" w:cs="Times New Roman"/>
        </w:rPr>
        <w:t>گنای خدای وشهٔ پژوهن، او کتابانِ پژوهن جا بَگیره که ذهنا ره به رازآمیزی کِشیدنه و از راستی دور کَرده‌نه. ئِشو زنده‌گی‌بَخش اصولان، که در زندگی‌مَن تنیده بونه‌نه، در آزمایشا و وسوسه‌گان، نگهبانِ ما خاهَند بون؛ و آموزشِ الهیِ ئِشو یگانه راهِ کامیابی‌یه. وختی آزمایش بر هر جان می‌یه، برگشتا از ایمان خاهَند بون. بعضیا خاین، شتاب‌زده، مغرور و خودکفا از کار در میان خاهَند آمَد و از راستی رو خاهَند تاوَند و ایمان ره به تباهی خاهَند کِشوند. چرا؟ چون به «هر کلامی که از دهان خدا صادر می‌شود» زندگی نَکردنه. ئیشان ژرف نَکَندنه و بنیادِ خۆ ره استوار نَساختنه.</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ရွေးချယ်တော်မူသော</w:t>
      </w:r>
      <w:r>
        <w:rPr>
          <w:rFonts w:ascii="Times New Roman" w:hAnsi="Times New Roman" w:eastAsia="Times New Roman" w:cs="Times New Roman"/>
        </w:rPr>
        <w:t xml:space="preserve"> </w:t>
      </w:r>
      <w:r>
        <w:rPr>
          <w:rFonts w:ascii="Myanmar Text" w:hAnsi="Myanmar Text" w:eastAsia="Myanmar Text" w:cs="Myanmar Text"/>
        </w:rPr>
        <w:t>သတင်းပို့ဆောင်သူတို့မှတစ်ဆင့်</w:t>
      </w:r>
      <w:r>
        <w:rPr>
          <w:rFonts w:ascii="Times New Roman" w:hAnsi="Times New Roman" w:eastAsia="Times New Roman" w:cs="Times New Roman"/>
        </w:rPr>
        <w:t xml:space="preserve"> </w:t>
      </w:r>
      <w:r>
        <w:rPr>
          <w:rFonts w:ascii="Myanmar Text" w:hAnsi="Myanmar Text" w:eastAsia="Myanmar Text" w:cs="Myanmar Text"/>
        </w:rPr>
        <w:t>ပေးအပ်သော</w:t>
      </w:r>
      <w:r>
        <w:rPr>
          <w:rFonts w:ascii="Times New Roman" w:hAnsi="Times New Roman" w:eastAsia="Times New Roman" w:cs="Times New Roman"/>
        </w:rPr>
        <w:t xml:space="preserve"> </w:t>
      </w:r>
      <w:r>
        <w:rPr>
          <w:rFonts w:ascii="Myanmar Text" w:hAnsi="Myanmar Text" w:eastAsia="Myanmar Text" w:cs="Myanmar Text"/>
        </w:rPr>
        <w:t>နှုတ်ကပတ်တော်များကို</w:t>
      </w:r>
      <w:r>
        <w:rPr>
          <w:rFonts w:ascii="Times New Roman" w:hAnsi="Times New Roman" w:eastAsia="Times New Roman" w:cs="Times New Roman"/>
        </w:rPr>
        <w:t xml:space="preserve"> </w:t>
      </w:r>
      <w:r>
        <w:rPr>
          <w:rFonts w:ascii="Myanmar Text" w:hAnsi="Myanmar Text" w:eastAsia="Myanmar Text" w:cs="Myanmar Text"/>
        </w:rPr>
        <w:t>သူတို့ထံ</w:t>
      </w:r>
      <w:r>
        <w:rPr>
          <w:rFonts w:ascii="Times New Roman" w:hAnsi="Times New Roman" w:eastAsia="Times New Roman" w:cs="Times New Roman"/>
        </w:rPr>
        <w:t xml:space="preserve"> </w:t>
      </w:r>
      <w:r>
        <w:rPr>
          <w:rFonts w:ascii="Myanmar Text" w:hAnsi="Myanmar Text" w:eastAsia="Myanmar Text" w:cs="Myanmar Text"/>
        </w:rPr>
        <w:t>ယူဆောင်လာသောအခါ၊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မကျေနပ်စွာ</w:t>
      </w:r>
      <w:r>
        <w:rPr>
          <w:rFonts w:ascii="Times New Roman" w:hAnsi="Times New Roman" w:eastAsia="Times New Roman" w:cs="Times New Roman"/>
        </w:rPr>
        <w:t xml:space="preserve"> </w:t>
      </w:r>
      <w:r>
        <w:rPr>
          <w:rFonts w:ascii="Myanmar Text" w:hAnsi="Myanmar Text" w:eastAsia="Myanmar Text" w:cs="Myanmar Text"/>
        </w:rPr>
        <w:t>ညည်းညူကြပြီး</w:t>
      </w:r>
      <w:r>
        <w:rPr>
          <w:rFonts w:ascii="Times New Roman" w:hAnsi="Times New Roman" w:eastAsia="Times New Roman" w:cs="Times New Roman"/>
        </w:rPr>
        <w:t xml:space="preserve"> </w:t>
      </w:r>
      <w:r>
        <w:rPr>
          <w:rFonts w:ascii="Myanmar Text" w:hAnsi="Myanmar Text" w:eastAsia="Myanmar Text" w:cs="Myanmar Text"/>
        </w:rPr>
        <w:t>လမ်းခရီးကို</w:t>
      </w:r>
      <w:r>
        <w:rPr>
          <w:rFonts w:ascii="Times New Roman" w:hAnsi="Times New Roman" w:eastAsia="Times New Roman" w:cs="Times New Roman"/>
        </w:rPr>
        <w:t xml:space="preserve"> </w:t>
      </w:r>
      <w:r>
        <w:rPr>
          <w:rFonts w:ascii="Myanmar Text" w:hAnsi="Myanmar Text" w:eastAsia="Myanmar Text" w:cs="Myanmar Text"/>
        </w:rPr>
        <w:t>အလွန်ကျဉ်းကျပ်လွန်းအောင်</w:t>
      </w:r>
      <w:r>
        <w:rPr>
          <w:rFonts w:ascii="Times New Roman" w:hAnsi="Times New Roman" w:eastAsia="Times New Roman" w:cs="Times New Roman"/>
        </w:rPr>
        <w:t xml:space="preserve"> </w:t>
      </w:r>
      <w:r>
        <w:rPr>
          <w:rFonts w:ascii="Myanmar Text" w:hAnsi="Myanmar Text" w:eastAsia="Myanmar Text" w:cs="Myanmar Text"/>
        </w:rPr>
        <w:t>ပြုထားသည်ဟု</w:t>
      </w:r>
      <w:r>
        <w:rPr>
          <w:rFonts w:ascii="Times New Roman" w:hAnsi="Times New Roman" w:eastAsia="Times New Roman" w:cs="Times New Roman"/>
        </w:rPr>
        <w:t xml:space="preserve"> </w:t>
      </w:r>
      <w:r>
        <w:rPr>
          <w:rFonts w:ascii="Myanmar Text" w:hAnsi="Myanmar Text" w:eastAsia="Myanmar Text" w:cs="Myanmar Text"/>
        </w:rPr>
        <w:t>ထင်မြင်ကြသည်။</w:t>
      </w:r>
      <w:r>
        <w:rPr>
          <w:rFonts w:ascii="Times New Roman" w:hAnsi="Times New Roman" w:eastAsia="Times New Roman" w:cs="Times New Roman"/>
        </w:rPr>
        <w:t xml:space="preserve"> </w:t>
      </w:r>
      <w:r>
        <w:rPr>
          <w:rFonts w:ascii="Myanmar Text" w:hAnsi="Myanmar Text" w:eastAsia="Myanmar Text" w:cs="Myanmar Text"/>
        </w:rPr>
        <w:t>ယောဟန်ခရစ်ဝင်</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တပည့်များဟု</w:t>
      </w:r>
      <w:r>
        <w:rPr>
          <w:rFonts w:ascii="Times New Roman" w:hAnsi="Times New Roman" w:eastAsia="Times New Roman" w:cs="Times New Roman"/>
        </w:rPr>
        <w:t xml:space="preserve"> </w:t>
      </w:r>
      <w:r>
        <w:rPr>
          <w:rFonts w:ascii="Myanmar Text" w:hAnsi="Myanmar Text" w:eastAsia="Myanmar Text" w:cs="Myanmar Text"/>
        </w:rPr>
        <w:t>ယူဆခံရသော</w:t>
      </w:r>
      <w:r>
        <w:rPr>
          <w:rFonts w:ascii="Times New Roman" w:hAnsi="Times New Roman" w:eastAsia="Times New Roman" w:cs="Times New Roman"/>
        </w:rPr>
        <w:t xml:space="preserve"> </w:t>
      </w:r>
      <w:r>
        <w:rPr>
          <w:rFonts w:ascii="Myanmar Text" w:hAnsi="Myanmar Text" w:eastAsia="Myanmar Text" w:cs="Myanmar Text"/>
        </w:rPr>
        <w:t>အချို့အကြောင်းကို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ဖတ်ရသည်။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ရှင်းလင်းသော</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တင်ပြသောအခါ၊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မနှစ်သက်ဘဲ</w:t>
      </w:r>
      <w:r>
        <w:rPr>
          <w:rFonts w:ascii="Times New Roman" w:hAnsi="Times New Roman" w:eastAsia="Times New Roman" w:cs="Times New Roman"/>
        </w:rPr>
        <w:t xml:space="preserve"> </w:t>
      </w:r>
      <w:r>
        <w:rPr>
          <w:rFonts w:ascii="Myanmar Text" w:hAnsi="Myanmar Text" w:eastAsia="Myanmar Text" w:cs="Myanmar Text"/>
        </w:rPr>
        <w:t>ကိုယ်တော်နှင့်အတူ</w:t>
      </w:r>
      <w:r>
        <w:rPr>
          <w:rFonts w:ascii="Times New Roman" w:hAnsi="Times New Roman" w:eastAsia="Times New Roman" w:cs="Times New Roman"/>
        </w:rPr>
        <w:t xml:space="preserve"> </w:t>
      </w:r>
      <w:r>
        <w:rPr>
          <w:rFonts w:ascii="Myanmar Text" w:hAnsi="Myanmar Text" w:eastAsia="Myanmar Text" w:cs="Myanmar Text"/>
        </w:rPr>
        <w:t>မသွားကြတော့ချေ။</w:t>
      </w:r>
      <w:r>
        <w:rPr>
          <w:rFonts w:ascii="Times New Roman" w:hAnsi="Times New Roman" w:eastAsia="Times New Roman" w:cs="Times New Roman"/>
        </w:rPr>
        <w:t xml:space="preserve"> </w:t>
      </w:r>
      <w:r>
        <w:rPr>
          <w:rFonts w:ascii="Myanmar Text" w:hAnsi="Myanmar Text" w:eastAsia="Myanmar Text" w:cs="Myanmar Text"/>
        </w:rPr>
        <w:t>ထိုနည်းတူပင်</w:t>
      </w:r>
      <w:r>
        <w:rPr>
          <w:rFonts w:ascii="Times New Roman" w:hAnsi="Times New Roman" w:eastAsia="Times New Roman" w:cs="Times New Roman"/>
        </w:rPr>
        <w:t xml:space="preserve"> </w:t>
      </w:r>
      <w:r>
        <w:rPr>
          <w:rFonts w:ascii="Myanmar Text" w:hAnsi="Myanmar Text" w:eastAsia="Myanmar Text" w:cs="Myanmar Text"/>
        </w:rPr>
        <w:t>ဤမျက်နှာပြင်သာလျှင်</w:t>
      </w:r>
      <w:r>
        <w:rPr>
          <w:rFonts w:ascii="Times New Roman" w:hAnsi="Times New Roman" w:eastAsia="Times New Roman" w:cs="Times New Roman"/>
        </w:rPr>
        <w:t xml:space="preserve"> </w:t>
      </w:r>
      <w:r>
        <w:rPr>
          <w:rFonts w:ascii="Myanmar Text" w:hAnsi="Myanmar Text" w:eastAsia="Myanmar Text" w:cs="Myanmar Text"/>
        </w:rPr>
        <w:t>ထိတွေ့လေ့လာသူတို့သည်လည်း</w:t>
      </w:r>
      <w:r>
        <w:rPr>
          <w:rFonts w:ascii="Times New Roman" w:hAnsi="Times New Roman" w:eastAsia="Times New Roman" w:cs="Times New Roman"/>
        </w:rPr>
        <w:t xml:space="preserve"> </w:t>
      </w:r>
      <w:r>
        <w:rPr>
          <w:rFonts w:ascii="Myanmar Text" w:hAnsi="Myanmar Text" w:eastAsia="Myanmar Text" w:cs="Myanmar Text"/>
        </w:rPr>
        <w:t>ခရစ်တော်ထံမှ</w:t>
      </w:r>
      <w:r>
        <w:rPr>
          <w:rFonts w:ascii="Times New Roman" w:hAnsi="Times New Roman" w:eastAsia="Times New Roman" w:cs="Times New Roman"/>
        </w:rPr>
        <w:t xml:space="preserve"> </w:t>
      </w:r>
      <w:r>
        <w:rPr>
          <w:rFonts w:ascii="Myanmar Text" w:hAnsi="Myanmar Text" w:eastAsia="Myanmar Text" w:cs="Myanmar Text"/>
        </w:rPr>
        <w:t>လှည့်ထွက်သွားကြလိမ့်မည်။</w:t>
      </w:r>
      <w:r>
        <w:rPr>
          <w:rFonts w:ascii="Times New Roman" w:hAnsi="Times New Roman" w:eastAsia="Times New Roman" w:cs="Times New Roman"/>
        </w:rPr>
        <w:t>»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དཱ་ནི་ཡེལ་གྱི་དེབ། — ཨང་གྲངས་བརྒྱ་དང་བདུན་ཅུ།</dc:title>
  <dc:subject>ئەردەمی رووح: تێگەیشتن لە تەخت‌نشینیی خودایی و گۆڕانکاری لە چوارچێوەی پێشبینییەوە</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