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یەک سەد و حەفتا و چوارەم</w:t>
      </w:r>
    </w:p>
    <w:p>
      <w:pPr>
        <w:pStyle w:val="ArticleSubtitle"/>
        <w:jc w:val="left"/>
      </w:pPr>
      <w:r>
        <w:rPr>
          <w:rFonts w:ascii="Nirmala UI" w:hAnsi="Nirmala UI" w:eastAsia="Nirmala UI" w:cs="Nirmala UI"/>
        </w:rPr>
        <w:t>नबूवी</w:t>
      </w:r>
      <w:r>
        <w:rPr>
          <w:rFonts w:ascii="Arial" w:hAnsi="Arial" w:eastAsia="Arial" w:cs="Arial"/>
        </w:rPr>
        <w:t xml:space="preserve"> </w:t>
      </w:r>
      <w:r>
        <w:rPr>
          <w:rFonts w:ascii="Nirmala UI" w:hAnsi="Nirmala UI" w:eastAsia="Nirmala UI" w:cs="Nirmala UI"/>
        </w:rPr>
        <w:t>फहम</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इलाही</w:t>
      </w:r>
      <w:r>
        <w:rPr>
          <w:rFonts w:ascii="Arial" w:hAnsi="Arial" w:eastAsia="Arial" w:cs="Arial"/>
        </w:rPr>
        <w:t xml:space="preserve"> </w:t>
      </w:r>
      <w:r>
        <w:rPr>
          <w:rFonts w:ascii="Nirmala UI" w:hAnsi="Nirmala UI" w:eastAsia="Nirmala UI" w:cs="Nirmala UI"/>
        </w:rPr>
        <w:t>मकाशफ़ात</w:t>
      </w:r>
      <w:r>
        <w:rPr>
          <w:rFonts w:ascii="Arial" w:hAnsi="Arial" w:eastAsia="Arial" w:cs="Arial"/>
        </w:rPr>
        <w:t xml:space="preserve">: </w:t>
      </w:r>
      <w:r>
        <w:rPr>
          <w:rFonts w:ascii="Nirmala UI" w:hAnsi="Nirmala UI" w:eastAsia="Nirmala UI" w:cs="Nirmala UI"/>
        </w:rPr>
        <w:t>दानिएल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रूया</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उसके</w:t>
      </w:r>
      <w:r>
        <w:rPr>
          <w:rFonts w:ascii="Arial" w:hAnsi="Arial" w:eastAsia="Arial" w:cs="Arial"/>
        </w:rPr>
        <w:t xml:space="preserve"> </w:t>
      </w:r>
      <w:r>
        <w:rPr>
          <w:rFonts w:ascii="Nirmala UI" w:hAnsi="Nirmala UI" w:eastAsia="Nirmala UI" w:cs="Nirmala UI"/>
        </w:rPr>
        <w:t>आख़िरी</w:t>
      </w:r>
      <w:r>
        <w:rPr>
          <w:rFonts w:ascii="Arial" w:hAnsi="Arial" w:eastAsia="Arial" w:cs="Arial"/>
        </w:rPr>
        <w:t xml:space="preserve"> </w:t>
      </w:r>
      <w:r>
        <w:rPr>
          <w:rFonts w:ascii="Nirmala UI" w:hAnsi="Nirmala UI" w:eastAsia="Nirmala UI" w:cs="Nirmala UI"/>
        </w:rPr>
        <w:t>अय्याम</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असरात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समझना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ئاو چیم واره‌نجی جه چه‌کی وه‌کالەتی دا، که له ئاسته‌کانی سێزدەهەم هه‌تا پانزدەهەم نوێنه‌رایه‌تی ده‌کرێت، خۆمان بیر ده‌خه‌ینه‌وه‌ له‌وه‌ی که تا ئه‌م ئاستانه‌ چ شتێک پێش هاتووه‌. له به‌شی ده‌یه‌مدا، دانیال بینینی کۆتایی خۆی وه‌رده‌گرێت، و له‌و کاته‌دا به‌وه ناسێنراوه‌ که هه‌م بینینه‌ پێغه‌مبه‌رایه‌تییه‌ ناوخۆییه‌کان و هه‌م ده‌ره‌کییه‌کان تێده‌گات. وشه‌ی عیبری «dabar»، که واتای «وشه» ده‌دات، به «شت» وه‌رگێڕدراوه‌. له به‌شی نۆیه‌مدا، کاتێک گابریێل هات بۆ ئه‌وه‌ی دانیال له‌ بینینی دوو هه‌زار و سێ سه‌د ڕۆژ تێبگات، وشه‌ی عیبری «dabar» به «بابه‌ت» وه‌رگێڕدرا.</w:t>
      </w:r>
    </w:p>
    <w:p>
      <w:pPr>
        <w:pStyle w:val="ArticleScripture"/>
        <w:jc w:val="left"/>
      </w:pPr>
      <w:r>
        <w:rPr>
          <w:rFonts w:ascii="Ebrima" w:hAnsi="Ebrima" w:eastAsia="Ebrima" w:cs="Ebrima"/>
        </w:rPr>
        <w:t>ጋብርኤል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ያየሁት፥</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በጸሎት</w:t>
      </w:r>
      <w:r>
        <w:rPr>
          <w:rFonts w:ascii="Times New Roman" w:hAnsi="Times New Roman" w:eastAsia="Times New Roman" w:cs="Times New Roman"/>
        </w:rPr>
        <w:t xml:space="preserve"> </w:t>
      </w:r>
      <w:r>
        <w:rPr>
          <w:rFonts w:ascii="Ebrima" w:hAnsi="Ebrima" w:eastAsia="Ebrima" w:cs="Ebrima"/>
        </w:rPr>
        <w:t>ስናገር</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ፈጥኖ</w:t>
      </w:r>
      <w:r>
        <w:rPr>
          <w:rFonts w:ascii="Times New Roman" w:hAnsi="Times New Roman" w:eastAsia="Times New Roman" w:cs="Times New Roman"/>
        </w:rPr>
        <w:t xml:space="preserve"> </w:t>
      </w:r>
      <w:r>
        <w:rPr>
          <w:rFonts w:ascii="Ebrima" w:hAnsi="Ebrima" w:eastAsia="Ebrima" w:cs="Ebrima"/>
        </w:rPr>
        <w:t>እየበረረ</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በምሽቱ</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ዳሰሰኝ።</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አስተማረኝ፥</w:t>
      </w:r>
      <w:r>
        <w:rPr>
          <w:rFonts w:ascii="Times New Roman" w:hAnsi="Times New Roman" w:eastAsia="Times New Roman" w:cs="Times New Roman"/>
        </w:rPr>
        <w:t xml:space="preserve"> </w:t>
      </w:r>
      <w:r>
        <w:rPr>
          <w:rFonts w:ascii="Ebrima" w:hAnsi="Ebrima" w:eastAsia="Ebrima" w:cs="Ebrima"/>
        </w:rPr>
        <w:t>ከእኔም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ተናገረኝ፥</w:t>
      </w:r>
      <w:r>
        <w:rPr>
          <w:rFonts w:ascii="Times New Roman" w:hAnsi="Times New Roman" w:eastAsia="Times New Roman" w:cs="Times New Roman"/>
        </w:rPr>
        <w:t xml:space="preserve"> </w:t>
      </w:r>
      <w:r>
        <w:rPr>
          <w:rFonts w:ascii="Ebrima" w:hAnsi="Ebrima" w:eastAsia="Ebrima" w:cs="Ebrima"/>
        </w:rPr>
        <w:t>እንዲህም</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ጥበብና</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ልሰጥህ</w:t>
      </w:r>
      <w:r>
        <w:rPr>
          <w:rFonts w:ascii="Times New Roman" w:hAnsi="Times New Roman" w:eastAsia="Times New Roman" w:cs="Times New Roman"/>
        </w:rPr>
        <w:t xml:space="preserve"> </w:t>
      </w:r>
      <w:r>
        <w:rPr>
          <w:rFonts w:ascii="Ebrima" w:hAnsi="Ebrima" w:eastAsia="Ebrima" w:cs="Ebrima"/>
        </w:rPr>
        <w:t>ወጥቻለሁ።</w:t>
      </w:r>
      <w:r>
        <w:rPr>
          <w:rFonts w:ascii="Times New Roman" w:hAnsi="Times New Roman" w:eastAsia="Times New Roman" w:cs="Times New Roman"/>
        </w:rPr>
        <w:t xml:space="preserve"> </w:t>
      </w:r>
      <w:r>
        <w:rPr>
          <w:rFonts w:ascii="Ebrima" w:hAnsi="Ebrima" w:eastAsia="Ebrima" w:cs="Ebrima"/>
        </w:rPr>
        <w:t>ልመናህ</w:t>
      </w:r>
      <w:r>
        <w:rPr>
          <w:rFonts w:ascii="Times New Roman" w:hAnsi="Times New Roman" w:eastAsia="Times New Roman" w:cs="Times New Roman"/>
        </w:rPr>
        <w:t xml:space="preserve"> </w:t>
      </w:r>
      <w:r>
        <w:rPr>
          <w:rFonts w:ascii="Ebrima" w:hAnsi="Ebrima" w:eastAsia="Ebrima" w:cs="Ebrima"/>
        </w:rPr>
        <w:t>በተጀመረ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ወጣ፥</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ላሳይህ</w:t>
      </w:r>
      <w:r>
        <w:rPr>
          <w:rFonts w:ascii="Times New Roman" w:hAnsi="Times New Roman" w:eastAsia="Times New Roman" w:cs="Times New Roman"/>
        </w:rPr>
        <w:t xml:space="preserve"> </w:t>
      </w:r>
      <w:r>
        <w:rPr>
          <w:rFonts w:ascii="Ebrima" w:hAnsi="Ebrima" w:eastAsia="Ebrima" w:cs="Ebrima"/>
        </w:rPr>
        <w:t>መጥቻለሁ፤</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የተወደድህ</w:t>
      </w:r>
      <w:r>
        <w:rPr>
          <w:rFonts w:ascii="Times New Roman" w:hAnsi="Times New Roman" w:eastAsia="Times New Roman" w:cs="Times New Roman"/>
        </w:rPr>
        <w:t xml:space="preserve"> </w:t>
      </w:r>
      <w:r>
        <w:rPr>
          <w:rFonts w:ascii="Ebrima" w:hAnsi="Ebrima" w:eastAsia="Ebrima" w:cs="Ebrima"/>
        </w:rPr>
        <w:t>ነህና፤</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ነገሩን</w:t>
      </w:r>
      <w:r>
        <w:rPr>
          <w:rFonts w:ascii="Times New Roman" w:hAnsi="Times New Roman" w:eastAsia="Times New Roman" w:cs="Times New Roman"/>
        </w:rPr>
        <w:t xml:space="preserve"> </w:t>
      </w:r>
      <w:r>
        <w:rPr>
          <w:rFonts w:ascii="Ebrima" w:hAnsi="Ebrima" w:eastAsia="Ebrima" w:cs="Ebrima"/>
        </w:rPr>
        <w:t>አስተውል፥</w:t>
      </w:r>
      <w:r>
        <w:rPr>
          <w:rFonts w:ascii="Times New Roman" w:hAnsi="Times New Roman" w:eastAsia="Times New Roman" w:cs="Times New Roman"/>
        </w:rPr>
        <w:t xml:space="preserve"> </w:t>
      </w:r>
      <w:r>
        <w:rPr>
          <w:rFonts w:ascii="Ebrima" w:hAnsi="Ebrima" w:eastAsia="Ebrima" w:cs="Ebrima"/>
        </w:rPr>
        <w:t>ራእዩንም</w:t>
      </w:r>
      <w:r>
        <w:rPr>
          <w:rFonts w:ascii="Times New Roman" w:hAnsi="Times New Roman" w:eastAsia="Times New Roman" w:cs="Times New Roman"/>
        </w:rPr>
        <w:t xml:space="preserve"> </w:t>
      </w:r>
      <w:r>
        <w:rPr>
          <w:rFonts w:ascii="Ebrima" w:hAnsi="Ebrima" w:eastAsia="Ebrima" w:cs="Ebrima"/>
        </w:rPr>
        <w:t>አስብ።</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9</w:t>
      </w:r>
      <w:r>
        <w:rPr>
          <w:rFonts w:ascii="Ebrima" w:hAnsi="Ebrima" w:eastAsia="Ebrima" w:cs="Ebrima"/>
        </w:rPr>
        <w:t>፥</w:t>
      </w:r>
      <w:r>
        <w:rPr>
          <w:rFonts w:ascii="Times New Roman" w:hAnsi="Times New Roman" w:eastAsia="Times New Roman" w:cs="Times New Roman"/>
        </w:rPr>
        <w:t>21–23</w:t>
      </w:r>
      <w:r>
        <w:rPr>
          <w:rFonts w:ascii="Ebrima" w:hAnsi="Ebrima" w:eastAsia="Ebrima" w:cs="Ebrima"/>
        </w:rPr>
        <w:t>።</w:t>
      </w:r>
    </w:p>
    <w:p>
      <w:pPr>
        <w:pStyle w:val="ArticleBody"/>
        <w:jc w:val="left"/>
      </w:pPr>
      <w:r>
        <w:rPr>
          <w:rFonts w:ascii="Times New Roman" w:hAnsi="Times New Roman" w:eastAsia="Times New Roman" w:cs="Times New Roman"/>
        </w:rPr>
        <w:t>ꞌAp Gabriel Danyɛl dɔɔ ɛ sɛ, “te asɛm no ase, na dwene anisoadehu no ho no,” Hebri kasa mu asɛmfua “biyn” no na wɔakyerɛ ase sɛ “te ase” na wɔasan akyerɛ ase sɛ “dwene ho” nso. Asɛmfua no kyerɛ adwene mu mpaapaemu. Gabriel kaa kyerɛɛ Danyɛl sɛ ɔnyɛ adwene mu mpaapaemu wɔ “dabar” a wɔakyerɛ ase sɛ “asɛm” ne “mareh” a wɔakyerɛ ase sɛ “anisoadehu” no ntam. Sɛnea ɛbɛyɛ a Danyɛl betumi ate nkyerɛase a Gabriel de maa no fa adiyisɛm a ɛfa mfe mpem abien ne ahasa no ho no ase no, na ɛsɛ sɛ ohu nsonsonoe a ɛda adiyisɛm mu anisoadehu a wɔde gyina hɔ ma no sɛ “asɛm” ne adiyisɛm mu “mareh” anisoadehu no ntam. “Asɛm” no, a ɛne “dabar,” a ne nkyerɛase ne asɛm anaa ɔkasa no, gyina hɔ ma adiyisɛm no mu akyi kwan, na “mareh” anisoadehu no gyina hɔ ma adiyisɛm no mu emu kwan.</w:t>
      </w:r>
    </w:p>
    <w:p>
      <w:pPr>
        <w:pStyle w:val="ArticleBody"/>
        <w:jc w:val="left"/>
      </w:pPr>
      <w:r>
        <w:rPr>
          <w:rFonts w:ascii="Times New Roman" w:hAnsi="Times New Roman" w:eastAsia="Times New Roman" w:cs="Times New Roman"/>
        </w:rPr>
        <w:t>Dalam pasal sepuluh kitab Daniel, kebenaran pertama yang dinyatakan kepada pelajar nubuatan ialah bahawa Daniel melambangkan umat Allah pada akhir zaman yang memahami kedua-dua garis nubuatan dalaman dan luaran.</w:t>
      </w:r>
    </w:p>
    <w:p>
      <w:pPr>
        <w:pStyle w:val="ArticleScripture"/>
        <w:jc w:val="left"/>
      </w:pPr>
      <w:r>
        <w:rPr>
          <w:rFonts w:ascii="Times New Roman" w:hAnsi="Times New Roman" w:eastAsia="Times New Roman" w:cs="Times New Roman"/>
        </w:rPr>
        <w:t>فێ ساڵا سێیێ دا ل سەردەمی کۆرەش پاشای فاریس، شتەكی بۆ دانیێل هاتە ئاشکراکرن، ئەوێ ناڤێ وی بەلشەسەر بوو؛ و ئەو شت ڕاست بوو، لێ ماوەی دیاریکری درێژ بوو: و ئەو تێگەهشتن بەو شتی هەبوو، و تێگەهشتنا بینینێ هەبوو. دانیێل 10:1.</w:t>
      </w:r>
    </w:p>
    <w:p>
      <w:pPr>
        <w:pStyle w:val="ArticleBody"/>
        <w:jc w:val="left"/>
      </w:pPr>
      <w:r>
        <w:rPr>
          <w:rFonts w:ascii="Times New Roman" w:hAnsi="Times New Roman" w:eastAsia="Times New Roman" w:cs="Times New Roman"/>
        </w:rPr>
        <w:t>«Նյութը» եբրայերեն «dabar» բառն է, իսկ «տեսիլքը»՝ «mareh» տեսիլքը։ Որպես մարգարե՝ Դանիելը ներկայացնում է Աստծո վերջին օրերի ժողովրդին, որի կատարյալ իրականացումն է հարյուր քառասունչորս հազարը։ Կյուրոսի երրորդ տարին Դանիելին տեղադրում է այն բարեփոխման գծի մեջ, որը սկսվեց վախճանի ժամանակ՝ 1989 թվականին։ «Այդ օրերին», ներկայացնելով 1989 թվականից մինչև Միացյալ Նահանգներում շուտով գալիք Կիրակնօրյա օրենքի պատմությունը, Դանիելը երեք շաբաթ սուգ էր անում։ Հարյուր քառասունչորս հազարի բարեփոխման գծում սգի այդ ժամանակահատվածը նշանավորում է Հայտնություն տասնմեկերորդ գլխի երկու վկաների՝ փողոցում մեռած գտնվելու երեքուկես օրը։ Այդ մեծ քաղաքի փողոցը՝ Սոդոմի և Եգիպտոսի, որտեղ նաև մեր Տերն խաչվեց, նաև Եզեկիելի մեռած, չոր ոսկորների հովիտն է։</w:t>
      </w:r>
    </w:p>
    <w:p>
      <w:pPr>
        <w:pStyle w:val="ArticleBody"/>
        <w:jc w:val="left"/>
      </w:pPr>
      <w:r>
        <w:rPr>
          <w:rFonts w:ascii="Times New Roman" w:hAnsi="Times New Roman" w:eastAsia="Times New Roman" w:cs="Times New Roman"/>
        </w:rPr>
        <w:t>شارپەرەی دەهەمدا، دانیال بۆ وێنەی مەسیح دەگۆڕدرێت، و سێ جار دەستی پێوە دەدرێت پێش ئەوەی جبرائیل ئەو دەرکەوتنە ڕوون بکاتەوە کە دانیال بینی. ئەو دەرکەوتنە جیاکردنەوەی دوو پۆلی عابیدان دروست کرد. مەژدەی هەمیشەیی هەمیشە دوو پۆلی عابیدان دروست دەکات. دانیال نوێنەرایەتی ئەو پۆلەی عابیدان دەکرد کە وەک سەد و چل و چوار هەزار پیشاندان دەکرێن، بەرامبەر بەو پۆلەی کە بە ترس لەو دەرکەوتنە هەڵهاتن.</w:t>
      </w:r>
    </w:p>
    <w:p>
      <w:pPr>
        <w:pStyle w:val="ArticleBody"/>
        <w:jc w:val="left"/>
      </w:pPr>
      <w:r>
        <w:rPr>
          <w:rFonts w:ascii="Times New Roman" w:hAnsi="Times New Roman" w:eastAsia="Times New Roman" w:cs="Times New Roman"/>
        </w:rPr>
        <w:t>Kapitulo ten mboyve Gabriel ou mbohapy jey Daniel rendápe omyesakã hag̃ua peteĩ visión. Haʼe omyesakã umi visión oĩva kapítulo siete ha ocho-pe, umi ohechaukáva Biblia profecía rréino-kuérape mokõive ijehechauka política rupive (kapítulo siete), ha ijehechauka religiosa rupive (kapítulo ocho). Upéi kapítulo nueve-pe Gabriel omyesakã mokõi mil trescientos ary profecía. Gabriel oguahẽ kapítulo diez-pe omohuʼã hag̃ua pe ñemyesakã ojeheja hag̃uáicha ndopáiriva kapítulo nueve-pe, ha omeʼẽ hag̃ua Daniel-pe pe visión ñemyesakã omoheñóiva mokõi aty oadoráva. Gabriel raẽvete omeʼẽ Daniel-pe peteĩ jehecha hag̃ua guasu pe visión rehegua, versíkulo catorce-pe.</w:t>
      </w:r>
    </w:p>
    <w:p>
      <w:pPr>
        <w:pStyle w:val="ArticleScripture"/>
        <w:jc w:val="left"/>
      </w:pPr>
      <w:r>
        <w:rPr>
          <w:rFonts w:ascii="Times New Roman" w:hAnsi="Times New Roman" w:eastAsia="Times New Roman" w:cs="Times New Roman"/>
        </w:rPr>
        <w:t>وَمَا أَتَيْتُ الآنَ إِلَّا لِأُفَهِّمَكَ مَا يَحِلُّ بِشَعْبِكَ فِي الأَيَّامِ الأَخِيرَةِ، لأَنَّ الرُّؤْيَا لا تَزَالُ لِأَيَّامٍ كَثِيرَةٍ. دانيال 10:14.</w:t>
      </w:r>
    </w:p>
    <w:p>
      <w:pPr>
        <w:pStyle w:val="ArticleBody"/>
        <w:jc w:val="left"/>
      </w:pPr>
      <w:r>
        <w:rPr>
          <w:rFonts w:ascii="Times New Roman" w:hAnsi="Times New Roman" w:eastAsia="Times New Roman" w:cs="Times New Roman"/>
        </w:rPr>
        <w:t>Criston nisqana, mayqinkunapa ishkay kastanta rurachiq, Diospa llaqtanman imakuna qhipa p’unchaykunapi chayamunanta rikuchin. Qanchis kaq, pusaq kaq kapitulukunaq qhawayninpa willakuyninqa, Bibliapi profeciakunapa reinokunaq hatariyninwan urmayninwan rikuchisqa historiata willakurqan, hukninpi mikhuy uywakuna hina, hukninpitaq santuarioq uywankuna hina. Isqun kaq kapitulupa willakuyninqa, iskay chunka kimsayuq pachak watakunapa profeciamanta ukupi kachkak sapa profetico pacha yupaykunapa sut’inchasqa rakiy karqan. Imanaspaqa chunka kaq kapitulumpi hatunchasqa Cristoq qhawayninqa Diospa llaqtanman qhipa p’unchaykunapi imakuna chayamunanta rikuchirqan. Manaraq Gabriel qallarinchu historiapa sut’inchasqa siq’inta, mayqinchus hatunchasqa Cristoq qhawayninpa willakuynin kasqa, chaymanta ñawpaqta Danielta yuyarichin, kay willakuy imata rikuchisqanta ñataq ñan willasqaña kasqanta.</w:t>
      </w:r>
    </w:p>
    <w:p>
      <w:pPr>
        <w:pStyle w:val="ArticleScripture"/>
        <w:jc w:val="left"/>
      </w:pPr>
      <w:r>
        <w:rPr>
          <w:rFonts w:ascii="Times New Roman" w:hAnsi="Times New Roman" w:eastAsia="Times New Roman" w:cs="Times New Roman"/>
        </w:rPr>
        <w:t>Ара уаҳӕй кодтон: «Дӕз зоныс, цы тыххӕй ма уӕд дын ӕрбацыдтӕн? Ӕмӕ ныр мӕн хъӕуы фӕстӕмӕ баздӕхӕн Персийы паддзахадон уӕлыдзджытӕн ныххӕст кӕнынмӕ; ӕмӕ куы аивазон, уӕд ма, ау, Грециы паддзахадон уӕлыдзджы ӕрбацӕуы». Даниил 10:20.</w:t>
      </w:r>
    </w:p>
    <w:p>
      <w:pPr>
        <w:pStyle w:val="ArticleBody"/>
        <w:jc w:val="left"/>
      </w:pPr>
      <w:r>
        <w:rPr>
          <w:rFonts w:ascii="Times New Roman" w:hAnsi="Times New Roman" w:eastAsia="Times New Roman" w:cs="Times New Roman"/>
        </w:rPr>
        <w:t>Габриэль напоминает Даниэлю, что в четырнадцатом стихе он сказал ему, что пришёл дать Даниэлю разумение того, что постигнет народ Божий в последние дни, и ожидал, что Даниэль поместит нижеследующее изложение пророческой истории в этот контекст. Даниэль искал определённого понимания с первого дня, в который начал скорбеть.</w:t>
      </w:r>
    </w:p>
    <w:p>
      <w:pPr>
        <w:pStyle w:val="ArticleScripture"/>
        <w:jc w:val="left"/>
      </w:pPr>
      <w:r>
        <w:rPr>
          <w:rFonts w:ascii="Times New Roman" w:hAnsi="Times New Roman" w:eastAsia="Times New Roman" w:cs="Times New Roman"/>
        </w:rPr>
        <w:t>Же ми рече: Не бой се, Данииле; защото от първия ден, когато ти положи сърцето си да разбереш и да се смириш пред твоя Бог, думите ти бяха чути, и аз дойдох поради твоите думи. Но князът на персийското царство ми се противеше двадесет и един дни; но, ето, Михаил, един от главните князе, дойде да ми помогне; и аз останах там при персийските царе. Даниил 10:12, 13.</w:t>
      </w:r>
    </w:p>
    <w:p>
      <w:pPr>
        <w:pStyle w:val="ArticleBody"/>
        <w:jc w:val="left"/>
      </w:pPr>
      <w:r>
        <w:rPr>
          <w:rFonts w:ascii="Times New Roman" w:hAnsi="Times New Roman" w:eastAsia="Times New Roman" w:cs="Times New Roman"/>
        </w:rPr>
        <w:t>Danyýlyň üç hepdelik matamyndan soň, ol pygamberlik taýdan Patmosdaky Ýahýanyň gören Mesihiň görnüşi bilen gabat gelýän Mesihiň görnüşini gördi.</w:t>
      </w:r>
    </w:p>
    <w:p>
      <w:pPr>
        <w:pStyle w:val="ArticleScripture"/>
        <w:jc w:val="left"/>
      </w:pPr>
      <w:r>
        <w:rPr>
          <w:rFonts w:ascii="Times New Roman" w:hAnsi="Times New Roman" w:eastAsia="Times New Roman" w:cs="Times New Roman"/>
        </w:rPr>
        <w:t>“</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पातमुस</w:t>
      </w:r>
      <w:r>
        <w:rPr>
          <w:rFonts w:ascii="Times New Roman" w:hAnsi="Times New Roman" w:eastAsia="Times New Roman" w:cs="Times New Roman"/>
        </w:rPr>
        <w:t xml:space="preserve"> </w:t>
      </w:r>
      <w:r>
        <w:rPr>
          <w:rFonts w:ascii="Nirmala UI" w:hAnsi="Nirmala UI" w:eastAsia="Nirmala UI" w:cs="Nirmala UI"/>
        </w:rPr>
        <w:t>द्वीप</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होनेवाला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लिपिबद्ध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“Jaʼŋba̱l a̱si̱l-kano̱ŋ te̱ gɛmɛ te̱ A̱juɔth nhiaalic aa̱ri̱ik, aci ke̱ ye̱n keenɔk ku̱ bo̱l adɔ̱ɔ̱r jiɛc kɛ guɔp ku̱ɛɛr. Daniel aye̱n raan du̱ɔ̱p. Ku guopke aci lueel e̱ piny dhɔl-thok e̱ luɔi̱ te̱ baai̱ ke̱ raan pɛi, aci bi yithli̱tke rot e̱ riɛu te̱ piny baai̱ du̱ɔ̱p; ku ci̱ɛɛŋ e̱ rot ku̱ɔ̱ny ku̱ɛɛr ku̱ɔ̱th e̱ mbelë God, aci luui̱ bo̱l ye̱n e̱ cieŋ te̱ yiic te̱ Ma̱thi̱ɛu te̱ du̱ɔ̱p. Ku e̱ tho̱k te̱ bɛɛnke, mac kuɔth aa̱l ke̱ baai̱ nhialic ku̱ ye̱n keenɔk bi guop e̱ ran ke̱ bi thiin e̱ nyin aköl juɛc. Na̱ ci̱ɛɛŋ, ke̱ ci̱ɛɛŋ de̱t jɔk, ke̱ ba̱n yïn luui̱ God, ba ye̱n rɔtku lɔm e̱ cieŋ, ba̱n gam a̱si̱l-kano̱ŋ ke̱ aa̱l ku̱ɔth ke̱ Nhial.”</w:t>
      </w:r>
    </w:p>
    <w:p>
      <w:pPr>
        <w:pStyle w:val="ArticleScripture"/>
        <w:jc w:val="left"/>
      </w:pPr>
      <w:r>
        <w:rPr>
          <w:rFonts w:ascii="Times New Roman" w:hAnsi="Times New Roman" w:eastAsia="Times New Roman" w:cs="Times New Roman"/>
        </w:rPr>
        <w:t>«“ویژن را تنها من، دانیال، دیدم؛ زیرا مردانی که با من بودند، ویژن را ندیدند؛ اما لرزشی عظیم بر ایشان افتاد، به‌گونه‌ای که گریختند تا خود را پنهان کنند…. و هیچ قوتی در من باقی نماند؛ زیرا جمالم در من به فساد مبدل شد، و هیچ قوتی در خود نگاه نداشتم.” چنین تجربه‌ای از آنِ هر کسی خواهد بود که به‌راستی تقدیس شده باشد. هرچه دیدگاه آنان نسبت به عظمت، جلال، و کمال مسیح روشن‌تر باشد، ضعف و نقص خویش را آشکارتر خواهند دید. آنان هیچ گرایشی به ادعای شخصیتی بی‌گناه نخواهند داشت؛ آنچه در خودشان درست و زیبا جلوه کرده بود، در تقابل با طهارت و جلال مسیح، فقط ناشایست و فاسدشدنی خواهد نمود. این هنگامی است که انسان‌ها از خدا جدا شده‌اند و دیدگاه‌های بسیار مبهمی از مسیح دارند که می‌گویند: “من بی‌گناهم؛ من تقدیس شده‌ام.”»</w:t>
      </w:r>
    </w:p>
    <w:p>
      <w:pPr>
        <w:pStyle w:val="ArticleScripture"/>
        <w:jc w:val="left"/>
      </w:pPr>
      <w:r>
        <w:rPr>
          <w:rFonts w:ascii="Times New Roman" w:hAnsi="Times New Roman" w:eastAsia="Times New Roman" w:cs="Times New Roman"/>
        </w:rPr>
        <w:t>«Գաբրիելը ապա երևաց մարգարեին և այսպես խոսեց նրան. «Ո՛վ Դանիել, դու՝ շատ սիրելի մարդ, իմացիր այն խոսքերը, որ ես ասում եմ քեզ, և ուղիղ կանգնիր, որովհետև այժմ ես առաքված եմ քեզ մոտ»։ Եվ երբ նա այս խոսքը ասաց ինձ, ես կանգնեցի դողալով։ Ապա նա ասաց ինձ. «Մի՛ վախեցիր, Դանիել, որովհետև այն առաջին օրից, երբ դու քո սիրտը դրեցիր հասկանալու և քեզ խոնարհեցնելու քո Աստծու առաջ, քո խոսքերը լսվեցին, և ես եկել եմ քո խոսքերի համար»։</w:t>
      </w:r>
    </w:p>
    <w:p>
      <w:pPr>
        <w:pStyle w:val="ArticleScripture"/>
        <w:jc w:val="left"/>
      </w:pPr>
      <w:r>
        <w:rPr>
          <w:rFonts w:ascii="Times New Roman" w:hAnsi="Times New Roman" w:eastAsia="Times New Roman" w:cs="Times New Roman"/>
        </w:rPr>
        <w:t>«دانێل پێگەیەکی چەند گەورەی لەلایەن شکۆی ئاسمانەوە پێ درا! ئەو بەندەی لەرزۆکی خۆی دڵنەوایی دەکات، و دڵنیایی پێ دەدات کە نوێژەکەی لە ئاسمان بیستراوە، و وەک وەڵامێک بۆ ئەو پاڕانەوەیەی گەرم، فریشتە جبرائیل نێردرا بۆ ئەوەی کاریگەری لەسەر دڵی پاشای فارسی بکات. ئەو پاشایە ماوەی سێ هەفتە، لە کاتی ئەوەی دانێل بەڕۆژوو بوو و نوێژی دەکرد، بەرگری لە کاریگەرییەکانی ڕۆحی خودا کرد؛ بەڵام میکائیل، سەرۆکی فریشتەکان، شازادەی ئاسمان، نێردرا بۆ ئەوەی دڵی ئەو پاشا لەسەرەسەختە بگۆڕێت، تا هەنگاوێکی ڕوون و بڕیارداڕ بدات بۆ وەڵامدانەوەی نوێژی دانێل.»</w:t>
      </w:r>
    </w:p>
    <w:p>
      <w:pPr>
        <w:pStyle w:val="ArticleScripture"/>
        <w:jc w:val="left"/>
      </w:pPr>
      <w:r>
        <w:rPr>
          <w:rFonts w:ascii="Times New Roman" w:hAnsi="Times New Roman" w:eastAsia="Times New Roman" w:cs="Times New Roman"/>
        </w:rPr>
        <w:t>«Եւ երբ նա այսպիսի խօսքեր ասաց ինձ, ես իմ երեսը դէպի գետին դարձրի եւ համրացայ։ Եւ ահա, մարդու որդիների նմանութեան պէս մէկը դիպաւ իմ շրթներին…. Եւ ասաց. Ո՛վ շատ սիրելի մարդ, մի՛ վախենար. խաղաղութիւն քեզ. զօրացի՛ր, այո՛, զօրացի՛ր։ Եւ երբ նա խօսեց ինձ հետ, ես զօրացայ եւ ասացի. Թո՛ղ իմ տէրը խօսի, որովհետեւ դու ինձ զօրացրիր»։ Այնքան մեծ էր Դանիէլին յայտնուած աստուածային փառքը, որ նա չէր կարող տանել այդ տեսիլքը։ Այն ժամանակ երկնքի պատգամաբերը ծածկեց իր ներկայութեան պայծառութիւնը եւ մարգարէին երեւաց որպէս «մարդու որդիների նմանութեան պէս մէկը»։ Իր աստուածային զօրութեամբ նա զօրացրեց այս անարատութեան եւ հաւատի մարդուն, որպէսզի լսէ իրեն Աստծուց ուղարկուած պատգամը։</w:t>
      </w:r>
    </w:p>
    <w:p>
      <w:pPr>
        <w:pStyle w:val="ArticleScripture"/>
        <w:jc w:val="left"/>
      </w:pPr>
      <w:r>
        <w:rPr>
          <w:rFonts w:ascii="Times New Roman" w:hAnsi="Times New Roman" w:eastAsia="Times New Roman" w:cs="Times New Roman"/>
        </w:rPr>
        <w:t>«Դանիէլը Բարձրեալին նուիրեալ ծառան էր։ Անոր երկար կեանքը լեցուած էր իր Տիրոջ համար ծառայութեան ազնիւ գործերով։ Անոր բնաւորութեան մաքրութիւնը եւ անսասան հաւատարմութիւնը հաւասարուին միայն անոր սրտի խոնարհութեան եւ Աստուծոյ առջեւ անոր զղջումին։ Կը կրկնենք. Դանիէլի կեանքը ճշմարիտ սրբացման ներշնչեալ պատկերացումն է»։ Review and Herald, February 8, 1881.</w:t>
      </w:r>
    </w:p>
    <w:p>
      <w:pPr>
        <w:pStyle w:val="ArticleBody"/>
        <w:jc w:val="left"/>
      </w:pPr>
      <w:r>
        <w:rPr>
          <w:rFonts w:ascii="Times New Roman" w:hAnsi="Times New Roman" w:eastAsia="Times New Roman" w:cs="Times New Roman"/>
        </w:rPr>
        <w:t>Tajakaw seboreng a lekgotleng la lesome, le emela batho ba Modimo mehleng ya bofelo, bao jwaloka Daniele le Johanne, ba utlwisang Tshenolo ya Jesu Kreste. Senotlolo sa ho beha Daniele historing ya boprofeta moo boiphihlelo ba hae bo leng teng se itshetlehile tabeng ya hore o ne a le mahlomoleng, mme Mikaele a romelwa qetellong ya matsatsi a mashome a mabedi a motso o mong. Temaneng ya pele, Daniele o ngola hore o ne a ena le kutlwisiso ya dipono tsa boprofeta, tsa kahare le tsa kantle. Pele ho matsatsi ao a mashome a mabedi a motso o mong Daniele o ne a ena le kutlwisiso e sa phethahalang ya dipono tseo tse pedi, empa ka tlhaloso ya Gabriele, Daniele o utlwisisa ka botlalo “taba” le “pono” e le ditshenolo tse fapaneng.</w:t>
      </w:r>
    </w:p>
    <w:p>
      <w:pPr>
        <w:pStyle w:val="ArticleScripture"/>
        <w:jc w:val="left"/>
      </w:pPr>
      <w:r>
        <w:rPr>
          <w:rFonts w:ascii="Times New Roman" w:hAnsi="Times New Roman" w:eastAsia="Times New Roman" w:cs="Times New Roman"/>
        </w:rPr>
        <w:t>“</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બંધિવાસના</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નજીક</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યર્મિયાહની</w:t>
      </w:r>
      <w:r>
        <w:rPr>
          <w:rFonts w:ascii="Times New Roman" w:hAnsi="Times New Roman" w:eastAsia="Times New Roman" w:cs="Times New Roman"/>
        </w:rPr>
        <w:t xml:space="preserve"> </w:t>
      </w:r>
      <w:r>
        <w:rPr>
          <w:rFonts w:ascii="Nirmala UI" w:hAnsi="Nirmala UI" w:eastAsia="Nirmala UI" w:cs="Nirmala UI"/>
        </w:rPr>
        <w:t>ભવિષ્યવાણીઓ</w:t>
      </w:r>
      <w:r>
        <w:rPr>
          <w:rFonts w:ascii="Times New Roman" w:hAnsi="Times New Roman" w:eastAsia="Times New Roman" w:cs="Times New Roman"/>
        </w:rPr>
        <w:t xml:space="preserve"> </w:t>
      </w:r>
      <w:r>
        <w:rPr>
          <w:rFonts w:ascii="Nirmala UI" w:hAnsi="Nirmala UI" w:eastAsia="Nirmala UI" w:cs="Nirmala UI"/>
        </w:rPr>
        <w:t>અંગે</w:t>
      </w:r>
      <w:r>
        <w:rPr>
          <w:rFonts w:ascii="Times New Roman" w:hAnsi="Times New Roman" w:eastAsia="Times New Roman" w:cs="Times New Roman"/>
        </w:rPr>
        <w:t xml:space="preserve"> </w:t>
      </w:r>
      <w:r>
        <w:rPr>
          <w:rFonts w:ascii="Nirmala UI" w:hAnsi="Nirmala UI" w:eastAsia="Nirmala UI" w:cs="Nirmala UI"/>
        </w:rPr>
        <w:t>અત્યંત</w:t>
      </w:r>
      <w:r>
        <w:rPr>
          <w:rFonts w:ascii="Times New Roman" w:hAnsi="Times New Roman" w:eastAsia="Times New Roman" w:cs="Times New Roman"/>
        </w:rPr>
        <w:t xml:space="preserve"> </w:t>
      </w:r>
      <w:r>
        <w:rPr>
          <w:rFonts w:ascii="Nirmala UI" w:hAnsi="Nirmala UI" w:eastAsia="Nirmala UI" w:cs="Nirmala UI"/>
        </w:rPr>
        <w:t>વ્યાકુળ</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પહોંચ્યો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પ્રજાને</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આપશે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ઉપવાસ</w:t>
      </w:r>
      <w:r>
        <w:rPr>
          <w:rFonts w:ascii="Times New Roman" w:hAnsi="Times New Roman" w:eastAsia="Times New Roman" w:cs="Times New Roman"/>
        </w:rPr>
        <w:t xml:space="preserve">, </w:t>
      </w:r>
      <w:r>
        <w:rPr>
          <w:rFonts w:ascii="Nirmala UI" w:hAnsi="Nirmala UI" w:eastAsia="Nirmala UI" w:cs="Nirmala UI"/>
        </w:rPr>
        <w:t>દૈન્યભાવ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પ્રાર્થના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ઇસ્રાયલની</w:t>
      </w:r>
      <w:r>
        <w:rPr>
          <w:rFonts w:ascii="Times New Roman" w:hAnsi="Times New Roman" w:eastAsia="Times New Roman" w:cs="Times New Roman"/>
        </w:rPr>
        <w:t xml:space="preserve"> </w:t>
      </w:r>
      <w:r>
        <w:rPr>
          <w:rFonts w:ascii="Nirmala UI" w:hAnsi="Nirmala UI" w:eastAsia="Nirmala UI" w:cs="Nirmala UI"/>
        </w:rPr>
        <w:t>તરફેણે</w:t>
      </w:r>
      <w:r>
        <w:rPr>
          <w:rFonts w:ascii="Times New Roman" w:hAnsi="Times New Roman" w:eastAsia="Times New Roman" w:cs="Times New Roman"/>
        </w:rPr>
        <w:t xml:space="preserve"> </w:t>
      </w:r>
      <w:r>
        <w:rPr>
          <w:rFonts w:ascii="Nirmala UI" w:hAnsi="Nirmala UI" w:eastAsia="Nirmala UI" w:cs="Nirmala UI"/>
        </w:rPr>
        <w:t>સ્વર્ગના</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શબ્દોમાં</w:t>
      </w:r>
      <w:r>
        <w:rPr>
          <w:rFonts w:ascii="Times New Roman" w:hAnsi="Times New Roman" w:eastAsia="Times New Roman" w:cs="Times New Roman"/>
        </w:rPr>
        <w:t xml:space="preserve"> </w:t>
      </w:r>
      <w:r>
        <w:rPr>
          <w:rFonts w:ascii="Nirmala UI" w:hAnsi="Nirmala UI" w:eastAsia="Nirmala UI" w:cs="Nirmala UI"/>
        </w:rPr>
        <w:t>વિનવ્યો</w:t>
      </w:r>
      <w:r>
        <w:rPr>
          <w:rFonts w:ascii="Times New Roman" w:hAnsi="Times New Roman" w:eastAsia="Times New Roman" w:cs="Times New Roman"/>
        </w:rPr>
        <w:t>: ‘</w:t>
      </w: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ભયંકર</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પ્રેમ</w:t>
      </w:r>
      <w:r>
        <w:rPr>
          <w:rFonts w:ascii="Times New Roman" w:hAnsi="Times New Roman" w:eastAsia="Times New Roman" w:cs="Times New Roman"/>
        </w:rPr>
        <w:t xml:space="preserve"> </w:t>
      </w:r>
      <w:r>
        <w:rPr>
          <w:rFonts w:ascii="Nirmala UI" w:hAnsi="Nirmala UI" w:eastAsia="Nirmala UI" w:cs="Nirmala UI"/>
        </w:rPr>
        <w:t>કરનારાઓ</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આજ્ઞાઓ</w:t>
      </w:r>
      <w:r>
        <w:rPr>
          <w:rFonts w:ascii="Times New Roman" w:hAnsi="Times New Roman" w:eastAsia="Times New Roman" w:cs="Times New Roman"/>
        </w:rPr>
        <w:t xml:space="preserve"> </w:t>
      </w:r>
      <w:r>
        <w:rPr>
          <w:rFonts w:ascii="Nirmala UI" w:hAnsi="Nirmala UI" w:eastAsia="Nirmala UI" w:cs="Nirmala UI"/>
        </w:rPr>
        <w:t>પાળનારાઓ</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અનીતિ</w:t>
      </w:r>
      <w:r>
        <w:rPr>
          <w:rFonts w:ascii="Times New Roman" w:hAnsi="Times New Roman" w:eastAsia="Times New Roman" w:cs="Times New Roman"/>
        </w:rPr>
        <w:t xml:space="preserve"> </w:t>
      </w:r>
      <w:r>
        <w:rPr>
          <w:rFonts w:ascii="Nirmala UI" w:hAnsi="Nirmala UI" w:eastAsia="Nirmala UI" w:cs="Nirmala UI"/>
        </w:rPr>
        <w:t>આચરી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દુષ્ટતા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ઉપદેશો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ન્યાયોથી</w:t>
      </w:r>
      <w:r>
        <w:rPr>
          <w:rFonts w:ascii="Times New Roman" w:hAnsi="Times New Roman" w:eastAsia="Times New Roman" w:cs="Times New Roman"/>
        </w:rPr>
        <w:t xml:space="preserve"> </w:t>
      </w:r>
      <w:r>
        <w:rPr>
          <w:rFonts w:ascii="Nirmala UI" w:hAnsi="Nirmala UI" w:eastAsia="Nirmala UI" w:cs="Nirmala UI"/>
        </w:rPr>
        <w:t>વિમુખ</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સેવકો</w:t>
      </w:r>
      <w:r>
        <w:rPr>
          <w:rFonts w:ascii="Times New Roman" w:hAnsi="Times New Roman" w:eastAsia="Times New Roman" w:cs="Times New Roman"/>
        </w:rPr>
        <w:t xml:space="preserve"> </w:t>
      </w:r>
      <w:r>
        <w:rPr>
          <w:rFonts w:ascii="Nirmala UI" w:hAnsi="Nirmala UI" w:eastAsia="Nirmala UI" w:cs="Nirmala UI"/>
        </w:rPr>
        <w:t>ભવિષ્યવક્તાઓની</w:t>
      </w:r>
      <w:r>
        <w:rPr>
          <w:rFonts w:ascii="Times New Roman" w:hAnsi="Times New Roman" w:eastAsia="Times New Roman" w:cs="Times New Roman"/>
        </w:rPr>
        <w:t xml:space="preserve"> </w:t>
      </w:r>
      <w:r>
        <w:rPr>
          <w:rFonts w:ascii="Nirmala UI" w:hAnsi="Nirmala UI" w:eastAsia="Nirmala UI" w:cs="Nirmala UI"/>
        </w:rPr>
        <w:t>વાત</w:t>
      </w:r>
      <w:r>
        <w:rPr>
          <w:rFonts w:ascii="Times New Roman" w:hAnsi="Times New Roman" w:eastAsia="Times New Roman" w:cs="Times New Roman"/>
        </w:rPr>
        <w:t xml:space="preserve"> </w:t>
      </w:r>
      <w:r>
        <w:rPr>
          <w:rFonts w:ascii="Nirmala UI" w:hAnsi="Nirmala UI" w:eastAsia="Nirmala UI" w:cs="Nirmala UI"/>
        </w:rPr>
        <w:t>સાંભળી</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રાજાઓને</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સરદારોને</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પિતૃઓને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દેશના</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પ્રજાજનોને</w:t>
      </w:r>
      <w:r>
        <w:rPr>
          <w:rFonts w:ascii="Times New Roman" w:hAnsi="Times New Roman" w:eastAsia="Times New Roman" w:cs="Times New Roman"/>
        </w:rPr>
        <w:t xml:space="preserve"> </w:t>
      </w:r>
      <w:r>
        <w:rPr>
          <w:rFonts w:ascii="Nirmala UI" w:hAnsi="Nirmala UI" w:eastAsia="Nirmala UI" w:cs="Nirmala UI"/>
        </w:rPr>
        <w:t>કહ્યું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“ئەو وشانە سەرنج بدە. دانیال لەبەردەم یەزدان دڵسۆزیی خۆی ڕاناگەیەنێت. لەبری ئەوەی داوای پاکی و پیرۆزیی خۆی بکات، خۆی لەگەڵ گوناهبارانی ڕاستەقینەی ئیسرائیل یەک دەکات. ئەو داناییەی کە خودا پێی بەخشی، هەروەها لە دانایی دانایانی ئەم جیهانە بەرزتر بوو، وەک ئەوەی ڕووناکیی خۆر کە لە نیوەڕۆدا لە ئاسمان دەدرەوشێتەوە، لە ئەستێرەی لاوازترین ڕووناکتر بێت. بەڵام لە نوێژەکەی دەرچوو لە لێوانی ئەم پیاوەی کە ئاوا لە ئاسمان بەخشش پێدراوە، وردبیرەوە. بە شکستییەکی قووڵ، بە فرمێسک، و بە دڵێکی دڕاو، بۆ خۆی و بۆ گەلەکەی پاڕانەوە دەکات. ڕۆحی خۆی لەبەردەم خودا کراوە دەکات، بە دانپێدانان بە پڵشتیی خۆی، و بە داننان بە گەورەیی و شکۆی یەزدان.”</w:t>
      </w:r>
    </w:p>
    <w:p>
      <w:pPr>
        <w:pStyle w:val="ArticleScripture"/>
        <w:jc w:val="left"/>
      </w:pPr>
      <w:r>
        <w:rPr>
          <w:rFonts w:ascii="Times New Roman" w:hAnsi="Times New Roman" w:eastAsia="Times New Roman" w:cs="Times New Roman"/>
        </w:rPr>
        <w:t>«چۆن جدیەت و گەرمییەک لە پاڕانەوەکانی دەردەکەوێت! ئەو زیاتر و زیاتر لە خواتەوە نزیک دەبێتەوە. دەستی باوەڕ بەرەو سەرەوە درێژ کراوە بۆ ئەوەی بەڵێنە هەرگیز شکانەوەنەکانی باڵاترین بگرێت. ڕۆحی لە ناو ئازاریەکی کۆڵنەداندا خەریکی تێکۆشانە. و بەڵگەی ئەوەی هەیە کە نوێژەکەی بیستراوە. هەست دەکات کە سەرکەوتن هی ئەوە. ئەگەر ئێمە وەک گەلێک وەها نوێژ بکەین وەک دانیال نوێژی کرد، و تێبکۆشین وەک ئەو تێکۆشا، بە ڕێزگرتنەوەی ڕۆحەکانمان لەبەردەم خودا، ئەوا وەڵامەکانی داواکارییەکانمان بەو ئاستەی دیار و نیشانەدار دەزانین کە بۆ دانیال بەخشرا. گوێ بگرە چۆن داواکەی لە دیوانی ئاسماندا پێداگری لەسەر دەکات:»</w:t>
      </w:r>
    </w:p>
    <w:p>
      <w:pPr>
        <w:pStyle w:val="ArticleScripture"/>
        <w:jc w:val="left"/>
      </w:pPr>
      <w:r>
        <w:rPr>
          <w:rFonts w:ascii="Times New Roman" w:hAnsi="Times New Roman" w:eastAsia="Times New Roman" w:cs="Times New Roman"/>
        </w:rPr>
        <w:t>“‘A Sami, dɛɛr ma yini la, ka mɛn; fɛrɛ n yiraw la, ka ɲɛ a ma an halakilikɛw ni so kelen min bɛ wele i tɔgɔ la; bari an tɛ an daariw bɔ i ɲɛ fɛ an ka tilew sababu la, nka i ka hinɛba kosɛbɛ la. A Matigi, mɛn; A Matigi, hakili to; A Matigi, tuli ka kɛ; i kana buma, i yɛrɛ sababu la, a Sami; bari i ka so ni i ka mɔgɔw bɛ wele i tɔgɔ la. N tun bɛ kuma kɛ ka delili, ka ne ka jurumu ni ne ka jama ka jurumu confessing, … jigi Gabrɛli kɛ, ce min ne tun ye jira la fɔlɔ, min tun yera ka bɛn yan jɔyan na kosɛbɛ, a na ka mase n na wula saran sɔrɔli waati la.’”</w:t>
      </w:r>
    </w:p>
    <w:p>
      <w:pPr>
        <w:pStyle w:val="ArticleScripture"/>
        <w:jc w:val="left"/>
      </w:pPr>
      <w:r>
        <w:rPr>
          <w:rFonts w:ascii="Times New Roman" w:hAnsi="Times New Roman" w:eastAsia="Times New Roman" w:cs="Times New Roman"/>
        </w:rPr>
        <w:t>“</w:t>
      </w:r>
      <w:r>
        <w:rPr>
          <w:rFonts w:ascii="Ebrima" w:hAnsi="Ebrima" w:eastAsia="Ebrima" w:cs="Ebrima"/>
        </w:rPr>
        <w:t>ልክ</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ጸሎት</w:t>
      </w:r>
      <w:r>
        <w:rPr>
          <w:rFonts w:ascii="Times New Roman" w:hAnsi="Times New Roman" w:eastAsia="Times New Roman" w:cs="Times New Roman"/>
        </w:rPr>
        <w:t xml:space="preserve"> </w:t>
      </w:r>
      <w:r>
        <w:rPr>
          <w:rFonts w:ascii="Ebrima" w:hAnsi="Ebrima" w:eastAsia="Ebrima" w:cs="Ebrima"/>
        </w:rPr>
        <w:t>እየወጣ</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መልአኩ</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ከሰማያዊ</w:t>
      </w:r>
      <w:r>
        <w:rPr>
          <w:rFonts w:ascii="Times New Roman" w:hAnsi="Times New Roman" w:eastAsia="Times New Roman" w:cs="Times New Roman"/>
        </w:rPr>
        <w:t xml:space="preserve"> </w:t>
      </w:r>
      <w:r>
        <w:rPr>
          <w:rFonts w:ascii="Ebrima" w:hAnsi="Ebrima" w:eastAsia="Ebrima" w:cs="Ebrima"/>
        </w:rPr>
        <w:t>አደባባዮች</w:t>
      </w:r>
      <w:r>
        <w:rPr>
          <w:rFonts w:ascii="Times New Roman" w:hAnsi="Times New Roman" w:eastAsia="Times New Roman" w:cs="Times New Roman"/>
        </w:rPr>
        <w:t xml:space="preserve"> </w:t>
      </w:r>
      <w:r>
        <w:rPr>
          <w:rFonts w:ascii="Ebrima" w:hAnsi="Ebrima" w:eastAsia="Ebrima" w:cs="Ebrima"/>
        </w:rPr>
        <w:t>ፈጥኖ</w:t>
      </w:r>
      <w:r>
        <w:rPr>
          <w:rFonts w:ascii="Times New Roman" w:hAnsi="Times New Roman" w:eastAsia="Times New Roman" w:cs="Times New Roman"/>
        </w:rPr>
        <w:t xml:space="preserve"> </w:t>
      </w:r>
      <w:r>
        <w:rPr>
          <w:rFonts w:ascii="Ebrima" w:hAnsi="Ebrima" w:eastAsia="Ebrima" w:cs="Ebrima"/>
        </w:rPr>
        <w:t>ወርዶ</w:t>
      </w:r>
      <w:r>
        <w:rPr>
          <w:rFonts w:ascii="Times New Roman" w:hAnsi="Times New Roman" w:eastAsia="Times New Roman" w:cs="Times New Roman"/>
        </w:rPr>
        <w:t xml:space="preserve"> </w:t>
      </w:r>
      <w:r>
        <w:rPr>
          <w:rFonts w:ascii="Ebrima" w:hAnsi="Ebrima" w:eastAsia="Ebrima" w:cs="Ebrima"/>
        </w:rPr>
        <w:t>መጣ፣</w:t>
      </w:r>
      <w:r>
        <w:rPr>
          <w:rFonts w:ascii="Times New Roman" w:hAnsi="Times New Roman" w:eastAsia="Times New Roman" w:cs="Times New Roman"/>
        </w:rPr>
        <w:t xml:space="preserve"> </w:t>
      </w:r>
      <w:r>
        <w:rPr>
          <w:rFonts w:ascii="Ebrima" w:hAnsi="Ebrima" w:eastAsia="Ebrima" w:cs="Ebrima"/>
        </w:rPr>
        <w:t>ልመናዎቹ</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ተሰሙና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ተመለሱለት</w:t>
      </w:r>
      <w:r>
        <w:rPr>
          <w:rFonts w:ascii="Times New Roman" w:hAnsi="Times New Roman" w:eastAsia="Times New Roman" w:cs="Times New Roman"/>
        </w:rPr>
        <w:t xml:space="preserve"> </w:t>
      </w:r>
      <w:r>
        <w:rPr>
          <w:rFonts w:ascii="Ebrima" w:hAnsi="Ebrima" w:eastAsia="Ebrima" w:cs="Ebrima"/>
        </w:rPr>
        <w:t>ለማሳወቅ።</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ጥበብና</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እንዲሰጠው፣</w:t>
      </w:r>
      <w:r>
        <w:rPr>
          <w:rFonts w:ascii="Times New Roman" w:hAnsi="Times New Roman" w:eastAsia="Times New Roman" w:cs="Times New Roman"/>
        </w:rPr>
        <w:t>—</w:t>
      </w:r>
      <w:r>
        <w:rPr>
          <w:rFonts w:ascii="Ebrima" w:hAnsi="Ebrima" w:eastAsia="Ebrima" w:cs="Ebrima"/>
        </w:rPr>
        <w:t>የሚመጡትን</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ምሥጢራት</w:t>
      </w:r>
      <w:r>
        <w:rPr>
          <w:rFonts w:ascii="Times New Roman" w:hAnsi="Times New Roman" w:eastAsia="Times New Roman" w:cs="Times New Roman"/>
        </w:rPr>
        <w:t xml:space="preserve"> </w:t>
      </w:r>
      <w:r>
        <w:rPr>
          <w:rFonts w:ascii="Ebrima" w:hAnsi="Ebrima" w:eastAsia="Ebrima" w:cs="Ebrima"/>
        </w:rPr>
        <w:t>በፊቱ</w:t>
      </w:r>
      <w:r>
        <w:rPr>
          <w:rFonts w:ascii="Times New Roman" w:hAnsi="Times New Roman" w:eastAsia="Times New Roman" w:cs="Times New Roman"/>
        </w:rPr>
        <w:t xml:space="preserve"> </w:t>
      </w:r>
      <w:r>
        <w:rPr>
          <w:rFonts w:ascii="Ebrima" w:hAnsi="Ebrima" w:eastAsia="Ebrima" w:cs="Ebrima"/>
        </w:rPr>
        <w:t>እንዲከፍትለት</w:t>
      </w:r>
      <w:r>
        <w:rPr>
          <w:rFonts w:ascii="Times New Roman" w:hAnsi="Times New Roman" w:eastAsia="Times New Roman" w:cs="Times New Roman"/>
        </w:rPr>
        <w:t xml:space="preserve"> </w:t>
      </w:r>
      <w:r>
        <w:rPr>
          <w:rFonts w:ascii="Ebrima" w:hAnsi="Ebrima" w:eastAsia="Ebrima" w:cs="Ebrima"/>
        </w:rPr>
        <w:t>ተልኮ</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ለማወቅና</w:t>
      </w:r>
      <w:r>
        <w:rPr>
          <w:rFonts w:ascii="Times New Roman" w:hAnsi="Times New Roman" w:eastAsia="Times New Roman" w:cs="Times New Roman"/>
        </w:rPr>
        <w:t xml:space="preserve"> </w:t>
      </w:r>
      <w:r>
        <w:rPr>
          <w:rFonts w:ascii="Ebrima" w:hAnsi="Ebrima" w:eastAsia="Ebrima" w:cs="Ebrima"/>
        </w:rPr>
        <w:t>ለማስተዋል</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ሲፈልግ፣</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የተላከ</w:t>
      </w:r>
      <w:r>
        <w:rPr>
          <w:rFonts w:ascii="Times New Roman" w:hAnsi="Times New Roman" w:eastAsia="Times New Roman" w:cs="Times New Roman"/>
        </w:rPr>
        <w:t xml:space="preserve"> </w:t>
      </w:r>
      <w:r>
        <w:rPr>
          <w:rFonts w:ascii="Ebrima" w:hAnsi="Ebrima" w:eastAsia="Ebrima" w:cs="Ebrima"/>
        </w:rPr>
        <w:t>መልእክተኛ</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ተመጣ።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«Ижь Илас лæппу куыдтæ, рæстæг уæлдай нæ зæрдæрухс фæндон æмæ буц æнкъарæй, фæлæ илахиз æрцыд Илаҳийы фæндæг зонæнмæ. Æмæ уый зонæн фæндæй, нæ фæкъæлдæр æхсæнæй йæхицæн, фæлæ йæ адæмæн дæр. Йæ стыр хъуамæдзинад уыд Исрайылæн, кæцытæ Илас закъоны, æцæг æмæ æвзæрстæй фæлгæсгæ, нæ уыдысты. Уый æвдисы, æмæ сæ алы фыдбылызтæ дæр сæм æрцыдысты уыцы сæрдæр закъоны фæстæмæ сæ фæлыстæй фæдыл. Уый зæгъы: „Никкæцы фæлыстæм, никкæцы æвзæрстæй архайдтам…. Нæ фæлыстæй æмæ нæ фыдæлтæй æнæзаконты фæдыл Иерусалим æмæ Дæ уæздан адæм фестысты фæрæзты уæзæхæнæн, кæцытæ нæ алыварс ис.“ Сæ хицæн, сыгъдæг кæрдæг фесафтысты, куыд Илас сæвгæ адæмы. „Ныр та, нæ Ила, хъусын кæн Дæ лæгъы куывдмæ æмæ йæ курдиаттæмæ, æмæ Дæ цæстуарзон фæцæуын кæн Дæ сыгъдæг бынатыл, кæцы фесау.“ Даниелы зæрдæ интенсивон æнкъармæ фæзилы Илас фесау сыгъдæг бынатмæ. Уый зоны, æмæ йæ рæзт æргом уæзданæй фæстæмæ æргæуы уæддæр, куы Исрайыл фæлыстыр уыдзæн Илас закъоны æнæхъæнæгтæй, æмæ лæгъдæр, æууæндгондæр æмæ хъусдæр уыдзæн.»</w:t>
      </w:r>
    </w:p>
    <w:p>
      <w:pPr>
        <w:pStyle w:val="ArticleScripture"/>
        <w:jc w:val="left"/>
      </w:pPr>
      <w:r>
        <w:rPr>
          <w:rFonts w:ascii="Times New Roman" w:hAnsi="Times New Roman" w:eastAsia="Times New Roman" w:cs="Times New Roman"/>
        </w:rPr>
        <w:t>ئۇنىڭ دۇئاسىغا جاۋابەن، دانيالغا پەقەت ئۆزى ۋە خەلقى ئەڭ زور دەرىجىدە مۇھتاج بولغان نۇر ۋە ھەقىقەتلا ئەمەس، بەلكى دۇنيانىڭ قۇتقۇزغۇچىسىنىڭ كېلىشىگىچە بولغان كەلگۈسىدىكى ئۇلۇغ ۋەقەلەرنىڭمۇ بىر مەنزىرىسى ئاتا قىلىندى. مۇقەددەس قىلىنغانلىقىنى داۋا قىلىدىغان، ئەمما مۇقەددەس يازمىلارنى ئىزدەنشكە ھېچ ئىستىكى بولمىغان ياكى ئىنجىل ھەقىقىتىنى تېخىمۇ روشەن چۈشىنىش ئۈچۈن دۇئادا خۇدا بىلەن كۈرىشىشنى خالىمايدىغانلار، ھەقىقىي مۇقەددەس قىلىنىشنىڭ نېمە ئىكەنلىكىنى بىلمەيدۇ.</w:t>
      </w:r>
    </w:p>
    <w:p>
      <w:pPr>
        <w:pStyle w:val="ArticleScripture"/>
        <w:jc w:val="left"/>
      </w:pPr>
      <w:r>
        <w:rPr>
          <w:rFonts w:ascii="Times New Roman" w:hAnsi="Times New Roman" w:eastAsia="Times New Roman" w:cs="Times New Roman"/>
        </w:rPr>
        <w:t>“Tam ẓane s wul awal n Öebbi ad lazzen, ad ffuden i tmusni n lɣerḍ-is. Öebbi d ameskar n tideţ. Nettat itefk tafat i tegzi i d-yeqqimen deg tillas, u itekki i wallaɣ amdan tazmert akked tezgert akken ad yessefhem u ad yegzu tideţ i d-yesken.”</w:t>
      </w:r>
    </w:p>
    <w:p>
      <w:pPr>
        <w:pStyle w:val="ArticleScripture"/>
        <w:jc w:val="left"/>
      </w:pPr>
      <w:r>
        <w:rPr>
          <w:rFonts w:ascii="Times New Roman" w:hAnsi="Times New Roman" w:eastAsia="Times New Roman" w:cs="Times New Roman"/>
        </w:rPr>
        <w:t>«Դանիէլը խօսեցաւ Աստուծոյ հետ։ Երկինքը բացուեցաւ անոր առջեւ։ Բայց իրեն տրուած բարձր պատիւները խոնարհութեան եւ լուրջ փնտռտուքի արդիւնքն էին։ Ան չմտածեց, ինչպէս այսօր շատեր կը մտածեն, թէ ի՛նչ որ ալ հաւատանք՝ տարբերութիւն չըներ, եթէ միայն անկեղծ ըլլանք եւ Յիսուսը սիրենք։ Յիսուսի հանդէպ ճշմարիտ սէրը պիտի առաջնորդէ ճշմարտութիւնը ի՛նչ է՝ այդ մասին ամենամօտիկ եւ ամենալուրջ քննութեան։ Քրիստոս աղօթեց, որպէսզի իր աշակերտները ճշմարտութեամբ սրբագործուին։ Ան որ չափազանց ծոյլ է ճշմարտութեան համար մտահոգ, աղօթական որոնում կատարելու, պիտի ձգուի ընդունելու այն մոլորութիւնները, որոնք պիտի դառնան իր հոգիին կորուստը։»</w:t>
      </w:r>
    </w:p>
    <w:p>
      <w:pPr>
        <w:pStyle w:val="ArticleScripture"/>
        <w:jc w:val="left"/>
      </w:pPr>
      <w:r>
        <w:rPr>
          <w:rFonts w:ascii="Times New Roman" w:hAnsi="Times New Roman" w:eastAsia="Times New Roman" w:cs="Times New Roman"/>
        </w:rPr>
        <w:t>«Jib jin ongelt bi duulsej irekh tsagt esh uzegch Daniel цаashdiin surgamj, tailbaryg khuleen avakh bolomjgui baisan; харин kheden jiliin дараа, odoog khurtel buren tailbargdaagui байсан asuudluudyn tukhai iluu ikhийг medekhийг khüsen, terээр dakhin Burkhanaas gerel ба мэргэн ухаан эрж хайkhaar өөрийгөө зориulav. “Ter üed bi, Daniel, gurvan bütэн долоо хоног gunigan уйлав. Би тааламжит talkh идээгүй, аманд минь мах ч, дарс ч ороогүй, мөн би өөрийгөө огт тослоогүй.... Тэгээд би нүдээ өргөн харвал, маалинга хувцас өмссөн, ташаагаа Uphaz-ын нарийн алтаар бүсэлсэн нэгэн хүн байв. Түүний бие биндэрьяа чулуу мэт, нүүр нь аянгын дүр адил, нүд нь галын дэнлүү мэт, гар хөл нь өнгөлсөн гууль мэт өнгөтэй, үгсийнх нь дуу олон хүний дуу мэт байлаа.”</w:t>
      </w:r>
    </w:p>
    <w:p>
      <w:pPr>
        <w:pStyle w:val="ArticleScripture"/>
        <w:jc w:val="left"/>
      </w:pPr>
      <w:r>
        <w:rPr>
          <w:rFonts w:ascii="Times New Roman" w:hAnsi="Times New Roman" w:eastAsia="Times New Roman" w:cs="Times New Roman"/>
        </w:rPr>
        <w:t>«Աստծո Որդուց ոչ պակաս Անձնավորություն հայտնվեց Դանիելին։ Այս նկարագրությունը նման է այն նկարագրությանը, որ Հովհաննեսը տվել է, երբ Քրիստոսը հայտնվեց նրան Պատմոս կղզում։ Մեր Տերն այժմ գալիս է մեկ այլ երկնային պատգամաբերի հետ՝ Դանիելին սովորեցնելու, թե ինչ պիտի տեղի ունենար վերջին օրերում։ Այս գիտությունը տրվեց Դանիելին և ներշնչմամբ արձանագրվեց մեզ համար, որոնց վրա աշխարհի վախճանները հասել են»։ Review and Herald, February 8, 1881.</w:t>
      </w:r>
    </w:p>
    <w:p>
      <w:pPr>
        <w:pStyle w:val="ArticleBody"/>
        <w:jc w:val="left"/>
      </w:pPr>
      <w:r>
        <w:rPr>
          <w:rFonts w:ascii="Times New Roman" w:hAnsi="Times New Roman" w:eastAsia="Times New Roman" w:cs="Times New Roman"/>
        </w:rPr>
        <w:t>تأویلــەکەی کە جبرائیل، «نێردراوی دەستنیشانکراوی ئاسمان»، بۆ دانیال دەهێنا، تەواوکەری ئەو تەأویلە بوو کە لە بەشی نۆدا دەستی پێکردبوو بۆ پێشکەشکردن بە دانیال. میتۆدی «هێڵ بە هێڵ» داوا دەکات کە تەأویل و بارودۆخە هاوبەشەکانی هەردوو بەشەکانی نۆ و دە، پێکەوە ڕیزبەندی بکەین تاکو بتوانین بە ڕاستی وێنەی پێغەمبەرانە دابەش بکەین. لە ناو ئەم تەأویلەدایە کە بینینەکانی ڕووبارەکانی ئولای و حیدەکەل یەک دەگرنەوە.</w:t>
      </w:r>
    </w:p>
    <w:p>
      <w:pPr>
        <w:pStyle w:val="ArticleBody"/>
        <w:jc w:val="left"/>
      </w:pPr>
      <w:r>
        <w:rPr>
          <w:rFonts w:ascii="Times New Roman" w:hAnsi="Times New Roman" w:eastAsia="Times New Roman" w:cs="Times New Roman"/>
        </w:rPr>
        <w:t>دانیێل لە کتێبەکانی ئیرمیا و موسا تێگەیشتبوو کە ڕزگاریی گەلی خودا نزیکە. بەو کارە، دانیێل نوێنەرایەتیی گەلی خودا لە دواڕۆژاندا دەکات، ئەوانەی تێدەگەن کە ڕزگاریی کۆتاییی گەلی خودا نزیکە. ئەو گەلەی دواڕۆژان دەناسن کە بە ڕووحی پەرتەوازە بوون، وەک ئەوەی لە دانیێلدا نیشان دراوە کە بۆ کۆیلایەتیی حەفتا ساڵەی دیلەکەشی بابڵ پەرتەوازە کرابوو. پاشان تێدەگەن کە ئەوانیش، وەک دانیێل، دەبێت ئەو وەڵامە بەرجەستە بکەن بۆ دۆخی پەرتەوازیی خۆیان کە هاوتای چارەسەری ئەو «حەوت کاتە»یە بێت کە لە لاویتیان بەشی بیست و شەشدا نیشان دراوە.</w:t>
      </w:r>
    </w:p>
    <w:p>
      <w:pPr>
        <w:pStyle w:val="ArticleBody"/>
        <w:jc w:val="left"/>
      </w:pPr>
      <w:r>
        <w:rPr>
          <w:rFonts w:ascii="Times New Roman" w:hAnsi="Times New Roman" w:eastAsia="Times New Roman" w:cs="Times New Roman"/>
        </w:rPr>
        <w:t>Mabaka namo aya ay sika yáa ni Daniel, ni kari fɛrɛ ye Leviticus mugan ni worowula kɔnɔ, bɛ yé kɛ nɛgɛso tile labanw la, Ala ka tile labanw mɔgɔw bɛ tùn ka sunogo dòn waati dɔ kɔnɔ. O waati dɔ bɛ ban ni Mikayɛli, mɛlɛkɛba, jiginna.</w:t>
      </w:r>
    </w:p>
    <w:p>
      <w:pPr>
        <w:pStyle w:val="ArticleBody"/>
        <w:jc w:val="left"/>
      </w:pPr>
      <w:r>
        <w:rPr>
          <w:rFonts w:ascii="Times New Roman" w:hAnsi="Times New Roman" w:eastAsia="Times New Roman" w:cs="Times New Roman"/>
        </w:rPr>
        <w:t>Waxaan daraasaddan ku sii wadi doonnaa maqaalka xiga.</w:t>
      </w:r>
    </w:p>
    <w:p>
      <w:pPr>
        <w:pStyle w:val="ArticleScripture"/>
        <w:jc w:val="left"/>
      </w:pPr>
      <w:r>
        <w:rPr>
          <w:rFonts w:ascii="Times New Roman" w:hAnsi="Times New Roman" w:eastAsia="Times New Roman" w:cs="Times New Roman"/>
        </w:rPr>
        <w:t>А вы будете гибнуть среди язычников, и земля ваших врагов пожрёт вас. И оставшиеся из вас будут изнывать за своё беззаконие в землях ваших врагов; и также за беззакония отцов своих будут они изнывать вместе с ними. Если они исповедают своё беззаконие и беззаконие отцов своих, в преступлении своём, которым они согрешили против Меня, и то, что они поступали вопреки Мне; и что и Я поступал вопреки им и ввёл их в землю врагов их; если тогда необрезанные сердца их смирятся, и они примут наказание за своё беззаконие: тогда Я вспомню завет Мой с Иаковом, и также завет Мой с Исааком, и также завет Мой с Авраамом вспомню; и вспомню землю. И земля оставлена будет ими и насладится своими субботами, оставаясь опустошённою без них; а они примут наказание за своё беззаконие, потому что, именно потому что они презрели Мои суды и душа их возгнушалась Моими уставами. Но и при всём том, когда они будут в земле врагов своих, Я не отвергну их и не возгнушаюсь ими до того, чтобы истребить их совершенно и нарушить завет Мой с ними; ибо Я Господь, Бог их. Но ради них Я вспомню завет предков их, которых Я вывел из земли Египетской пред глазами язычников, чтобы быть их Богом: Я Господь. Левит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یەک سەد و حەفتا و چوارەم</dc:title>
  <dc:subject>नबूवी फहम और इलाही मकाशफ़ात: दानिएल के रूया और उसके आख़िरी अय्याम के असरात को समझना</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