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اٹھہتّر</w:t>
      </w:r>
    </w:p>
    <w:p>
      <w:pPr>
        <w:pStyle w:val="ArticleSubtitle"/>
        <w:jc w:val="left"/>
      </w:pPr>
      <w:r>
        <w:rPr>
          <w:rFonts w:ascii="Segoe UI" w:hAnsi="Segoe UI" w:eastAsia="Segoe UI" w:cs="Segoe UI"/>
        </w:rPr>
        <w:t>اوغیوز</w:t>
      </w:r>
      <w:r>
        <w:rPr>
          <w:rFonts w:ascii="Arial" w:hAnsi="Arial" w:eastAsia="Arial" w:cs="Arial"/>
        </w:rPr>
        <w:t xml:space="preserve"> </w:t>
      </w:r>
      <w:r>
        <w:rPr>
          <w:rFonts w:ascii="Segoe UI" w:hAnsi="Segoe UI" w:eastAsia="Segoe UI" w:cs="Segoe UI"/>
        </w:rPr>
        <w:t>بایانلار</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11‌</w:t>
      </w:r>
      <w:r>
        <w:rPr>
          <w:rFonts w:ascii="Segoe UI" w:hAnsi="Segoe UI" w:eastAsia="Segoe UI" w:cs="Segoe UI"/>
        </w:rPr>
        <w:t>نىڭ</w:t>
      </w:r>
      <w:r>
        <w:rPr>
          <w:rFonts w:ascii="Arial" w:hAnsi="Arial" w:eastAsia="Arial" w:cs="Arial"/>
        </w:rPr>
        <w:t xml:space="preserve"> </w:t>
      </w:r>
      <w:r>
        <w:rPr>
          <w:rFonts w:ascii="Segoe UI" w:hAnsi="Segoe UI" w:eastAsia="Segoe UI" w:cs="Segoe UI"/>
        </w:rPr>
        <w:t>ئاخىر</w:t>
      </w:r>
      <w:r>
        <w:rPr>
          <w:rFonts w:ascii="Arial" w:hAnsi="Arial" w:eastAsia="Arial" w:cs="Arial"/>
        </w:rPr>
        <w:t xml:space="preserve"> </w:t>
      </w:r>
      <w:r>
        <w:rPr>
          <w:rFonts w:ascii="Segoe UI" w:hAnsi="Segoe UI" w:eastAsia="Segoe UI" w:cs="Segoe UI"/>
        </w:rPr>
        <w:t>زاماندا</w:t>
      </w:r>
      <w:r>
        <w:rPr>
          <w:rFonts w:ascii="Arial" w:hAnsi="Arial" w:eastAsia="Arial" w:cs="Arial"/>
        </w:rPr>
        <w:t xml:space="preserve"> </w:t>
      </w:r>
      <w:r>
        <w:rPr>
          <w:rFonts w:ascii="Segoe UI" w:hAnsi="Segoe UI" w:eastAsia="Segoe UI" w:cs="Segoe UI"/>
        </w:rPr>
        <w:t>ئېچىلىشى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ئەیاتی شانزە تا نۆزدەی بەشی یانزەی دانیال، مێژوویەک پێشکەش دەکات کە لە یاسای یەکشەممەی نزیکەوە لە ویلایەتە یەکگرتووەکان دەست پێدەکات، هەتا میکائیل هەستێت و ماوەی تاقیکردنەوەی مرۆڤ کۆتایی پێبێت. لەبەر ئەوە، هەمان مێژووی ئەیاتی چل و یەک تا ئەیاتی چل و پێنجی هەمان بەشیش نواندەکات.</w:t>
      </w:r>
    </w:p>
    <w:p>
      <w:pPr>
        <w:pStyle w:val="ArticleScripture"/>
        <w:jc w:val="left"/>
      </w:pPr>
      <w:r>
        <w:rPr>
          <w:rFonts w:ascii="Times New Roman" w:hAnsi="Times New Roman" w:eastAsia="Times New Roman" w:cs="Times New Roman"/>
        </w:rPr>
        <w:t>Амма анга қарши чиққан киши ўз иродасига кўра иш қилади, ва ҳеч ким унинг олдида тура олмайди; у шунингдек шонли юртда туради, ва у унинг қўли билан ҳалок бўлади. У яна бутун подшоҳлигининг қудрати билан киришга юз тутади, ва тўғри кишилар у билан бўладилар; у шундай қилади: ва у аёллар қизини унга беради, уни бузиш учун; лекин у унинг томонида турмайди ва у учун бўлмайди. Шундан кейин у юзини оролларга қаратади ва кўпларини эгаллайди; лекин ўз томонидан бир шаҳзода у келтирган ҳақоратни тўхтатади; ўзининг ҳақоратисиз у унинг ўзига қайтариб юборади. Сўнг у юзини ўз юртининг истеҳкомига қарайди; лекин у қоқилади ва йиқилади, ва топилмайди. Дониёр 11:16–19.</w:t>
      </w:r>
    </w:p>
    <w:p>
      <w:pPr>
        <w:pStyle w:val="ArticleBody"/>
        <w:jc w:val="left"/>
      </w:pPr>
      <w:r>
        <w:rPr>
          <w:rFonts w:ascii="Times New Roman" w:hAnsi="Times New Roman" w:eastAsia="Times New Roman" w:cs="Times New Roman"/>
        </w:rPr>
        <w:t>با سِسٹر وائٹ نے دانی ایل باب گیارہ کی آخری تکمیل پر گفتگو کی، تو اُنہوں نے فرمایا کہ "اس نبوت میں جو تاریخ بڑی حد تک پوری ہو چکی ہے، وہ دہرائی جائے گی۔" آیات اکتالیس سے پینتالیس تک اِن آیات کی نبوی تاریخ کو دوبارہ بیان کرتی ہیں۔ یہ آیات اُس وقت پوری ہوئیں جب مشرکانہ روم نے پہلے تین جغرافیائی علاقوں کو فتح کر کے دنیا پر اپنا تسلط قائم کیا۔</w:t>
      </w:r>
    </w:p>
    <w:p>
      <w:pPr>
        <w:pStyle w:val="ArticleScripture"/>
        <w:jc w:val="left"/>
      </w:pPr>
      <w:r>
        <w:rPr>
          <w:rFonts w:ascii="Times New Roman" w:hAnsi="Times New Roman" w:eastAsia="Times New Roman" w:cs="Times New Roman"/>
        </w:rPr>
        <w:t>«تاچند که میسر نه‌دیتوانست له‌به‌ر ئەنتیۆخۆس، پاشای باکوور، بوەستێت، ئەنتیۆخۆس خۆیشی نه‌دیتوانی له‌به‌ر ڕۆمانییەکان بوەستێت، ئەوانەی ئێستا هاتبوونە دژیی. ئیتر هیچ شانشینێک نه‌ما بوو بتوانێت له‌به‌ر ئەم هێزە سەرەهەڵدەرانە بوەستێت. سووریا داگیرکرا و زیادکرایە سەر ئیمپراتۆریای ڕۆمان، کاتێک پۆمپێ، له‌ ساڵی 65 پ. ز، ئەنتیۆخۆسی ئاسیاتیکۆسی له‌ موڵک و ماڵەکانی بێبەش کرد و سووریای کردە پارێزگایەکی ڕۆمانی.»</w:t>
      </w:r>
    </w:p>
    <w:p>
      <w:pPr>
        <w:pStyle w:val="ArticleScripture"/>
        <w:jc w:val="left"/>
      </w:pPr>
      <w:r>
        <w:rPr>
          <w:rFonts w:ascii="Times New Roman" w:hAnsi="Times New Roman" w:eastAsia="Times New Roman" w:cs="Times New Roman"/>
        </w:rPr>
        <w:t>“Ay niw sasao a pannakabalin ket agtakderto met idiay Daga a Nasantoan, ket alunto a mangdadael iti dayta. Ti Roma nagbalin a naisilpu iti tattao ti Dios, dagiti Judio, babaen iti tulag idi 162 a.t.k., manipud iti dayta a petsa ket adda na nangato a lugarna iti kalendario ti padto. Nupay kasta, saan a naalána ti pannakaturay iti Judea babaen iti pudno a panangabak agingga idi 63 a.t.k.; ket iti kasta a pamay-an idiay sumaganad.”</w:t>
      </w:r>
    </w:p>
    <w:p>
      <w:pPr>
        <w:pStyle w:val="ArticleScripture"/>
        <w:jc w:val="left"/>
      </w:pPr>
      <w:r>
        <w:rPr>
          <w:rFonts w:ascii="Times New Roman" w:hAnsi="Times New Roman" w:eastAsia="Times New Roman" w:cs="Times New Roman"/>
        </w:rPr>
        <w:t xml:space="preserve">«Պոմպեոսի՝ Պոնտոսի թագաւոր Միհրդատէսի դէմ իր արշաւանքից վերադարձին, Յուդայի թագի համար պայքարում էին երկու մրցակիցներ՝ Հիւրկանոսն ու Արիստոբուլոսը։ Նրանց գործը ներկայացուեց Պոմպեոսի առաջ, որը շուտով նկատեց Արիստոբուլոսի </w:t>
      </w:r>
      <w:r>
        <w:rPr>
          <w:rFonts w:ascii="Nirmala UI" w:hAnsi="Nirmala UI" w:eastAsia="Nirmala UI" w:cs="Nirmala UI"/>
        </w:rPr>
        <w:t>দাব</w:t>
      </w:r>
      <w:r>
        <w:rPr>
          <w:rFonts w:ascii="Times New Roman" w:hAnsi="Times New Roman" w:eastAsia="Times New Roman" w:cs="Times New Roman"/>
        </w:rPr>
        <w:t>երի անարդարութիւնը, սակայն կամենում էր գործի վճիռը յետաձգել մինչեւ Արաբիա իր վաղուց ցանկալի արշաւանքից յետոյ՝ խոստանալով ապա վերադառնալ եւ նրանց գործերը կարգադրել այնպէս, ինչպէս արդար եւ պատշաճ կթուէր։ Արիստոբուլոսը, թափանցելով Պոմպեոսի իրական մտադրութիւնների մէջ, շտապ վերադարձաւ Յուդա, զինեց իր հպատակներին եւ պատրաստուեց եռանդուն պաշտպանութեան՝ վճռած ամեն տեսակ վտանգի գնով պահել այն թագը, որ, ինչպէս կանխատեսում էր, պիտի վճռուէր ուրիշի օգտին։ Պոմպեոսը մօտիկից հետապնդեց փախստականին։ Երբ նա մօտեցաւ Երուսաղէմին, Արիստոբուլոսը, սկսելով զղջալ իր ընթացքի համար, դուրս եկաւ նրան ընդառաջ եւ փորձեց գործը հարթել՝ խոստանալով լիակատար ենթարկում եւ մեծ գումարներ։ Պոմպեոսը, ընդունելով այս առաջարկը, Գաբինիոսին զինուորների մի ջոկատի գլխաւորութեամբ ուղարկեց՝ գումարը ստանալու։ Բայց երբ այդ զօրագլուխը հասաւ Երուսաղէմ, գտաւ, որ դռները իր առաջ փակուած էին, եւ պարիսպների վերեւից նրան ասուեց, թէ քաղաքը չի մնալու այդ համաձայնութեան վրայ»։</w:t>
      </w:r>
    </w:p>
    <w:p>
      <w:pPr>
        <w:pStyle w:val="ArticleScripture"/>
        <w:jc w:val="left"/>
      </w:pPr>
      <w:r>
        <w:rPr>
          <w:rFonts w:ascii="Times New Roman" w:hAnsi="Times New Roman" w:eastAsia="Times New Roman" w:cs="Times New Roman"/>
        </w:rPr>
        <w:t>«پومپی، تا کسی نتواند بدین‌سان بی‌کیفر او را بفریبد، اریستوبولوس را که نزد خود نگاه داشته بود، در زنجیر کرد و بی‌درنگ با تمامی سپاه خویش به سوی اورشلیم لشکر کشید. هواداران اریستوبولوس بر آن بودند که شهر را دفاع کنند؛ و طرفداران هیرکانوس، که دروازه‌ها را بگشایند. چون دستهٔ اخیر در اکثریت بودند و غلبه یافتند، پومپی بی‌مانع به شهر راه داده شد. آنگاه پیروان اریستوبولوس به کوه معبد عقب نشستند، با عزمی همان‌قدر استوار بر دفاع از آن موضع که پومپی بر تسخیر آن داشت. در پایان سه ماه، رخنه‌ای در حصار پدید آمد که برای یورش بسنده بود، و آن موضع به دم شمشیر گرفته شد. در کشتار هولناکی که در پی آمد، دوازده هزار تن کشته شدند. مورخ می‌گوید: منظره‌ای جان‌گداز بود دیدنِ کاهنانی که در آن هنگام به خدمت الهی مشغول بودند و با دستی آرام و قصدی استوار، وظیفهٔ معمول خویش را دنبال می‌کردند، گویی از آشوب سهمگین بی‌خبر بودند؛ حال آنکه در همه‌سو پیرامونشان دوستانشان به کشتار سپرده می‌شدند، و بارها خون خود ایشان با خون قربانی‌هایشان درهم می‌آمیخت.»</w:t>
      </w:r>
    </w:p>
    <w:p>
      <w:pPr>
        <w:pStyle w:val="ArticleScripture"/>
        <w:jc w:val="left"/>
      </w:pPr>
      <w:r>
        <w:rPr>
          <w:rFonts w:ascii="Times New Roman" w:hAnsi="Times New Roman" w:eastAsia="Times New Roman" w:cs="Times New Roman"/>
        </w:rPr>
        <w:t>«Урушни тугатгач, Помпей Қуддус деворларини бузди, бир нечта шаҳарларни Яҳудия юрисдикциясидан Сурияникига ўтказди ва яҳудийлар зиммасига хирож юклади. Шу тариқа Қуддус илк бор забт этиш орқали ўша ҳокимият қўлига топширилди; у “гўзал юрт”ни темир чангал ичида, уни батамом йўқ қилиб юборгунча, ушлаб туриши керак эди.»</w:t>
      </w:r>
    </w:p>
    <w:p>
      <w:pPr>
        <w:pStyle w:val="ArticleScripture"/>
        <w:jc w:val="left"/>
      </w:pPr>
      <w:r>
        <w:rPr>
          <w:rFonts w:ascii="Times New Roman" w:hAnsi="Times New Roman" w:eastAsia="Times New Roman" w:cs="Times New Roman"/>
        </w:rPr>
        <w:t xml:space="preserve">«17-тәи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მიმართავს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სახეს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შევიდეს</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სამეფოს</w:t>
      </w:r>
      <w:r>
        <w:rPr>
          <w:rFonts w:ascii="Times New Roman" w:hAnsi="Times New Roman" w:eastAsia="Times New Roman" w:cs="Times New Roman"/>
        </w:rPr>
        <w:t xml:space="preserve"> </w:t>
      </w:r>
      <w:r>
        <w:rPr>
          <w:rFonts w:ascii="Sylfaen" w:hAnsi="Sylfaen" w:eastAsia="Sylfaen" w:cs="Sylfaen"/>
        </w:rPr>
        <w:t>ძალით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მართალნი</w:t>
      </w:r>
      <w:r>
        <w:rPr>
          <w:rFonts w:ascii="Times New Roman" w:hAnsi="Times New Roman" w:eastAsia="Times New Roman" w:cs="Times New Roman"/>
        </w:rPr>
        <w:t xml:space="preserve"> </w:t>
      </w:r>
      <w:r>
        <w:rPr>
          <w:rFonts w:ascii="Sylfaen" w:hAnsi="Sylfaen" w:eastAsia="Sylfaen" w:cs="Sylfaen"/>
        </w:rPr>
        <w:t>მასთან</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ასე</w:t>
      </w:r>
      <w:r>
        <w:rPr>
          <w:rFonts w:ascii="Times New Roman" w:hAnsi="Times New Roman" w:eastAsia="Times New Roman" w:cs="Times New Roman"/>
        </w:rPr>
        <w:t xml:space="preserve"> </w:t>
      </w:r>
      <w:r>
        <w:rPr>
          <w:rFonts w:ascii="Sylfaen" w:hAnsi="Sylfaen" w:eastAsia="Sylfaen" w:cs="Sylfaen"/>
        </w:rPr>
        <w:t>მოიქცევა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მისცემს</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ქალთა</w:t>
      </w:r>
      <w:r>
        <w:rPr>
          <w:rFonts w:ascii="Times New Roman" w:hAnsi="Times New Roman" w:eastAsia="Times New Roman" w:cs="Times New Roman"/>
        </w:rPr>
        <w:t xml:space="preserve"> </w:t>
      </w:r>
      <w:r>
        <w:rPr>
          <w:rFonts w:ascii="Sylfaen" w:hAnsi="Sylfaen" w:eastAsia="Sylfaen" w:cs="Sylfaen"/>
        </w:rPr>
        <w:t>ასულს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გახრწნას</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დადგება</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მხარეს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«Епископ Ньютон предлагает иное чтение этого стиха, которое, по-видимому, яснее выражает смысл, а именно: “Он также обратит лице своё, чтобы силою войти во всё царство”. Стих 16 довёл нас до завоевания Сирии и Иудеи римлянами. Рим прежде уже покорил Македонию и Фракию. Египет был теперь всем, что оставалось от “всего царства” Александра, ещё не приведённого в подчинение римской власти; и эта власть теперь обратила лице своё, чтобы силою войти в ту страну.</w:t>
      </w:r>
    </w:p>
    <w:p>
      <w:pPr>
        <w:pStyle w:val="ArticleScripture"/>
        <w:jc w:val="left"/>
      </w:pPr>
      <w:r>
        <w:rPr>
          <w:rFonts w:ascii="Times New Roman" w:hAnsi="Times New Roman" w:eastAsia="Times New Roman" w:cs="Times New Roman"/>
        </w:rPr>
        <w:t>پطلیموس اولِتِس در سال ۵۱ پیش از میلاد درگذشت. او تاج و پادشاهی مصر را برای پسر و دختر ارشد خود، بطلمیوس و کلئوپاترا، به جا گذاشت. در وصیت او مقرر شده بود که آن دو با یکدیگر ازدواج کنند و به‌طور مشترک سلطنت نمایند؛ و چون کم‌سال بودند، تحت قیمومت رومیان قرار داده شدند. مردم روم این مسئولیت را پذیرفتند و پومپه را به‌عنوان قیمِ وارثان جوان مصر منصوب کردند.</w:t>
      </w:r>
    </w:p>
    <w:p>
      <w:pPr>
        <w:pStyle w:val="ArticleScripture"/>
        <w:jc w:val="left"/>
      </w:pPr>
      <w:r>
        <w:rPr>
          <w:rFonts w:ascii="Times New Roman" w:hAnsi="Times New Roman" w:eastAsia="Times New Roman" w:cs="Times New Roman"/>
        </w:rPr>
        <w:t>“Помпей ба Цезарь хоёрын хооронд удалгүй маргаан дэгдэж, улмаар тэрхүү хоёр жанжны хооронд Фарсалын алдарт тулалдаан болов. Ялагдсан Помпей Египет уруу зугтав. Цезарь даруй түүнийг тийш нь даган очсон боловч, түүнийг ирэхээс өмнө Помпейг түүний асран хамгаалагчаар томилогдож байсан Птолемей урвагчлан алжээ. Иймээс Цезарь Птолемей ба Клеопатрагийн асран хамгаалагч хэмээн Помпейд олгогдсон тэрхүү томилгоог өөртөө авсан юм. Тэрээр Египетийг дотоодын самуунаас үүдэн үймээн бужигнаантай байдалд байгааг олж мэдэв. Учир нь Птолемей ба Клеопатра хоёр бие биедээ дайсагнан, Клеопатра засгийн эрх дэх өөрт ногдох хувиасаа салгагдсан байлаа. Гэсэн хэдий ч тэрээр өөрийн өчүүхэн хүчээр, найман зуун морьт, гурван мянга хоёр зуун явган цэрэгтэйгээр Александрияд бууж, тэрхүү маргааныг шүүн хэлэлцэж, түүнийг зохицуулахаар зориглон оролдов. Самуун өдрөөс өдөрт улам нэмэгдэхийн хэрээр Цезарь өөрийн цөөн хүч байр сууриа хадгалахад хүрэлцэхгүйг мэдэж, мөн тэр улиралд үлээдэг хойд салхины улмаас Египетээс гарч чадахгүй байсан тул, Ази уруу элч илгээн, тэр нутагт байсан өөрийн бүх цэргийг аль болох түргэн ирж туслахаар тушаав.</w:t>
      </w:r>
    </w:p>
    <w:p>
      <w:pPr>
        <w:pStyle w:val="ArticleScripture"/>
        <w:jc w:val="left"/>
      </w:pPr>
      <w:r>
        <w:rPr>
          <w:rFonts w:ascii="Times New Roman" w:hAnsi="Times New Roman" w:eastAsia="Times New Roman" w:cs="Times New Roman"/>
        </w:rPr>
        <w:t>«تا زۆرترین شێوەی لووتبەرزییەوە فەرمانی دا کە پطولیمەوس و کلیۆپاترا سوپاکانیان هەڵبوەشێنن، لەبەردەم ئەوەوە بۆ چارەسەری جیاوازییەکانیان ئامادە بن، و بە بڕیاری ئەو پابەند بن. بەهۆی ئەوەی میسر شانشینیەکی سەربەخۆ بوو، ئەم فەرمانەی لووتبەرزانە بە سووکایەتییەک بۆ شکۆی شاھانەی ئەو دانرا؛ لەبەر ئەوە میسرییەکان، کە زۆر توڕە بووبوون، چوونە ناو چەک. قەیسەر وەڵامی داوە کە ئەو بە پێی ویستی باوکیان، ئەولیتیس، کار دەکات، ئەوەی منداڵەکانی خستبووە ژێر پاراستنی سەنات و گەلی ڕۆما؛ هەموو ئەو دەسەڵاتەش کە ئێستا لە کەسایەتیی ئەودا وەک کۆنسول کۆبووەتەوە؛ و کە وەک پارێزەر، مافی ئەوەی هەیە لەنێوانیاندا داوەری بکات.»</w:t>
      </w:r>
    </w:p>
    <w:p>
      <w:pPr>
        <w:pStyle w:val="ArticleScripture"/>
        <w:jc w:val="left"/>
      </w:pPr>
      <w:r>
        <w:rPr>
          <w:rFonts w:ascii="Times New Roman" w:hAnsi="Times New Roman" w:eastAsia="Times New Roman" w:cs="Times New Roman"/>
        </w:rPr>
        <w:t xml:space="preserve">«Նյութը, ի վերջո, նրա առաջ ներկայացվեց, և երկու կողմերի գործը պաշտպանելու համար պաշտպաններ նշանակվեցին։ Կլեոպատրան, գիտենալով մեծ հռոմեական նվաճողի թուլությունը, դատեց, որ իր ներկայության գեղեցկությունը իր օգտին դատավճիռ ապահովելու մեջ ավելի ազդեցիկ պիտի լինի, քան որևէ պաշտպան, որ կարող էր վարձել։ Որպեսզի աննկատ հասներ նրա ներկայությանը, նա դիմեց հետևյալ հնարքին. ամբողջ հասակով պառկելով հագուստների մի կապոցի մեջ՝ նրա սիկիլիացի ծառան՝ Ապոլլոդորոսը, այն փաթաթեց մի կտորի մեջ, կապեց մի փոկով և, բարձրացնելով իր հերկուլեսյան ուսերի վրա, ուղղվեց դեպի Կեսարի ապարանքները։ Հռոմեական զորավարի համար նվեր ունենալու </w:t>
      </w:r>
      <w:r>
        <w:rPr>
          <w:rFonts w:ascii="Nirmala UI" w:hAnsi="Nirmala UI" w:eastAsia="Nirmala UI" w:cs="Nirmala UI"/>
        </w:rPr>
        <w:t>দাবি</w:t>
      </w:r>
      <w:r>
        <w:rPr>
          <w:rFonts w:ascii="Times New Roman" w:hAnsi="Times New Roman" w:eastAsia="Times New Roman" w:cs="Times New Roman"/>
        </w:rPr>
        <w:t xml:space="preserve"> անելով՝ նրան ներս թողեցին միջնաբերդի դարպասով, նա մտավ Կեսարի ներկայությունը և բեռը դրեց նրա ոտքերի մոտ։ Երբ Կեսարը արձակեց այս կենդանի կապոցը, ահա՛, գեղեցիկ Կլեոպատրան կանգնած էր նրա առաջ։ Նա բնավ դժգոհ չեղավ այդ հնարքից, և, լինելով 2 Պետրոս 2։14-ում նկարագրված բնավորության տեր, այնպիսի գեղեցիկ անձի առաջին իսկ տեսքը, ասում է Ռոլենը, նրա վրա ունեցավ ամբողջ այն ազդեցությունը, որ նա ցանկացել էր»։</w:t>
      </w:r>
    </w:p>
    <w:p>
      <w:pPr>
        <w:pStyle w:val="ArticleScripture"/>
        <w:jc w:val="left"/>
      </w:pPr>
      <w:r>
        <w:rPr>
          <w:rFonts w:ascii="Times New Roman" w:hAnsi="Times New Roman" w:eastAsia="Times New Roman" w:cs="Times New Roman"/>
        </w:rPr>
        <w:t>“سیزر نے آخرکار یہ حکم صادر کیا کہ بھائی اور بہن وصیت کے منشا کے مطابق مشترکہ طور پر تخت پر متمکن ہوں۔ پوتھینس، جو سلطنت کا اعلیٰ وزیر تھا، اور جس نے کلیوپیٹرا کو تخت سے بے دخل کرنے میں بنیادی کردار ادا کیا تھا، اس کی بحالی کے نتیجے سے خائف تھا۔ لہٰذا اس نے عوام کے درمیان یہ بات پھیلا کر کہ سیزر کا ارادہ آخرکار کلیوپیٹرا کو تنہا اقتدار سونپ دینے کا ہے، اس کے خلاف حسد اور عداوت بھڑکانا شروع کر دی۔ جلد ہی کھلی بغاوت برپا ہو گئی۔ اخیلاس 20,000 آدمیوں کی قیادت میں سیزر کو اسکندریہ سے نکال باہر کرنے کے لیے پیش قدمی کرتا ہوا آیا۔ سیزر نے شہر کی گلیوں اور تنگ کوچوں میں اپنے قلیل لشکر کو مہارت کے ساتھ متعین کر کے حملہ پسپا کرنے میں کوئی دشواری محسوس نہ کی۔ مصریوں نے اس کے بحری بیڑے کو تباہ کرنے کا ارادہ کیا۔ جواباً اس نے ان کے بیڑے کو نذرِ آتش کر دیا۔ جلتے ہوئے جہازوں میں سے بعض جب گھاٹ کے نزدیک بہہ آئے تو شہر کی کئی عمارتوں میں آگ لگ گئی، اور اسکندریہ کی وہ مشہور کتب خانہ، جس میں قریب 400,000 جلدیں موجود تھیں، تباہ ہو گیا۔</w:t>
      </w:r>
    </w:p>
    <w:p>
      <w:pPr>
        <w:pStyle w:val="ArticleScripture"/>
        <w:jc w:val="left"/>
      </w:pPr>
      <w:r>
        <w:rPr>
          <w:rFonts w:ascii="Times New Roman" w:hAnsi="Times New Roman" w:eastAsia="Times New Roman" w:cs="Times New Roman"/>
        </w:rPr>
        <w:t>«جەنگەکە هەروەها ترسناکتر دەبوو، قەیسەر بۆ یارمەتی هەموو وڵاتانی هاوسێوەی داوا کرد. فڵۆتێکی گەورە لە ئاسیای بچووک بۆ یارمەتی ئەو هات. میترادات بە سوپایەک کە لە سوریا و کیلیکیا کۆکرابوو، بەرەو میسر دەرکەوت. ئەنتیپاتەرە ئیدومییەکە بە 3,000 جولەکە لەگەڵ ئەو پەیوەست بوو. جولەکانی کە گەلووەڕێگاکانی چوونە ناو میسر لەژێر دەستدا بوون، ڕێیان دا سوپاکە بێ هیچ ڕێگرێک پێش بچێت. بێ ئەم هاوکارییە لەلایەن ئەوانەوە، تەواوی پڵانەکە دەبوو سەرنەکەوێت. گەیشتنی ئەم سوپایە یەکلایی کێشەکەی کردەوە. شەڕێکی چارەنووسساز لە نزیک نیل ڕوویدا و بە سەرکەوتنێکی تەواو بۆ قەیسەر کۆتایی هات. پتۆلەمیۆس، کاتێک هەوڵی هەڵهاتنیدا، لە ڕووبارەکەدا خنکا. پاشان ئەسکەندەریە و تەواوی میسر بۆ براوەکە ملکەچ بوون. ئێستا ڕۆما چووبووە ناو و هەموو ئەو شانشینییە ڕەسەنەی ئەلەکسەندەر هەڵمژیببوو.»</w:t>
      </w:r>
    </w:p>
    <w:p>
      <w:pPr>
        <w:pStyle w:val="ArticleScripture"/>
        <w:jc w:val="left"/>
      </w:pPr>
      <w:r>
        <w:rPr>
          <w:rFonts w:ascii="Times New Roman" w:hAnsi="Times New Roman" w:eastAsia="Times New Roman" w:cs="Times New Roman"/>
        </w:rPr>
        <w:t>«تاژا ئومدورلَر» دېگەن تېكىستتىكى ئىبارە، شۈبھىسىزكى، ئۇنىڭغا ئاللىقاچان تىلغا ئېلىنغان ياردەمنى بەرگەن يەھۇدىيلارنى كۆرسىتىدۇ. بۇ بولمىغاندا، ئۇ چوقۇم مەغلۇپ بولغان بولاتتى؛ بۇنىڭ بىلەن بولسا، مىلادىدىن ئىلگىرىكى 47-يىلى، ئۇ مىسىرنى پۈتۈنلەي ئۆز ھۆكۈمرانلىقى ئاستىغا كىرگۈزدى.</w:t>
      </w:r>
    </w:p>
    <w:p>
      <w:pPr>
        <w:pStyle w:val="ArticleScripture"/>
        <w:jc w:val="left"/>
      </w:pPr>
      <w:r>
        <w:rPr>
          <w:rFonts w:ascii="Times New Roman" w:hAnsi="Times New Roman" w:eastAsia="Times New Roman" w:cs="Times New Roman"/>
        </w:rPr>
        <w:t>«“Зануудын охин, түүнийг завхруулан.” Клеопатрад төрсөн хүсэл тачаалыг, түүнээс түүнд нэг хүү төрсөн бөгөөд Египетийн дайн мэт тийм аюултай аян дайныг эхлүүлэхэд хүргэсэн цорын ганц шалтгаан нь байсан хэмээн түүхч өгүүлдэг. Үүнээс болж тэрээр өөрийн хэрэг явдал шаардахаас хавьгүй удаан Египетэд саатсан бөгөөд садар самуун хатантай хамт найрлан цэнгэж, шөнө бүхнийг наргиан, уужууран өнгөрөөдөг байв. “Гэвч,” хэмээн эш үзүүлэгч өгүүлсэн, “тэр нь түүний талд бат зогсохгүй, түүнд ч байхгүй.” Хожим нь Клеопатра Август Цезарийн дайсан Антонитой нэгдэж, Ромын эсрэг өөрийн бүх хүчийг дайчлан гаргав.»</w:t>
      </w:r>
    </w:p>
    <w:p>
      <w:pPr>
        <w:pStyle w:val="ArticleScripture"/>
        <w:jc w:val="left"/>
      </w:pPr>
      <w:r>
        <w:rPr>
          <w:rFonts w:ascii="Times New Roman" w:hAnsi="Times New Roman" w:eastAsia="Times New Roman" w:cs="Times New Roman"/>
        </w:rPr>
        <w:t>«آیهٔ ۱۸. پس از این، روی خود را به سوی جزایر خواهد گردانید و بسیاری را خواهد گرفت؛ اما امیری به خاطر خویشتن خویش، ننگی را که او وارد ساخته بود، بازخواهد گردانید تا بازایستد؛ و آن را بی‌آنکه ننگی از آنِ خود داشته باشد، بر وی بازخواهد گردانید.»</w:t>
      </w:r>
    </w:p>
    <w:p>
      <w:pPr>
        <w:pStyle w:val="ArticleScripture"/>
        <w:jc w:val="left"/>
      </w:pPr>
      <w:r>
        <w:rPr>
          <w:rFonts w:ascii="Times New Roman" w:hAnsi="Times New Roman" w:eastAsia="Times New Roman" w:cs="Times New Roman"/>
        </w:rPr>
        <w:t>«جەڭ پەرنەس، كىممېرىيە بوسپورىنىڭ پادىشاھى بىلەن بولغان جەڭ، ئاخىرىدا ئۇنى مىسىردىن ئايرىپ كەتتى. پرىدو مۇنداق دەيدۇ: «ئۇ دۈشمەن بار يەرگە يېتىپ كەلگەندە، ئۆزىگىمۇ، ئۇلارغىمۇ ھېچقانداق تىنىق بېرىپ ئولتۇرماي، دەرھال ھۇجۇم قىلىپ، ئۇلار ئۈستىدىن تامامەن مۇتلەق غەلىبە قازاندى؛ بۇنىڭ خەۋىرىنى ئۇ ئۆزىنىڭ بىر دوستىغا مۇشۇ ئۈچ سۆز بىلەن يازدى: Veni, vidi, vici؛ مەن كەلدىم، مەن كۆردۈم، مەن بويسۇندۇردۇم.» بۇ ئايەتنىڭ كېيىنكى قىسمى بىر ئاز مۇبھەملىك ئىچىگە ئورالغان بولۇپ، ئۇنىڭ قوللىنىلىشى ھەققىدە قاراش پەرقى بار. بەزىلەر بۇنى قەيسەرنىڭ ھاياتىدىكى تېخىمۇ ئالدىنقى دەۋرگە تەدبىق قىلىدۇ ۋە ئۇنىڭ ئەمەلگە ئېشىشىنى پومپېي بىلەن بولغان توقۇنۇشىدا تاپىمىز، دەپ قارايدۇ. ئەمما پەيغەمبەرلىك ئىچىدە ئېنىق بەلگىلەنگەن ئالدىنقى ۋە كېيىنكى ۋەقەلەر بىزنى بۇ بېشارەتنىڭ بۇ قىسمىنىڭ ئەمەلگە ئېشىشىنى پەرنەس ئۈستىدىن بولغان غەلىبىدىن كېيىن، ۋە كېيىنكى ئايەتتە كۆرسىتىلگەندەك، رىمدا قەيسەرنىڭ ئۆلۈمىدىن بۇرۇن بولغان دەۋردىن ئىزدەشكە مەجبۇر قىلىدۇ. بۇ دەۋرنىڭ تېخىمۇ تولۇق تارىخى، بۇ پارچىنىڭ قوللىنىلىشىنى ھېچقانداق قىيىنچىلىقسىز ئايدىڭلاشتۇرىدىغان ۋەقەلەرنى يورۇتۇپ بېرىشى مۇمكىن.»</w:t>
      </w:r>
    </w:p>
    <w:p>
      <w:pPr>
        <w:pStyle w:val="ArticleScripture"/>
        <w:jc w:val="left"/>
      </w:pPr>
      <w:r>
        <w:rPr>
          <w:rFonts w:ascii="Times New Roman" w:hAnsi="Times New Roman" w:eastAsia="Times New Roman" w:cs="Times New Roman"/>
        </w:rPr>
        <w:t>«آيۃ 19۔ پھر وہ اپنا رُخ اپنی ہی سرزمین کے قلعے کی طرف کرے گا؛ لیکن وہ ٹھوکر کھا کر گرے گا، اور پھر نہ پایا جائے گا۔»</w:t>
      </w:r>
    </w:p>
    <w:p>
      <w:pPr>
        <w:pStyle w:val="ArticleScripture"/>
        <w:jc w:val="left"/>
      </w:pPr>
      <w:r>
        <w:rPr>
          <w:rFonts w:ascii="Times New Roman" w:hAnsi="Times New Roman" w:eastAsia="Times New Roman" w:cs="Times New Roman"/>
        </w:rPr>
        <w:t>«پی از دې فتحې، قیصر د پومپي د ګوند وروستي پاتې شوني هم مات کړل: کاتو او سکیپیو په افریقا کې، او لابیینوس او واروُس په هسپانیا کې. روم ته په بېرته راستنېدو سره، چې “د خپلې خاورې کلک سنګر” و، هغه د تل لپاره دیکتاتور وټاکل شو؛ او داسې نور واکونه او ویاړونه هم ورکړل شول چې په حقیقت کې یې هغه د ټولې امپراتورۍ مطلق واکمن وګرځاوه. خو نبي ویلي وو چې هغه به ولویږي او راپرېوځي. دا ژبه څرګندوي چې د هغه نسکورېدنه به ناڅاپي او نه اټکل کېدونکې وي، لکه یو څوک چې د تګ پر مهال په تصادفي ډول پښه وښوېږي. او همداسې وشول: دغه سړی، چې پنځه سوه جګړې یې کړې او ګټلې وې، یو زر ښارونه یې نیولي وو، او یو میلیون او یو سل او دوه نوي زره سړي یې وژلي وو، ونه لوېد د جګړې په شور او د شخړې په ساعت کې، بلکې هغه مهال راپرېوت چې ګومان یې کاوه لاره یې هواره او په ګلونو فرشه ده، او چې خطر ډېر لیرې ګڼل کېده؛ ځکه چې، کله چې هغه د سنا په تالار کې پر خپلې زرینې تختنۍ کښېناست، تر څو د هماغې جرګې له خوا د پاچا لقب ترلاسه کړي، د خیانت خنجر ناڅاپه یې په زړه کې ولګېد. کاسیوس، بروتوس، او نور توطئه کوونکي پرې راوخوځېدل، او هغه په درویشتو ټپونو سوری راولوېد. په دې توګه هغه ناڅاپه ولویېد او راپرېوت، او بیا ونه موندل شو، 44 ق.م.» Uriah Smith, Daniel and the Revelation, 258–264.</w:t>
      </w:r>
    </w:p>
    <w:p>
      <w:pPr>
        <w:pStyle w:val="ArticleBody"/>
        <w:jc w:val="left"/>
      </w:pPr>
      <w:r>
        <w:rPr>
          <w:rFonts w:ascii="Times New Roman" w:hAnsi="Times New Roman" w:eastAsia="Times New Roman" w:cs="Times New Roman"/>
        </w:rPr>
        <w:t>متاريخي پيغم روم (اتر جو بادشاهه) جي تخت تي قائم ٿيڻ جي پوري ٿيڻ واري تاريخ، اُن تاريخ جي پيش نموني آهي جيڪا جديد روم جي تخت نشيني سان واسطو رکي ٿي، جيڪا ٽن رخي اتحاد ۾ واقع ٿيندي آهي، ۽ اهو اتحاد جلد ايندڙ آچر جي قانون وقت عمل ۾ ايندو. اها تاريخ آيتن تيرهه کان ڇٽيهه تائين به مثالي صورت ۾ پيش ڪئي وئي آهي، جن ۾ اهو سڃاڻايو ويو آهي ته جڏهن پوپائي اقتدار کي پهريون ڀيرو 538ع ۾ تخت تي ويهاريو ويو. آيتون سورهه کان اوڻيهه تائين، ۽ آيتون هڪٽيهه کان ڇٽيهه تائين، ٻئي صور جي فاحشه جي آخري عروج ۽ زوال جي نمائندگي ڪن ٿيون. اها تاريخ آيتن پنج کان نَوَ تائين به ظاهر ڪئي وئي هئي، جڏهن اتر جو پهريون بادشاهه ٽن جاگرافيائي علائقن کي فتح ڪرڻ کان پوءِ قائم ڪيو ويو. ان کان پوءِ هن ڏکڻ جي بادشاهه سان هڪ عهد ۾ داخلا ڪئي، پر عهد ڀڃي ڇڏيو، ۽ ان جي جواب ۾ ڏکڻ جي بادشاهه هڪ مهلك زخم رسايو، ۽ اتر جو بادشاهه مصر جي قيد ۾ مري ويو.</w:t>
      </w:r>
    </w:p>
    <w:p>
      <w:pPr>
        <w:pStyle w:val="ArticleBody"/>
        <w:jc w:val="left"/>
      </w:pPr>
      <w:r>
        <w:rPr>
          <w:rFonts w:ascii="Times New Roman" w:hAnsi="Times New Roman" w:eastAsia="Times New Roman" w:cs="Times New Roman"/>
        </w:rPr>
        <w:t>Vesi i-nu’ lima ingga i-nu’ siyam, vesi i-nu’ sapulu’ annam ingga i-nu’ sapulu’ siyam, anna vesi i-nu’ tallumpulu’ ingga i-nu’ tallumpulu’ annam, marra’mi tallu garis profetis to mapponjanni ri vesi i-nu’ appampulu’ ingga i-nu’ appampulu’ lima. Wettu Sister White massuroi bahwa “sebagian besar dari sejarah yang telah digenapi dalam nubuatan ini akan terulang,” arti sesungguhnya ialah bahwa seluruh pasal itu menggambarkan vesi i-nu’ appampulu’ ingga i-nu’ appampulu’ lima. Vesi i-nu’ duapulu’ ingga i-nu’ duapulu’ dua menandai kelahiran dan kematian Kristus, sehingga mewakili waktu kesudahan baik pada tahun 1798 maupun 1989 melalui kelahiran-Nya, lalu kematian-Nya di kayu salib melambangkan 22 Oktober 1844 dan undang-undang hari Minggu.</w:t>
      </w:r>
    </w:p>
    <w:p>
      <w:pPr>
        <w:pStyle w:val="ArticleBody"/>
        <w:jc w:val="left"/>
      </w:pP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मकाबीय</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161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158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मकाबीय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मकाबीय</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निस्संदेह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چۆكەکەدا جولەکەکان قەیسەر (ڕۆما) وەک پاشای خۆیان ناساند، و «پەیمان»ی ئایەتی بیست و سێ ئاماژەیە بۆ دەستپێکی هەڵبژاردنی جولەکەکان بۆ خزمەتکردنی ڕۆما، هەر لەو خاڵەی کۆتایی‌هاتنی ڕاگەیاندنی دڵسۆزیی جولەکەکان بۆ ڕۆما. کۆتایی جولەکەکان، وەک لە خاچدا نیشان دراوە، بە دوایدا دەستپێکی پەیوەندیی جولەکەکان بە ڕۆما دێت.</w:t>
      </w:r>
    </w:p>
    <w:p>
      <w:pPr>
        <w:pStyle w:val="ArticleBody"/>
        <w:jc w:val="left"/>
      </w:pPr>
      <w:r>
        <w:rPr>
          <w:rFonts w:ascii="Times New Roman" w:hAnsi="Times New Roman" w:eastAsia="Times New Roman" w:cs="Times New Roman"/>
        </w:rPr>
        <w:t>Ayat dua puluh empat hingga tiga puluh menggambarkan tiga ratus enam puluh tahun ketika Roma kafir memerintah secara tertinggi sejak Pertempuran Actium pada tahun 31 SM, hingga pemindahan ibu kota dari Roma ke Konstantinopel pada tahun 330. Jangka waktu tiga ratus enam puluh tahun itu melambangkan seribu dua ratus enam puluh tahun ketika Roma kepausan memerintah secara tertinggi, dan bersama-sama keduanya menggambarkan masa yang disebut dalam ayat empat puluh satu, serta persatuan rangkap tiga yang terjadi pada undang-undang hari Minggu yang segera datang, hingga berakhirnya masa kasihan.</w:t>
      </w:r>
    </w:p>
    <w:p>
      <w:pPr>
        <w:pStyle w:val="ArticleBody"/>
        <w:jc w:val="left"/>
      </w:pPr>
      <w:r>
        <w:rPr>
          <w:rFonts w:ascii="Times New Roman" w:hAnsi="Times New Roman" w:eastAsia="Times New Roman" w:cs="Times New Roman"/>
        </w:rPr>
        <w:t>باب یازدەهەمدا تاریخین هموو هێڵە پێشبینییەکان لەگەڵ شەش ئایەتی کۆتاییی دانیال یازدە یەکدەگرن؛ بەڵام ئەو مێژووی پێشبینییەیە کە لە کاتی کۆتایی لە ساڵی 1989 دەست پێدەکات، کە لە ئایەتی چلەوە نوێنەرایەتی دەکرێت هەتا یاسای یەکشەممە لە ئایەتی چل‌و‌یەک، ئەوەیە «ئەو بەشەی پێشبینیی دانیال کە پەیوەندیدارە بە ڕۆژانی دواوە». ئەو مێژووەی کە لە ئایەتی چڵدا بەتاڵ هێڵدراوە، ئەوە ئاشکراکردنی عیسای مەسیحە کە کاتێک دەکرێتەوە کە کات نزیکە، تەنها پێش ئەوەی ماوەی تاقیکردنەوە دابخرێت.</w:t>
      </w:r>
    </w:p>
    <w:p>
      <w:pPr>
        <w:pStyle w:val="ArticleBody"/>
        <w:jc w:val="left"/>
      </w:pPr>
      <w:r>
        <w:rPr>
          <w:rFonts w:ascii="Times New Roman" w:hAnsi="Times New Roman" w:eastAsia="Times New Roman" w:cs="Times New Roman"/>
        </w:rPr>
        <w:t>Artículo siguientepe jehove hag̃ua ko ñehesa’ỹijo.</w:t>
      </w:r>
    </w:p>
    <w:p>
      <w:pPr>
        <w:pStyle w:val="ArticleScripture"/>
        <w:jc w:val="left"/>
      </w:pPr>
      <w:r>
        <w:rPr>
          <w:rFonts w:ascii="Times New Roman" w:hAnsi="Times New Roman" w:eastAsia="Times New Roman" w:cs="Times New Roman"/>
        </w:rPr>
        <w:t>«Աստծո պատվիրաններն ունենք և Հիսուս Քրիստոսի վկայությունը, որ մարգարեության հոգին է։ Անգնահատելի գոհարներ պետք է գտնվեն Աստծո խոսքում։ Նրանք, ովքեր քննում են այս խոսքը, պետք է իրենց միտքը պարզ պահեն։ Նրանք երբեք չպետք է անձնատուր լինեն ուտելու կամ խմելու մեջ ապականված ախորժակին։»</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ဤသို့ပြုကြလျှင်၊</w:t>
      </w:r>
      <w:r>
        <w:rPr>
          <w:rFonts w:ascii="Times New Roman" w:hAnsi="Times New Roman" w:eastAsia="Times New Roman" w:cs="Times New Roman"/>
        </w:rPr>
        <w:t xml:space="preserve"> </w:t>
      </w:r>
      <w:r>
        <w:rPr>
          <w:rFonts w:ascii="Myanmar Text" w:hAnsi="Myanmar Text" w:eastAsia="Myanmar Text" w:cs="Myanmar Text"/>
        </w:rPr>
        <w:t>ဦးနှောက်သည်</w:t>
      </w:r>
      <w:r>
        <w:rPr>
          <w:rFonts w:ascii="Times New Roman" w:hAnsi="Times New Roman" w:eastAsia="Times New Roman" w:cs="Times New Roman"/>
        </w:rPr>
        <w:t xml:space="preserve"> </w:t>
      </w:r>
      <w:r>
        <w:rPr>
          <w:rFonts w:ascii="Myanmar Text" w:hAnsi="Myanmar Text" w:eastAsia="Myanmar Text" w:cs="Myanmar Text"/>
        </w:rPr>
        <w:t>ရှုပ်ထွေးသွားမည်ဖြစ်ပြီး၊</w:t>
      </w:r>
      <w:r>
        <w:rPr>
          <w:rFonts w:ascii="Times New Roman" w:hAnsi="Times New Roman" w:eastAsia="Times New Roman" w:cs="Times New Roman"/>
        </w:rPr>
        <w:t xml:space="preserve"> </w:t>
      </w:r>
      <w:r>
        <w:rPr>
          <w:rFonts w:ascii="Myanmar Text" w:hAnsi="Myanmar Text" w:eastAsia="Myanmar Text" w:cs="Myanmar Text"/>
        </w:rPr>
        <w:t>ဤကမ္ဘာမြေ၏</w:t>
      </w:r>
      <w:r>
        <w:rPr>
          <w:rFonts w:ascii="Times New Roman" w:hAnsi="Times New Roman" w:eastAsia="Times New Roman" w:cs="Times New Roman"/>
        </w:rPr>
        <w:t xml:space="preserve"> </w:t>
      </w:r>
      <w:r>
        <w:rPr>
          <w:rFonts w:ascii="Myanmar Text" w:hAnsi="Myanmar Text" w:eastAsia="Myanmar Text" w:cs="Myanmar Text"/>
        </w:rPr>
        <w:t>သမိုင်းအဆုံးပိုင်းဖြစ်ရပ်များနှင့်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ရှာဖွေဖော်ထုတ်ရန်</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တူးဖော်လေ့လာရသော</w:t>
      </w:r>
      <w:r>
        <w:rPr>
          <w:rFonts w:ascii="Times New Roman" w:hAnsi="Times New Roman" w:eastAsia="Times New Roman" w:cs="Times New Roman"/>
        </w:rPr>
        <w:t xml:space="preserve"> </w:t>
      </w:r>
      <w:r>
        <w:rPr>
          <w:rFonts w:ascii="Myanmar Text" w:hAnsi="Myanmar Text" w:eastAsia="Myanmar Text" w:cs="Myanmar Text"/>
        </w:rPr>
        <w:t>ဖိအားကို</w:t>
      </w:r>
      <w:r>
        <w:rPr>
          <w:rFonts w:ascii="Times New Roman" w:hAnsi="Times New Roman" w:eastAsia="Times New Roman" w:cs="Times New Roman"/>
        </w:rPr>
        <w:t xml:space="preserve"> </w:t>
      </w:r>
      <w:r>
        <w:rPr>
          <w:rFonts w:ascii="Myanmar Text" w:hAnsi="Myanmar Text" w:eastAsia="Myanmar Text" w:cs="Myanmar Text"/>
        </w:rPr>
        <w:t>ခံနိုင်ရည်ရှိတော့မည်မဟုတ်။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 Daniel ak Pàngóot yi gëna xammee bu baaxee, gëmkat yi dinañu am ab jëfandikoo bu ñuulul benn yeneen ci seen dund gu diine. Dees na leen may ay gis-gis yu mel ni ubbitu bunti asamaan yi, ba xol ak xel di jël ñàkk ci melokaan gi ñépp war a yokk ci seen bopp ngir man a am barkeel gi di peyu ñi xol set.”</w:t>
      </w:r>
    </w:p>
    <w:p>
      <w:pPr>
        <w:pStyle w:val="ArticleScripture"/>
        <w:jc w:val="left"/>
      </w:pPr>
      <w:r>
        <w:rPr>
          <w:rFonts w:ascii="Times New Roman" w:hAnsi="Times New Roman" w:eastAsia="Times New Roman" w:cs="Times New Roman"/>
        </w:rPr>
        <w:t>“Jrugämi, ğumïžnälikpän häm mulayimlek belän, Wäxidä aşılgannarnı añlarğa tırışqan barça keşelärne Xuday fätihälär. Bu kitapta ülemsezlek belän böyek mäğnä taşuçı häm dan belän tulı bik küp närsälär bar; şunlıqtan anı uqıp, ciddilek belän öyrängän härkem bu pärexzädäge süzlärne ‘işetep, anda yazılğan närsälärne saqlawçılarğa’ birelgän bäräkätne ala.”</w:t>
      </w:r>
    </w:p>
    <w:p>
      <w:pPr>
        <w:pStyle w:val="ArticleScripture"/>
        <w:jc w:val="left"/>
      </w:pPr>
      <w:r>
        <w:rPr>
          <w:rFonts w:ascii="Times New Roman" w:hAnsi="Times New Roman" w:eastAsia="Times New Roman" w:cs="Times New Roman"/>
        </w:rPr>
        <w:t>«Бір нәрсе Аян кітабын зерттеуден сөзсіз айқын болады: Құдай мен Өз халқының арасындағы байланыс жақын әрі анық.</w:t>
      </w:r>
    </w:p>
    <w:p>
      <w:pPr>
        <w:pStyle w:val="ArticleScripture"/>
        <w:jc w:val="left"/>
      </w:pPr>
      <w:r>
        <w:rPr>
          <w:rFonts w:ascii="Times New Roman" w:hAnsi="Times New Roman" w:eastAsia="Times New Roman" w:cs="Times New Roman"/>
        </w:rPr>
        <w:t>«Ұлы бір байланыс көк әлемі мен осы дүние арасында көрінеді. Даниялға ашылған нәрселер кейін Патмос аралында Жоханға берілген аянмен толықтырылды. Бұл екі кітапты мұқият зерттеу керек. Даниял екі рет: “Ақыр заманның соңына дейін қанша уақыт болады?” — деп сұрады.»</w:t>
      </w:r>
    </w:p>
    <w:p>
      <w:pPr>
        <w:pStyle w:val="ArticleScripture"/>
        <w:jc w:val="left"/>
      </w:pPr>
      <w:r>
        <w:rPr>
          <w:rFonts w:ascii="Times New Roman" w:hAnsi="Times New Roman" w:eastAsia="Times New Roman" w:cs="Times New Roman"/>
        </w:rPr>
        <w:t>«“А салым анӕзыхтӕн, фӕлӕ нӕ бамбӕрстон: уӕд зӕгъын, О мæ Хуцау, цы уыдзӕн ацытӕй фӕстаг? Æмӕ Уый мын загъта: Рауад, Даниил: уымӕн ӕмӕ дзырдтӕ ӕхгӕд сты ӕмӕ мыхуыргонд сты фӕстаг рӕстӕджы онг. Бирӕтӕ сӕхи сыгъдӕг кӕндзысты, ӕмӕ урс кӕндзысты, ӕмӕ фӕлгъуыстгонд кӕндзысты; фӕлӕ æвзӕртӕ æвзӕрдзинад кӕндзысты: ӕмӕ æвзӕртӕй иуӕй дӕр нӕ бамбарадзӕн; фӕлӕ зондджынтӕ бамбардзысты. Æмӕ уӕдӕй, куы бавгъау уа ӕрцыд цæугӕ дӕндаг, ӕмӕ ӕвӕрд æрцӕуа фесафӕг хъуыддаг, уӕд уа уӕззаӕд сӕдӕ ӕмӕ фӕндзӕйы дыууӕ дыууиссӕдз. Амондджын уый у, чи бафӕраза ӕмӕ ӕрцӕуа ӕртӕ сӕдӕ фӕндзайы дыууӕ ӕмӕ ӕртынсӕдз бонмӕ. Фӕлӕ ды рауад дӕ фӕндӕгтыл фӕстагмӕ: уымӕн ӕмӕ дӕ цӕй кӕндзынӕ, ӕмӕ басгӕуай дӕ хайы фӕстаг бонтӕй кӕронмӕ.”»</w:t>
      </w:r>
    </w:p>
    <w:p>
      <w:pPr>
        <w:pStyle w:val="ArticleScripture"/>
        <w:jc w:val="left"/>
      </w:pPr>
      <w:r>
        <w:rPr>
          <w:rFonts w:ascii="Times New Roman" w:hAnsi="Times New Roman" w:eastAsia="Times New Roman" w:cs="Times New Roman"/>
        </w:rPr>
        <w:t>«لەھدى يەھۇدا قەبىلىسىنىڭ ئارسلىنى» كىتابنىڭ مۆھرىنى ئاچتى ۋە بۇ ئاخىرقى كۈنلەردە نېمە بولىدىغانلىقى ھەققىدىكى ۋەھىنى يۇھانناغا بەردى.</w:t>
      </w:r>
    </w:p>
    <w:p>
      <w:pPr>
        <w:pStyle w:val="ArticleScripture"/>
        <w:jc w:val="left"/>
      </w:pPr>
      <w:r>
        <w:rPr>
          <w:rFonts w:ascii="Times New Roman" w:hAnsi="Times New Roman" w:eastAsia="Times New Roman" w:cs="Times New Roman"/>
        </w:rPr>
        <w:t>«Дониёл дар қисми худ истод, то шаҳодати худро, ки то замони поён мӯҳр шуда буд, ба ҷо оварад, ҳангоме ки паёми фариштаи аввал бояд ба ҷаҳони мо эълон карда мешуд. Ин масъалаҳо дар ин рӯзҳои охир аҳамияти беинтиҳо доранд; аммо дар ҳоле ки “бисёре пок карда хоҳанд шуд, ва сафед гардонида хоҳанд шуд, ва озмуда хоҳанд шуд”, “бадкорон бадӣ хоҳанд кард; ва ҳеҷ яке аз бадкорон нахоҳад фаҳмид”. Чӣ қадар ин ҳақиқат дорад! Гуноҳ поймол кардани шариати Худост; ва онҳое ки нурро дар бораи шариати Худо қабул намекунанд, эълони паёмҳои фариштагони якум, дуюм ва сеюмро нахоҳанд фаҳмид. Китоби Дониёл дар ваҳй ба Юҳанно кушода мешавад ва моро ба сӯи саҳнаҳои охирини таърихи ин замин пеш мебарад.</w:t>
      </w:r>
    </w:p>
    <w:p>
      <w:pPr>
        <w:pStyle w:val="ArticleScripture"/>
        <w:jc w:val="left"/>
      </w:pPr>
      <w:r>
        <w:rPr>
          <w:rFonts w:ascii="Times New Roman" w:hAnsi="Times New Roman" w:eastAsia="Times New Roman" w:cs="Times New Roman"/>
        </w:rPr>
        <w:t>“Tikikik nten a tokotmāān ro jāān im menin kauwōtata ko an iien ko rem̧m̧anlōt? Jān Aolep ippān Dāniel. Katōŗe men kein.”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اٹھہتّر</dc:title>
  <dc:subject>اوغیوز بایانلار: دانیال 11‌نىڭ ئاخىر زاماندا ئېچىلىشى</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