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ᎠᏟᏂᎬᏅ</w:t>
      </w:r>
      <w:r>
        <w:rPr>
          <w:rFonts w:ascii="Arial" w:hAnsi="Arial" w:eastAsia="Arial" w:cs="Arial"/>
        </w:rPr>
        <w:t xml:space="preserve"> </w:t>
      </w:r>
      <w:r>
        <w:rPr>
          <w:rFonts w:ascii="Gadugi" w:hAnsi="Gadugi" w:eastAsia="Gadugi" w:cs="Gadugi"/>
        </w:rPr>
        <w:t>ᏗᎪᏪᎵ</w:t>
      </w:r>
      <w:r>
        <w:rPr>
          <w:rFonts w:ascii="Arial" w:hAnsi="Arial" w:eastAsia="Arial" w:cs="Arial"/>
        </w:rPr>
        <w:t xml:space="preserve"> — </w:t>
      </w:r>
      <w:r>
        <w:rPr>
          <w:rFonts w:ascii="Gadugi" w:hAnsi="Gadugi" w:eastAsia="Gadugi" w:cs="Gadugi"/>
        </w:rPr>
        <w:t>ᏐᏁᎳ</w:t>
      </w:r>
      <w:r>
        <w:rPr>
          <w:rFonts w:ascii="Arial" w:hAnsi="Arial" w:eastAsia="Arial" w:cs="Arial"/>
        </w:rPr>
        <w:t xml:space="preserve"> </w:t>
      </w:r>
      <w:r>
        <w:rPr>
          <w:rFonts w:ascii="Gadugi" w:hAnsi="Gadugi" w:eastAsia="Gadugi" w:cs="Gadugi"/>
        </w:rPr>
        <w:t>ᎢᏯᎵᏍᎪᎯ</w:t>
      </w:r>
      <w:r>
        <w:rPr>
          <w:rFonts w:ascii="Arial" w:hAnsi="Arial" w:eastAsia="Arial" w:cs="Arial"/>
        </w:rPr>
        <w:t xml:space="preserve"> </w:t>
      </w:r>
      <w:r>
        <w:rPr>
          <w:rFonts w:ascii="Gadugi" w:hAnsi="Gadugi" w:eastAsia="Gadugi" w:cs="Gadugi"/>
        </w:rPr>
        <w:t>ᏑᏓᎵᏆ</w:t>
      </w:r>
      <w:r>
        <w:rPr>
          <w:rFonts w:ascii="Arial" w:hAnsi="Arial" w:eastAsia="Arial" w:cs="Arial"/>
        </w:rPr>
        <w:t xml:space="preserve"> </w:t>
      </w:r>
      <w:r>
        <w:rPr>
          <w:rFonts w:ascii="Gadugi" w:hAnsi="Gadugi" w:eastAsia="Gadugi" w:cs="Gadugi"/>
        </w:rPr>
        <w:t>ᏐᏁᎳᏚᏂᏏᏏ</w:t>
      </w:r>
    </w:p>
    <w:p>
      <w:pPr>
        <w:pStyle w:val="ArticleSubtitle"/>
        <w:jc w:val="left"/>
      </w:pPr>
      <w:r>
        <w:rPr>
          <w:rFonts w:ascii="Nirmala UI" w:hAnsi="Nirmala UI" w:eastAsia="Nirmala UI" w:cs="Nirmala UI"/>
        </w:rPr>
        <w:t>अर्धरात्रिको</w:t>
      </w:r>
      <w:r>
        <w:rPr>
          <w:rFonts w:ascii="Arial" w:hAnsi="Arial" w:eastAsia="Arial" w:cs="Arial"/>
        </w:rPr>
        <w:t xml:space="preserve"> </w:t>
      </w:r>
      <w:r>
        <w:rPr>
          <w:rFonts w:ascii="Nirmala UI" w:hAnsi="Nirmala UI" w:eastAsia="Nirmala UI" w:cs="Nirmala UI"/>
        </w:rPr>
        <w:t>पुकार</w:t>
      </w:r>
      <w:r>
        <w:rPr>
          <w:rFonts w:ascii="Arial" w:hAnsi="Arial" w:eastAsia="Arial" w:cs="Arial"/>
        </w:rPr>
        <w:t xml:space="preserve"> </w:t>
      </w:r>
      <w:r>
        <w:rPr>
          <w:rFonts w:ascii="Nirmala UI" w:hAnsi="Nirmala UI" w:eastAsia="Nirmala UI" w:cs="Nirmala UI"/>
        </w:rPr>
        <w:t>र</w:t>
      </w:r>
      <w:r>
        <w:rPr>
          <w:rFonts w:ascii="Arial" w:hAnsi="Arial" w:eastAsia="Arial" w:cs="Arial"/>
        </w:rPr>
        <w:t xml:space="preserve"> </w:t>
      </w:r>
      <w:r>
        <w:rPr>
          <w:rFonts w:ascii="Nirmala UI" w:hAnsi="Nirmala UI" w:eastAsia="Nirmala UI" w:cs="Nirmala UI"/>
        </w:rPr>
        <w:t>रोमको</w:t>
      </w:r>
      <w:r>
        <w:rPr>
          <w:rFonts w:ascii="Arial" w:hAnsi="Arial" w:eastAsia="Arial" w:cs="Arial"/>
        </w:rPr>
        <w:t xml:space="preserve"> </w:t>
      </w:r>
      <w:r>
        <w:rPr>
          <w:rFonts w:ascii="Nirmala UI" w:hAnsi="Nirmala UI" w:eastAsia="Nirmala UI" w:cs="Nirmala UI"/>
        </w:rPr>
        <w:t>अगमवाणीसम्बन्धी</w:t>
      </w:r>
      <w:r>
        <w:rPr>
          <w:rFonts w:ascii="Arial" w:hAnsi="Arial" w:eastAsia="Arial" w:cs="Arial"/>
        </w:rPr>
        <w:t xml:space="preserve"> </w:t>
      </w:r>
      <w:r>
        <w:rPr>
          <w:rFonts w:ascii="Nirmala UI" w:hAnsi="Nirmala UI" w:eastAsia="Nirmala UI" w:cs="Nirmala UI"/>
        </w:rPr>
        <w:t>भूमिका</w:t>
      </w:r>
      <w:r>
        <w:rPr>
          <w:rFonts w:ascii="Arial" w:hAnsi="Arial" w:eastAsia="Arial" w:cs="Arial"/>
        </w:rPr>
        <w:t xml:space="preserve">: </w:t>
      </w:r>
      <w:r>
        <w:rPr>
          <w:rFonts w:ascii="Nirmala UI" w:hAnsi="Nirmala UI" w:eastAsia="Nirmala UI" w:cs="Nirmala UI"/>
        </w:rPr>
        <w:t>दानिएलको</w:t>
      </w:r>
      <w:r>
        <w:rPr>
          <w:rFonts w:ascii="Arial" w:hAnsi="Arial" w:eastAsia="Arial" w:cs="Arial"/>
        </w:rPr>
        <w:t xml:space="preserve"> </w:t>
      </w:r>
      <w:r>
        <w:rPr>
          <w:rFonts w:ascii="Nirmala UI" w:hAnsi="Nirmala UI" w:eastAsia="Nirmala UI" w:cs="Nirmala UI"/>
        </w:rPr>
        <w:t>पुस्तकमा</w:t>
      </w:r>
      <w:r>
        <w:rPr>
          <w:rFonts w:ascii="Arial" w:hAnsi="Arial" w:eastAsia="Arial" w:cs="Arial"/>
        </w:rPr>
        <w:t xml:space="preserve"> </w:t>
      </w:r>
      <w:r>
        <w:rPr>
          <w:rFonts w:ascii="Nirmala UI" w:hAnsi="Nirmala UI" w:eastAsia="Nirmala UI" w:cs="Nirmala UI"/>
        </w:rPr>
        <w:t>अन्तिम</w:t>
      </w:r>
      <w:r>
        <w:rPr>
          <w:rFonts w:ascii="Arial" w:hAnsi="Arial" w:eastAsia="Arial" w:cs="Arial"/>
        </w:rPr>
        <w:t xml:space="preserve"> </w:t>
      </w:r>
      <w:r>
        <w:rPr>
          <w:rFonts w:ascii="Nirmala UI" w:hAnsi="Nirmala UI" w:eastAsia="Nirmala UI" w:cs="Nirmala UI"/>
        </w:rPr>
        <w:t>दिनहरूको</w:t>
      </w:r>
      <w:r>
        <w:rPr>
          <w:rFonts w:ascii="Arial" w:hAnsi="Arial" w:eastAsia="Arial" w:cs="Arial"/>
        </w:rPr>
        <w:t xml:space="preserve"> </w:t>
      </w:r>
      <w:r>
        <w:rPr>
          <w:rFonts w:ascii="Nirmala UI" w:hAnsi="Nirmala UI" w:eastAsia="Nirmala UI" w:cs="Nirmala UI"/>
        </w:rPr>
        <w:t>उद्घाटन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سنه اكنون بر زمین مقدّس گام می‌نهیم، از حیثِ کتاب دانیال، زیرا به آیاتی رسیده‌ایم که فریادِ نیمه‌شب را برای آن یکصد و چهل و چهار هزار تن بازمی‌نمایانند. این آیات همچنین مُهر شدنِ عَلَم‌دارانِ برافراشته را مشخص می‌کنند. اینها همان آیاتی هستند که بخشی از کتاب دانیال را تشکیل می‌دهند که به ایّام آخر مربوط است و گشوده شده است، و بیانگرِ تعبیرِ دانیال از مکاشفهٔ عیسی مسیح‌اند که آنگاه که «وقت نزدیک است» گشوده می‌شود، درست پیش از آنکه در آیهٔ شانزده مهلتِ آزمون به پایان رسد.</w:t>
      </w:r>
    </w:p>
    <w:p>
      <w:pPr>
        <w:pStyle w:val="ArticleBody"/>
        <w:jc w:val="left"/>
      </w:pPr>
      <w:r>
        <w:rPr>
          <w:rFonts w:ascii="Times New Roman" w:hAnsi="Times New Roman" w:eastAsia="Times New Roman" w:cs="Times New Roman"/>
        </w:rPr>
        <w:t>ڕۆمە ئەوەیە کە بینینەکە دامەزراندووە، وەک لە ئایەتی چواردەی بەشی یازدەدا نیشان دراوە، بۆیە گرنگە بە وردی سەیری ڕۆمە بکەین کاتێک بە ناو ئایەتەکانی یازدەوە تا پانزدەدا دەڕۆین، چونکە لەوێی کە “بینین نییە، گەلەکە لەناودەچێت”، و ئەگەر باوەڕ بە ئیشعیا، بەشی حەوت، ئایەتەکانی هەشت و نۆ نەکەن، “بەڕاستی دامەزراو نابن.”</w:t>
      </w:r>
    </w:p>
    <w:p>
      <w:pPr>
        <w:pStyle w:val="ArticleBody"/>
        <w:jc w:val="left"/>
      </w:pPr>
      <w:r>
        <w:rPr>
          <w:rFonts w:ascii="Times New Roman" w:hAnsi="Times New Roman" w:eastAsia="Times New Roman" w:cs="Times New Roman"/>
        </w:rPr>
        <w:t>Uriah Smith ohechauka peteĩ léi profétika, sa’ive jepe irundy jey, hembiapokuérape, *Daniel and the Revelation*-pe. Upe léi he’ise peteĩ pu’aka profétika noñembojekuaaiha profesíape peve oiko peve “ojoaju” hag̃ua Tupã pueblo ndive. Peteĩha jey omombe’u jave ko mba’e, ojapo upéva Babilonia jeike rehegua testimónio profétikope.</w:t>
      </w:r>
    </w:p>
    <w:p>
      <w:pPr>
        <w:pStyle w:val="ArticleScripture"/>
        <w:jc w:val="left"/>
      </w:pPr>
      <w:r>
        <w:rPr>
          <w:rFonts w:ascii="Times New Roman" w:hAnsi="Times New Roman" w:eastAsia="Times New Roman" w:cs="Times New Roman"/>
        </w:rPr>
        <w:t>«Es una regla manifiesta de interpretación que podemos esperar que las naciones sean mencionadas en la profecía cuando llegan a estar tan vinculadas con el pueblo de Dios que su mención se hace necesaria para que los registros de la historia sagrada sean completos». Uriah Smith, Daniel and the Revelation, 46.</w:t>
      </w:r>
    </w:p>
    <w:p>
      <w:pPr>
        <w:pStyle w:val="ArticleBody"/>
        <w:jc w:val="left"/>
      </w:pPr>
      <w:r>
        <w:rPr>
          <w:rFonts w:ascii="Nirmala UI" w:hAnsi="Nirmala UI" w:eastAsia="Nirmala UI" w:cs="Nirmala UI"/>
        </w:rPr>
        <w:t>कम्तिमा</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स्मिथले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नियमलाई</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प्रसङ्गमा</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यहूदीहरूको</w:t>
      </w:r>
      <w:r>
        <w:rPr>
          <w:rFonts w:ascii="Times New Roman" w:hAnsi="Times New Roman" w:eastAsia="Times New Roman" w:cs="Times New Roman"/>
        </w:rPr>
        <w:t xml:space="preserve"> “league” </w:t>
      </w:r>
      <w:r>
        <w:rPr>
          <w:rFonts w:ascii="Nirmala UI" w:hAnsi="Nirmala UI" w:eastAsia="Nirmala UI" w:cs="Nirmala UI"/>
        </w:rPr>
        <w:t>तर्फ</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सन्दर्भमा</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league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१६२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चिनाउँछन्</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सन्दर्भ</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इतिहासकारहरूसँग</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यहूदीहरू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रोमबीचको</w:t>
      </w:r>
      <w:r>
        <w:rPr>
          <w:rFonts w:ascii="Times New Roman" w:hAnsi="Times New Roman" w:eastAsia="Times New Roman" w:cs="Times New Roman"/>
        </w:rPr>
        <w:t xml:space="preserve"> “league”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१६१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Scripture"/>
        <w:jc w:val="left"/>
      </w:pPr>
      <w:r>
        <w:rPr>
          <w:rFonts w:ascii="Times New Roman" w:hAnsi="Times New Roman" w:eastAsia="Times New Roman" w:cs="Times New Roman"/>
        </w:rPr>
        <w:t>«Зааҭхаахәҩым иҳәазарц, адгьылтә ҳәынҭқаррақәа аԥхыӡыртәрахь инаргаӡом, урҭ ҵыԥхла Ҳазшаз ижәлар рыбжьара усла рыҽрзыҟаиҵанӡа. Рим иудеиааи, усҟантәи аамҭазы Ҳазшаз ижәлар, рыгәҭа иаарԥшхеит еицырдыруа Аиудатәи Аиқәшаҳаҭрала, М. Ш. А. 161 шықәсазы. 1 Maccabees 8; Josephus’s Antiquities, book 12, chapter 10, section 6; Prideaux, Vol. II, page 166. Аха ари ашьҭахь жәашықәса рышьҭахь, убри иаанаго М. Ш. А. 168 шықәсазы, Рим Македониа иаиааины, уи атәыла иимпериа ахәҭакны иҟанаҵеит. Убри аҟнытә Рим аԥхыӡыртәрахь иаанагеит убри еиԥш, ишьҭыхыз Македонатәи абаӷырӡи аԥсаатә-иазыҟарҵаз аҵышьаҿы, уи егьырҭ ахырхарҭақәа рахь ҿыц аиааирақәа рыдкыларахь ицо аамҭазы. Убри аҟнытә уи аԥхыӡҩы ибарҭан, мамзаргьы ари аԥхыӡыртәраҿы ииашаны иазҳәатәуп, уи ашәҩык ацәаҳәақәа руак аҟынтә иԥыҵны иаазшәа». Uriah Smith, Daniel and the Revelation, 175.</w:t>
      </w:r>
    </w:p>
    <w:p>
      <w:pPr>
        <w:pStyle w:val="ArticleBody"/>
        <w:jc w:val="left"/>
      </w:pPr>
      <w:r>
        <w:rPr>
          <w:rFonts w:ascii="Times New Roman" w:hAnsi="Times New Roman" w:eastAsia="Times New Roman" w:cs="Times New Roman"/>
        </w:rPr>
        <w:t>ئەمەش سمیث دەڵێت کە ساڵی ١٦٢ پێش زایین بوو.</w:t>
      </w:r>
    </w:p>
    <w:p>
      <w:pPr>
        <w:pStyle w:val="ArticleScripture"/>
        <w:jc w:val="left"/>
      </w:pPr>
      <w:r>
        <w:rPr>
          <w:rFonts w:ascii="Times New Roman" w:hAnsi="Times New Roman" w:eastAsia="Times New Roman" w:cs="Times New Roman"/>
        </w:rPr>
        <w:t>«همان قدرت نیز می‌بایست در سرزمین مقدس بایستد و آن را ببلعد. روم در سال 162 ق.م. از راه هم‌پیمانی با قوم خدا، یعنی یهودیان، مرتبط شد؛ از همین تاریخ است که در گاه‌شماری نبوی جایگاهی برجسته می‌یابد. با این حال، تا سال 63 ق.م. از طریق فتح واقعی، بر یهودیه حاکمیت به دست نیاورد؛ و سپس به طریق زیر.» اوریا اسمیت، دانیال و مکاشفه، 259.</w:t>
      </w:r>
    </w:p>
    <w:p>
      <w:pPr>
        <w:pStyle w:val="ArticleBody"/>
        <w:jc w:val="left"/>
      </w:pPr>
      <w:r>
        <w:rPr>
          <w:rFonts w:ascii="Times New Roman" w:hAnsi="Times New Roman" w:eastAsia="Times New Roman" w:cs="Times New Roman"/>
        </w:rPr>
        <w:t>Da ugwẹ ke atọ ọ kpọtụrụ ihe omume ahụ aka, ọ sịrịkwa ọzọ, 161 BC.</w:t>
      </w:r>
    </w:p>
    <w:p>
      <w:pPr>
        <w:pStyle w:val="ArticleScripture"/>
        <w:jc w:val="left"/>
      </w:pPr>
      <w:r>
        <w:rPr>
          <w:rFonts w:ascii="Times New Roman" w:hAnsi="Times New Roman" w:eastAsia="Times New Roman" w:cs="Times New Roman"/>
        </w:rPr>
        <w:t>“Үкһләригиз һәфтиясиниң ахириғичә болған империйәниң дунявий вақиәлирини бизгә көрситип чүшкەч, пәйғәмбәр 23-айәттә бизни римлиқлар йәһудийләр билән түзүлгән әһдә-намә арқилиқ Худаниң хәлқи билән биваситә бағланған заманға, миладтин бурун 161-жилға қайтуриду; шу нуқтидин башлап биз андин кейин вақиәләрниң түз бир сәпидә черковниң ахирқи ғәлибисигичә вә Худаниң әбәдий падишаһлиқиниң орнитилишиғичә елип берилимиз. Йәһудийләр сүрийә падишаһлириниң қаттиқ зулуми астида қалғачқа, римлиқларниң ярдимини сораш вә өзлирини улар билән «достлуқ вә иттипақдашлиқ әһди» гә қошуш үчүн Римға әлчихана әвәтти. 1 Maccabees 8; Prideaux, II, 234; Josephus’s Antiquities, book 12, chapter 10, section 6. Римлиқлар йәһудийләрниң тәливини аңлап, уларға төвәндики сөзләр билән ипадиләнгән бир пәрман бәрди:—”</w:t>
      </w:r>
    </w:p>
    <w:p>
      <w:pPr>
        <w:pStyle w:val="ArticleScripture"/>
        <w:jc w:val="left"/>
      </w:pPr>
      <w:r>
        <w:rPr>
          <w:rFonts w:ascii="Times New Roman" w:hAnsi="Times New Roman" w:eastAsia="Times New Roman" w:cs="Times New Roman"/>
        </w:rPr>
        <w:t>«Սենատի հրովարտակը՝ հրեաների ազգի հետ փոխադարձ օգնության և բարեկամության դաշինքի վերաբերյալ։ Հռոմեացիներին հպատակ որևէ մեկին օրինավոր չի լինի պատերազմ մղել հրեաների ազգի դեմ, ոչ էլ աջակցել նրանց, ովքեր այդպես են անում՝ նրանց ցորեն, նավեր կամ դրամ ուղարկելով. և եթե որևէ հարձակում գործվի հրեաների վրա, հռոմեացիները պիտի օգնեն նրանց՝ որքան իրենց ուժերից վեր է. և դարձյալ, եթե որևէ հարձակում գործվի հռոմեացիների վրա, հրեաները պիտի օգնեն նրանց։ Եվ եթե հրեաները կամենան այս օգնության դաշինքին որևէ բան ավելացնել կամ նրանից որևէ բան հանել, դա պիտի կատարվի հռոմեացիների ընդհանուր համաձայնությամբ։ Եվ ինչ հավելում էլ այսպես արվի, այն պիտի ուժ ունենա»։ «Այս հրովարտակը,— ասում է Հովսեփոսը,— գրվել է Հովհաննեսի որդի Եվպողեմոսի և Եղիազարի որդի Հասոնի կողմից, այն ժամանակ, երբ Հուդան ազգի քահանայապետն էր, իսկ նրա եղբայր Շմավոնը՝ բանակի զորավարը։ Եվ սա առաջին դաշինքն էր, որ հռոմեացիները կնքեցին հրեաների հետ, և այն այս կերպ վարվեց»։ Ուրայա Սմիթ, Daniel and the Revelation, 271։</w:t>
      </w:r>
    </w:p>
    <w:p>
      <w:pPr>
        <w:pStyle w:val="ArticleBody"/>
        <w:jc w:val="left"/>
      </w:pPr>
      <w:r>
        <w:rPr>
          <w:rFonts w:ascii="Times New Roman" w:hAnsi="Times New Roman" w:eastAsia="Times New Roman" w:cs="Times New Roman"/>
        </w:rPr>
        <w:t xml:space="preserve">E’nä täfsǝwsi aykǝwännän yǝmitaqärräw Smith 162 BC nǝw yäbäläw lämägläṣ, käand gize yäne säwäsäbäw sǝḥǝf täsätä nǝw yämil mäṣäb bäqär. Nəqṭäye, yämiṭäqämmäw, “mängǝstat bätǝnbit endiyätäqäsu, kaḥzbä Egziabǝḥer gar eskäziya dǝras bämäṭaqqän yätägäññu sǝlämiḥonu, yäqǝddus tarik mazgäboč tämälläsaw yǝhonu zänd </w:t>
      </w:r>
      <w:r>
        <w:rPr>
          <w:rFonts w:ascii="Ebrima" w:hAnsi="Ebrima" w:eastAsia="Ebrima" w:cs="Ebrima"/>
        </w:rPr>
        <w:t>መጥቀሳ</w:t>
      </w:r>
      <w:r>
        <w:rPr>
          <w:rFonts w:ascii="Times New Roman" w:hAnsi="Times New Roman" w:eastAsia="Times New Roman" w:cs="Times New Roman"/>
        </w:rPr>
        <w:t>ččäw asfälagi sǝlämiḥon, yämmǝmär mǝlkt yehone yägleṣ sǝr’at” sil yäläw laqenbär yämmiyädrägu ət’ǝnna nǝw. Smith yäññawn sǝr’at si’äṯǝnna, Rome käḥzbä Egziabǝḥer gar bärs ḥulätt sǝläṭaqqänäw, yäayat hulet sälast qutǝr yä“league” wǝst, bä161 BC näbär yǝläw; nägär gǝn Smith Rome bätǝnbit tarik wǝst lämäjämmeriya gize bä200 BC endätäwäddädä yäleyaḳḳäl, yihm kä161 BC qǝdmäw sälastu asra zät’ǝñ amätat nǝw.</w:t>
      </w:r>
    </w:p>
    <w:p>
      <w:pPr>
        <w:pStyle w:val="ArticleScripture"/>
        <w:jc w:val="left"/>
      </w:pPr>
      <w:r>
        <w:rPr>
          <w:rFonts w:ascii="Times New Roman" w:hAnsi="Times New Roman" w:eastAsia="Times New Roman" w:cs="Times New Roman"/>
        </w:rPr>
        <w:t>«Сега се въвежда една нова сила — „грабителите на твоя народ“; буквално, казва епископ Нютон, „разбивачите на твоя народ“. Далеч, по бреговете на Тибър, едно царство се бе подхранвало с честолюбиви замисли и мрачни кроежи. Отначало малко и слабо, то нарасна с чудна бързина по сила и мощ, като предпазливо протягаше тук и там ръка, за да изпита своето превъзходство и да провери крепостта на своята войнствена мишца, докато, съзнателно за силата си, дръзко издигна глава сред народите на земята и с непобедима ръка сграбчи кормилото на техните дела. Отсега нататък името Рим стои върху страниците на историята, предназначено през дълги векове да направлява делата на света и да упражнява могъщо влияние сред народите дори до края на времето.»</w:t>
      </w:r>
    </w:p>
    <w:p>
      <w:pPr>
        <w:pStyle w:val="ArticleScripture"/>
        <w:jc w:val="left"/>
      </w:pPr>
      <w:r>
        <w:rPr>
          <w:rFonts w:ascii="Times New Roman" w:hAnsi="Times New Roman" w:eastAsia="Times New Roman" w:cs="Times New Roman"/>
        </w:rPr>
        <w:t>«ڕۆما قسەی کرد؛ و سوریا و ماکیدۆنیا زوو گۆڕانێک هاتە سەر دیمەنی خەونەکەیان. ڕۆمییەکان لە پێناوی پاشای گەنجی میسر دەستیان وەرگرت، بڕیاریاندا کە پارێزراو بێت لە وێرانکارییەکەی کە ئەنتیۆخۆس و فیلیپ بۆی داڕشتبوو. ئەمە ساڵی 200 پ.ز بوو، و یەکێک بوو لە یەکەم دەستتێوەردانە گرنگەکانی ڕۆمییەکان لە کاروباری سوریا و میسر.» Uriah Smith, Daniel and the Revelation, 256.</w:t>
      </w:r>
    </w:p>
    <w:p>
      <w:pPr>
        <w:pStyle w:val="ArticleBody"/>
        <w:jc w:val="left"/>
      </w:pPr>
      <w:r>
        <w:rPr>
          <w:rFonts w:ascii="Nirmala UI" w:hAnsi="Nirmala UI" w:eastAsia="Nirmala UI" w:cs="Nirmala UI"/>
        </w:rPr>
        <w:t>रोमलाई</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वृत्तान्तमा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२००</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गराइन्छ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चौधमा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दानिएलभरिमा</w:t>
      </w:r>
      <w:r>
        <w:rPr>
          <w:rFonts w:ascii="Times New Roman" w:hAnsi="Times New Roman" w:eastAsia="Times New Roman" w:cs="Times New Roman"/>
        </w:rPr>
        <w:t xml:space="preserve"> </w:t>
      </w:r>
      <w:r>
        <w:rPr>
          <w:rFonts w:ascii="Nirmala UI" w:hAnsi="Nirmala UI" w:eastAsia="Nirmala UI" w:cs="Nirmala UI"/>
        </w:rPr>
        <w:t>रोमसम्बन्धी</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सन्दर्भ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पदले</w:t>
      </w:r>
      <w:r>
        <w:rPr>
          <w:rFonts w:ascii="Times New Roman" w:hAnsi="Times New Roman" w:eastAsia="Times New Roman" w:cs="Times New Roman"/>
        </w:rPr>
        <w:t xml:space="preserve"> </w:t>
      </w:r>
      <w:r>
        <w:rPr>
          <w:rFonts w:ascii="Nirmala UI" w:hAnsi="Nirmala UI" w:eastAsia="Nirmala UI" w:cs="Nirmala UI"/>
        </w:rPr>
        <w:t>दर्शनलाई</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रोमलाई</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स्मिथले</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नियमलाई</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दिएर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१६१</w:t>
      </w:r>
      <w:r>
        <w:rPr>
          <w:rFonts w:ascii="Times New Roman" w:hAnsi="Times New Roman" w:eastAsia="Times New Roman" w:cs="Times New Roman"/>
        </w:rPr>
        <w:t xml:space="preserve"> </w:t>
      </w:r>
      <w:r>
        <w:rPr>
          <w:rFonts w:ascii="Nirmala UI" w:hAnsi="Nirmala UI" w:eastAsia="Nirmala UI" w:cs="Nirmala UI"/>
        </w:rPr>
        <w:t>वर्षलाई</w:t>
      </w:r>
      <w:r>
        <w:rPr>
          <w:rFonts w:ascii="Times New Roman" w:hAnsi="Times New Roman" w:eastAsia="Times New Roman" w:cs="Times New Roman"/>
        </w:rPr>
        <w:t xml:space="preserve"> </w:t>
      </w:r>
      <w:r>
        <w:rPr>
          <w:rFonts w:ascii="Nirmala UI" w:hAnsi="Nirmala UI" w:eastAsia="Nirmala UI" w:cs="Nirmala UI"/>
        </w:rPr>
        <w:t>उद्धृत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२००</w:t>
      </w:r>
      <w:r>
        <w:rPr>
          <w:rFonts w:ascii="Times New Roman" w:hAnsi="Times New Roman" w:eastAsia="Times New Roman" w:cs="Times New Roman"/>
        </w:rPr>
        <w:t xml:space="preserve"> </w:t>
      </w:r>
      <w:r>
        <w:rPr>
          <w:rFonts w:ascii="Nirmala UI" w:hAnsi="Nirmala UI" w:eastAsia="Nirmala UI" w:cs="Nirmala UI"/>
        </w:rPr>
        <w:t>वर्षलाई</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शक्तिलाई</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गराइएको</w:t>
      </w:r>
      <w:r>
        <w:rPr>
          <w:rFonts w:ascii="Times New Roman" w:hAnsi="Times New Roman" w:eastAsia="Times New Roman" w:cs="Times New Roman"/>
        </w:rPr>
        <w:t xml:space="preserve">” </w:t>
      </w:r>
      <w:r>
        <w:rPr>
          <w:rFonts w:ascii="Nirmala UI" w:hAnsi="Nirmala UI" w:eastAsia="Nirmala UI" w:cs="Nirmala UI"/>
        </w:rPr>
        <w:t>बिन्दुका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चाहेको</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स्मिथले</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गरेअनुसारको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मान्य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मान्य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चौधको</w:t>
      </w:r>
      <w:r>
        <w:rPr>
          <w:rFonts w:ascii="Times New Roman" w:hAnsi="Times New Roman" w:eastAsia="Times New Roman" w:cs="Times New Roman"/>
        </w:rPr>
        <w:t xml:space="preserve"> </w:t>
      </w:r>
      <w:r>
        <w:rPr>
          <w:rFonts w:ascii="Nirmala UI" w:hAnsi="Nirmala UI" w:eastAsia="Nirmala UI" w:cs="Nirmala UI"/>
        </w:rPr>
        <w:t>यहूदीहरूसँग</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१६१</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सन्धिभन्दा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घटेको</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Aytapyryar ko, versículos trece guive quince peve rembiasakue ohechaukaha peteĩ tembiasakue ára pahápe, upérõ Roma papal oike maranduhára rembiasakuépe, ha upéva ojapo Tetã peteĩ rekoha Joaju ndive, ha’éva Tupã tavayguakuéra upe tembiasakuepe. Jesucristo akóinte ohechaukágui paha iñepyrũme, ary 200 a.C., upérõ Roma pagana oike va’ekue tembiasakuépe, tekotevẽ oguereko joaju Tupã tavayguakuéra ndive upe tembiasakuepe. Upévare, che amoneĩ Smith rembiapoukapy, jepe ha’e ndojuhúi kuri peteĩ joaju directo Roma ha judío kuéra apytépe ary 200 a.C.-pe.</w:t>
      </w:r>
    </w:p>
    <w:p>
      <w:pPr>
        <w:pStyle w:val="ArticleBody"/>
        <w:jc w:val="left"/>
      </w:pPr>
      <w:r>
        <w:rPr>
          <w:rFonts w:ascii="Times New Roman" w:hAnsi="Times New Roman" w:eastAsia="Times New Roman" w:cs="Times New Roman"/>
        </w:rPr>
        <w:t>Ատելքի տասնմեկերորդ և տասներկուերորդ համարները ցույց են տալիս Ռաֆիայի ճակատամարտի հաղթանակն ու դրա հետևանքները, որը տեղի ունեցավ մ.թ.ա. 217 թվականին՝ Սելևկյան կայսրության, Անտիոքոս Գ Մագնոսի, կամ «Մեծի», առաջնորդությամբ, և Եգիպտոսի Պտղոմեոսյան թագավորության, Պտղոմեոս Դ Ֆիլոպատոր թագավորի առաջնորդությամբ։ Այս ճակատամարտը տեղի ունեցավ Կոյլե-Սիրիայի (հարավային Սիրիայի) և հարավային Պաղեստինի նկատմամբ վերահսկողության համար մղվող պայքարի ընթացքում՝ այն տարածքների, որոնք վիճարկվում էին Պտղոմեոսյան և Սելևկյան թագավորությունների միջև։ Պտղոմեոս Դ Ֆիլոպատորի հաղթանակը Ռաֆիայում նրան հնարավորություն տվեց որոշ ժամանակ պահպանելու վերահսկողությունը Կոյլե-Սիրիայի և հարավային Պաղեստինի վրա։</w:t>
      </w:r>
    </w:p>
    <w:p>
      <w:pPr>
        <w:pStyle w:val="ArticleBody"/>
        <w:jc w:val="left"/>
      </w:pPr>
      <w:r>
        <w:rPr>
          <w:rFonts w:ascii="Nirmala UI" w:hAnsi="Nirmala UI" w:eastAsia="Nirmala UI" w:cs="Nirmala UI"/>
        </w:rPr>
        <w:t>ताम्या</w:t>
      </w:r>
      <w:r>
        <w:rPr>
          <w:rFonts w:ascii="Times New Roman" w:hAnsi="Times New Roman" w:eastAsia="Times New Roman" w:cs="Times New Roman"/>
        </w:rPr>
        <w:t xml:space="preserve"> </w:t>
      </w:r>
      <w:r>
        <w:rPr>
          <w:rFonts w:ascii="Nirmala UI" w:hAnsi="Nirmala UI" w:eastAsia="Nirmala UI" w:cs="Nirmala UI"/>
        </w:rPr>
        <w:t>१७</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२००</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माउंट</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घलो</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 xml:space="preserve">, </w:t>
      </w:r>
      <w:r>
        <w:rPr>
          <w:rFonts w:ascii="Nirmala UI" w:hAnsi="Nirmala UI" w:eastAsia="Nirmala UI" w:cs="Nirmala UI"/>
        </w:rPr>
        <w:t>सेल्यूसिड</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अगुवाई</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ऐन्टिओकस</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टॉलेमिक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अगुवाई</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पंचम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रहिस।</w:t>
      </w:r>
    </w:p>
    <w:p>
      <w:pPr>
        <w:pStyle w:val="ArticleBody"/>
        <w:jc w:val="left"/>
      </w:pPr>
      <w:r>
        <w:rPr>
          <w:rFonts w:ascii="Times New Roman" w:hAnsi="Times New Roman" w:eastAsia="Times New Roman" w:cs="Times New Roman"/>
        </w:rPr>
        <w:t>ثَلاثينَ وَسَنَةً وَاحِدَةً بَعدَ ذٰلِكَ، في عامِ 167 ق.م، اندلَعَت ثَورَةُ المَكّابِيّين، وهي تمرُّدٌ يَهوديٌّ على مُحاوَلاتِ الإمبراطوريّةِ السَّلوقيّةِ قَمعَ الشَّعائرِ الدينيّةِ اليَهوديّةِ وفَرضَ الثَّقافةِ الهيلينيّة، في بَلدةِ موديعين، وهي بَلدةٌ صغيرةٌ تَقَعُ في إقليمِ اليهوديّة، في ما يُعرَفُ اليومَ بإسرائيلَ الحديثة.</w:t>
      </w:r>
    </w:p>
    <w:p>
      <w:pPr>
        <w:pStyle w:val="ArticleBody"/>
        <w:jc w:val="left"/>
      </w:pPr>
      <w:r>
        <w:rPr>
          <w:rFonts w:ascii="Times New Roman" w:hAnsi="Times New Roman" w:eastAsia="Times New Roman" w:cs="Times New Roman"/>
        </w:rPr>
        <w:t>Ара ибар, ахъазгIанаб, грекалъул Селевкидалъул хан Антиох IV Эпифанасда ккараб букIана, гьес жугьутIазул халкъалда цIакъ хъатIараб эллинистиял амалал тIадчIезарун рукIана; гьелда гъорлъан рукIана жугьутIазул диналъул ибадатал ва шаргIиял гIадатал тIаса риччаял ва Иерусалималда бугеб Храм хъахIаб гIамалалдалъун пасалъизаби. Жиндир амроял тIубазе къасдалда, Антиохас жалго вакилзаби рахьун рукIана батIи-батIиял шагьаразе ва росабазе, жугьутIазул яшавчагIазе жиндир амроялда мувафакъ хъвайзе жедер къуват тIаде босун.</w:t>
      </w:r>
    </w:p>
    <w:p>
      <w:pPr>
        <w:pStyle w:val="ArticleBody"/>
        <w:jc w:val="left"/>
      </w:pPr>
      <w:r>
        <w:rPr>
          <w:rFonts w:ascii="Nirmala UI" w:hAnsi="Nirmala UI" w:eastAsia="Nirmala UI" w:cs="Nirmala UI"/>
        </w:rPr>
        <w:t>मोडेइन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सेल्यूकिद</w:t>
      </w:r>
      <w:r>
        <w:rPr>
          <w:rFonts w:ascii="Times New Roman" w:hAnsi="Times New Roman" w:eastAsia="Times New Roman" w:cs="Times New Roman"/>
        </w:rPr>
        <w:t xml:space="preserve"> </w:t>
      </w:r>
      <w:r>
        <w:rPr>
          <w:rFonts w:ascii="Nirmala UI" w:hAnsi="Nirmala UI" w:eastAsia="Nirmala UI" w:cs="Nirmala UI"/>
        </w:rPr>
        <w:t>अधिकारियों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अनुष्ठानों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चढ़ाने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मत्थाथियास</w:t>
      </w:r>
      <w:r>
        <w:rPr>
          <w:rFonts w:ascii="Times New Roman" w:hAnsi="Times New Roman" w:eastAsia="Times New Roman" w:cs="Times New Roman"/>
        </w:rPr>
        <w:t xml:space="preserve"> </w:t>
      </w:r>
      <w:r>
        <w:rPr>
          <w:rFonts w:ascii="Nirmala UI" w:hAnsi="Nirmala UI" w:eastAsia="Nirmala UI" w:cs="Nirmala UI"/>
        </w:rPr>
        <w:t>नामक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चढ़ाने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सेल्यूकिद</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मत्थाथियास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सेल्यूकिद</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मक्काबी</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Nirmala UI" w:hAnsi="Nirmala UI" w:eastAsia="Nirmala UI" w:cs="Nirmala UI"/>
        </w:rPr>
        <w:t>ମତ୍ତାଥିୟାସ</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ଯାହାଙ୍କ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ଯୁଦାସ</w:t>
      </w:r>
      <w:r>
        <w:rPr>
          <w:rFonts w:ascii="Times New Roman" w:hAnsi="Times New Roman" w:eastAsia="Times New Roman" w:cs="Times New Roman"/>
        </w:rPr>
        <w:t xml:space="preserve"> </w:t>
      </w:r>
      <w:r>
        <w:rPr>
          <w:rFonts w:ascii="Nirmala UI" w:hAnsi="Nirmala UI" w:eastAsia="Nirmala UI" w:cs="Nirmala UI"/>
        </w:rPr>
        <w:t>ମାକ୍କାବୀ</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ପର୍ବତମାଳାକୁ</w:t>
      </w:r>
      <w:r>
        <w:rPr>
          <w:rFonts w:ascii="Times New Roman" w:hAnsi="Times New Roman" w:eastAsia="Times New Roman" w:cs="Times New Roman"/>
        </w:rPr>
        <w:t xml:space="preserve"> </w:t>
      </w:r>
      <w:r>
        <w:rPr>
          <w:rFonts w:ascii="Nirmala UI" w:hAnsi="Nirmala UI" w:eastAsia="Nirmala UI" w:cs="Nirmala UI"/>
        </w:rPr>
        <w:t>ପଳାଇ</w:t>
      </w:r>
      <w:r>
        <w:rPr>
          <w:rFonts w:ascii="Times New Roman" w:hAnsi="Times New Roman" w:eastAsia="Times New Roman" w:cs="Times New Roman"/>
        </w:rPr>
        <w:t xml:space="preserve"> </w:t>
      </w:r>
      <w:r>
        <w:rPr>
          <w:rFonts w:ascii="Nirmala UI" w:hAnsi="Nirmala UI" w:eastAsia="Nirmala UI" w:cs="Nirmala UI"/>
        </w:rPr>
        <w:t>ଯାଇ</w:t>
      </w:r>
      <w:r>
        <w:rPr>
          <w:rFonts w:ascii="Times New Roman" w:hAnsi="Times New Roman" w:eastAsia="Times New Roman" w:cs="Times New Roman"/>
        </w:rPr>
        <w:t xml:space="preserve"> </w:t>
      </w:r>
      <w:r>
        <w:rPr>
          <w:rFonts w:ascii="Nirmala UI" w:hAnsi="Nirmala UI" w:eastAsia="Nirmala UI" w:cs="Nirmala UI"/>
        </w:rPr>
        <w:t>ସେଲ୍ୟୁସିଦ</w:t>
      </w:r>
      <w:r>
        <w:rPr>
          <w:rFonts w:ascii="Times New Roman" w:hAnsi="Times New Roman" w:eastAsia="Times New Roman" w:cs="Times New Roman"/>
        </w:rPr>
        <w:t xml:space="preserve"> </w:t>
      </w:r>
      <w:r>
        <w:rPr>
          <w:rFonts w:ascii="Nirmala UI" w:hAnsi="Nirmala UI" w:eastAsia="Nirmala UI" w:cs="Nirmala UI"/>
        </w:rPr>
        <w:t>ସେନାବଳଙ୍କ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ଗୁରିଲ୍ଲା</w:t>
      </w:r>
      <w:r>
        <w:rPr>
          <w:rFonts w:ascii="Times New Roman" w:hAnsi="Times New Roman" w:eastAsia="Times New Roman" w:cs="Times New Roman"/>
        </w:rPr>
        <w:t xml:space="preserve"> </w:t>
      </w:r>
      <w:r>
        <w:rPr>
          <w:rFonts w:ascii="Nirmala UI" w:hAnsi="Nirmala UI" w:eastAsia="Nirmala UI" w:cs="Nirmala UI"/>
        </w:rPr>
        <w:t>ଯୁଦ୍ଧ</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ବିଦ୍ରୋହ</w:t>
      </w:r>
      <w:r>
        <w:rPr>
          <w:rFonts w:ascii="Times New Roman" w:hAnsi="Times New Roman" w:eastAsia="Times New Roman" w:cs="Times New Roman"/>
        </w:rPr>
        <w:t xml:space="preserve"> </w:t>
      </w:r>
      <w:r>
        <w:rPr>
          <w:rFonts w:ascii="Nirmala UI" w:hAnsi="Nirmala UI" w:eastAsia="Nirmala UI" w:cs="Nirmala UI"/>
        </w:rPr>
        <w:t>କ୍ରମେ</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ସମର୍ଥନରେ</w:t>
      </w:r>
      <w:r>
        <w:rPr>
          <w:rFonts w:ascii="Times New Roman" w:hAnsi="Times New Roman" w:eastAsia="Times New Roman" w:cs="Times New Roman"/>
        </w:rPr>
        <w:t xml:space="preserve"> </w:t>
      </w:r>
      <w:r>
        <w:rPr>
          <w:rFonts w:ascii="Nirmala UI" w:hAnsi="Nirmala UI" w:eastAsia="Nirmala UI" w:cs="Nirmala UI"/>
        </w:rPr>
        <w:t>ବୃଦ୍ଧି</w:t>
      </w:r>
      <w:r>
        <w:rPr>
          <w:rFonts w:ascii="Times New Roman" w:hAnsi="Times New Roman" w:eastAsia="Times New Roman" w:cs="Times New Roman"/>
        </w:rPr>
        <w:t xml:space="preserve"> </w:t>
      </w:r>
      <w:r>
        <w:rPr>
          <w:rFonts w:ascii="Nirmala UI" w:hAnsi="Nirmala UI" w:eastAsia="Nirmala UI" w:cs="Nirmala UI"/>
        </w:rPr>
        <w:t>ପାଇଲା</w:t>
      </w:r>
      <w:r>
        <w:rPr>
          <w:rFonts w:ascii="Times New Roman" w:hAnsi="Times New Roman" w:eastAsia="Times New Roman" w:cs="Times New Roman"/>
        </w:rPr>
        <w:t xml:space="preserve">, </w:t>
      </w:r>
      <w:r>
        <w:rPr>
          <w:rFonts w:ascii="Nirmala UI" w:hAnsi="Nirmala UI" w:eastAsia="Nirmala UI" w:cs="Nirmala UI"/>
        </w:rPr>
        <w:t>ଫଳସ୍ୱରୂପ</w:t>
      </w:r>
      <w:r>
        <w:rPr>
          <w:rFonts w:ascii="Times New Roman" w:hAnsi="Times New Roman" w:eastAsia="Times New Roman" w:cs="Times New Roman"/>
        </w:rPr>
        <w:t xml:space="preserve"> </w:t>
      </w:r>
      <w:r>
        <w:rPr>
          <w:rFonts w:ascii="Nirmala UI" w:hAnsi="Nirmala UI" w:eastAsia="Nirmala UI" w:cs="Nirmala UI"/>
        </w:rPr>
        <w:t>ସେଲ୍ୟୁସିଦମାନଙ୍କ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ସାମରିକ</w:t>
      </w:r>
      <w:r>
        <w:rPr>
          <w:rFonts w:ascii="Times New Roman" w:hAnsi="Times New Roman" w:eastAsia="Times New Roman" w:cs="Times New Roman"/>
        </w:rPr>
        <w:t xml:space="preserve"> </w:t>
      </w:r>
      <w:r>
        <w:rPr>
          <w:rFonts w:ascii="Nirmala UI" w:hAnsi="Nirmala UI" w:eastAsia="Nirmala UI" w:cs="Nirmala UI"/>
        </w:rPr>
        <w:t>ବିଜୟର</w:t>
      </w:r>
      <w:r>
        <w:rPr>
          <w:rFonts w:ascii="Times New Roman" w:hAnsi="Times New Roman" w:eastAsia="Times New Roman" w:cs="Times New Roman"/>
        </w:rPr>
        <w:t xml:space="preserve"> </w:t>
      </w:r>
      <w:r>
        <w:rPr>
          <w:rFonts w:ascii="Nirmala UI" w:hAnsi="Nirmala UI" w:eastAsia="Nirmala UI" w:cs="Nirmala UI"/>
        </w:rPr>
        <w:t>ଶୃଙ୍ଖଳା</w:t>
      </w:r>
      <w:r>
        <w:rPr>
          <w:rFonts w:ascii="Times New Roman" w:hAnsi="Times New Roman" w:eastAsia="Times New Roman" w:cs="Times New Roman"/>
        </w:rPr>
        <w:t xml:space="preserve"> </w:t>
      </w:r>
      <w:r>
        <w:rPr>
          <w:rFonts w:ascii="Nirmala UI" w:hAnsi="Nirmala UI" w:eastAsia="Nirmala UI" w:cs="Nirmala UI"/>
        </w:rPr>
        <w:t>ଘଟିଲା।</w:t>
      </w:r>
    </w:p>
    <w:p>
      <w:pPr>
        <w:pStyle w:val="ArticleBody"/>
        <w:jc w:val="left"/>
      </w:pPr>
      <w:r>
        <w:rPr>
          <w:rFonts w:ascii="MV Boli" w:hAnsi="MV Boli" w:eastAsia="MV Boli" w:cs="MV Boli"/>
        </w:rPr>
        <w:t>މީލާދުގެ</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167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މޯޑީންގައި</w:t>
      </w:r>
      <w:r>
        <w:rPr>
          <w:rFonts w:ascii="Times New Roman" w:hAnsi="Times New Roman" w:eastAsia="Times New Roman" w:cs="Times New Roman"/>
        </w:rPr>
        <w:t xml:space="preserve"> </w:t>
      </w:r>
      <w:r>
        <w:rPr>
          <w:rFonts w:ascii="MV Boli" w:hAnsi="MV Boli" w:eastAsia="MV Boli" w:cs="MV Boli"/>
        </w:rPr>
        <w:t>ހިނގި</w:t>
      </w:r>
      <w:r>
        <w:rPr>
          <w:rFonts w:ascii="Times New Roman" w:hAnsi="Times New Roman" w:eastAsia="Times New Roman" w:cs="Times New Roman"/>
        </w:rPr>
        <w:t xml:space="preserve"> </w:t>
      </w:r>
      <w:r>
        <w:rPr>
          <w:rFonts w:ascii="MV Boli" w:hAnsi="MV Boli" w:eastAsia="MV Boli" w:cs="MV Boli"/>
        </w:rPr>
        <w:t>ހާދިސާތައް</w:t>
      </w:r>
      <w:r>
        <w:rPr>
          <w:rFonts w:ascii="Times New Roman" w:hAnsi="Times New Roman" w:eastAsia="Times New Roman" w:cs="Times New Roman"/>
        </w:rPr>
        <w:t xml:space="preserve">، </w:t>
      </w:r>
      <w:r>
        <w:rPr>
          <w:rFonts w:ascii="MV Boli" w:hAnsi="MV Boli" w:eastAsia="MV Boli" w:cs="MV Boli"/>
        </w:rPr>
        <w:t>ޔަހޫދީ</w:t>
      </w:r>
      <w:r>
        <w:rPr>
          <w:rFonts w:ascii="Times New Roman" w:hAnsi="Times New Roman" w:eastAsia="Times New Roman" w:cs="Times New Roman"/>
        </w:rPr>
        <w:t xml:space="preserve"> </w:t>
      </w:r>
      <w:r>
        <w:rPr>
          <w:rFonts w:ascii="MV Boli" w:hAnsi="MV Boli" w:eastAsia="MV Boli" w:cs="MV Boli"/>
        </w:rPr>
        <w:t>ތާރީޚުގައި</w:t>
      </w:r>
      <w:r>
        <w:rPr>
          <w:rFonts w:ascii="Times New Roman" w:hAnsi="Times New Roman" w:eastAsia="Times New Roman" w:cs="Times New Roman"/>
        </w:rPr>
        <w:t xml:space="preserve"> </w:t>
      </w:r>
      <w:r>
        <w:rPr>
          <w:rFonts w:ascii="MV Boli" w:hAnsi="MV Boli" w:eastAsia="MV Boli" w:cs="MV Boli"/>
        </w:rPr>
        <w:t>ނިސްބަތްތެރި</w:t>
      </w:r>
      <w:r>
        <w:rPr>
          <w:rFonts w:ascii="Times New Roman" w:hAnsi="Times New Roman" w:eastAsia="Times New Roman" w:cs="Times New Roman"/>
        </w:rPr>
        <w:t xml:space="preserve"> </w:t>
      </w:r>
      <w:r>
        <w:rPr>
          <w:rFonts w:ascii="MV Boli" w:hAnsi="MV Boli" w:eastAsia="MV Boli" w:cs="MV Boli"/>
        </w:rPr>
        <w:t>މުހިންމު</w:t>
      </w:r>
      <w:r>
        <w:rPr>
          <w:rFonts w:ascii="Times New Roman" w:hAnsi="Times New Roman" w:eastAsia="Times New Roman" w:cs="Times New Roman"/>
        </w:rPr>
        <w:t xml:space="preserve"> </w:t>
      </w:r>
      <w:r>
        <w:rPr>
          <w:rFonts w:ascii="MV Boli" w:hAnsi="MV Boli" w:eastAsia="MV Boli" w:cs="MV Boli"/>
        </w:rPr>
        <w:t>ވަގުތެއް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މަކަބީ</w:t>
      </w:r>
      <w:r>
        <w:rPr>
          <w:rFonts w:ascii="Times New Roman" w:hAnsi="Times New Roman" w:eastAsia="Times New Roman" w:cs="Times New Roman"/>
        </w:rPr>
        <w:t xml:space="preserve"> </w:t>
      </w:r>
      <w:r>
        <w:rPr>
          <w:rFonts w:ascii="MV Boli" w:hAnsi="MV Boli" w:eastAsia="MV Boli" w:cs="MV Boli"/>
        </w:rPr>
        <w:t>ބާޣީވުން</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ފެށުމާއި</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ކަނބަލުންގެ</w:t>
      </w:r>
      <w:r>
        <w:rPr>
          <w:rFonts w:ascii="Times New Roman" w:hAnsi="Times New Roman" w:eastAsia="Times New Roman" w:cs="Times New Roman"/>
        </w:rPr>
        <w:t xml:space="preserve"> </w:t>
      </w:r>
      <w:r>
        <w:rPr>
          <w:rFonts w:ascii="MV Boli" w:hAnsi="MV Boli" w:eastAsia="MV Boli" w:cs="MV Boli"/>
        </w:rPr>
        <w:t>ހުކުމަށް</w:t>
      </w:r>
      <w:r>
        <w:rPr>
          <w:rFonts w:ascii="Times New Roman" w:hAnsi="Times New Roman" w:eastAsia="Times New Roman" w:cs="Times New Roman"/>
        </w:rPr>
        <w:t xml:space="preserve"> </w:t>
      </w:r>
      <w:r>
        <w:rPr>
          <w:rFonts w:ascii="MV Boli" w:hAnsi="MV Boli" w:eastAsia="MV Boli" w:cs="MV Boli"/>
        </w:rPr>
        <w:t>ދެކޮޅަށް</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އާޒާދީއާއި</w:t>
      </w:r>
      <w:r>
        <w:rPr>
          <w:rFonts w:ascii="Times New Roman" w:hAnsi="Times New Roman" w:eastAsia="Times New Roman" w:cs="Times New Roman"/>
        </w:rPr>
        <w:t xml:space="preserve"> </w:t>
      </w:r>
      <w:r>
        <w:rPr>
          <w:rFonts w:ascii="MV Boli" w:hAnsi="MV Boli" w:eastAsia="MV Boli" w:cs="MV Boli"/>
        </w:rPr>
        <w:t>އިސްތިގުލާލިއްޔަތަށް</w:t>
      </w:r>
      <w:r>
        <w:rPr>
          <w:rFonts w:ascii="Times New Roman" w:hAnsi="Times New Roman" w:eastAsia="Times New Roman" w:cs="Times New Roman"/>
        </w:rPr>
        <w:t xml:space="preserve"> </w:t>
      </w:r>
      <w:r>
        <w:rPr>
          <w:rFonts w:ascii="MV Boli" w:hAnsi="MV Boli" w:eastAsia="MV Boli" w:cs="MV Boli"/>
        </w:rPr>
        <w:t>ކުރެވުނު</w:t>
      </w:r>
      <w:r>
        <w:rPr>
          <w:rFonts w:ascii="Times New Roman" w:hAnsi="Times New Roman" w:eastAsia="Times New Roman" w:cs="Times New Roman"/>
        </w:rPr>
        <w:t xml:space="preserve"> </w:t>
      </w:r>
      <w:r>
        <w:rPr>
          <w:rFonts w:ascii="MV Boli" w:hAnsi="MV Boli" w:eastAsia="MV Boli" w:cs="MV Boli"/>
        </w:rPr>
        <w:t>ތަގުޅުގެ</w:t>
      </w:r>
      <w:r>
        <w:rPr>
          <w:rFonts w:ascii="Times New Roman" w:hAnsi="Times New Roman" w:eastAsia="Times New Roman" w:cs="Times New Roman"/>
        </w:rPr>
        <w:t xml:space="preserve"> </w:t>
      </w:r>
      <w:r>
        <w:rPr>
          <w:rFonts w:ascii="MV Boli" w:hAnsi="MV Boli" w:eastAsia="MV Boli" w:cs="MV Boli"/>
        </w:rPr>
        <w:t>ފެށުމަށް</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ޢަލާމާތްކުރި</w:t>
      </w:r>
      <w:r>
        <w:rPr>
          <w:rFonts w:ascii="Times New Roman" w:hAnsi="Times New Roman" w:eastAsia="Times New Roman" w:cs="Times New Roman"/>
        </w:rPr>
        <w:t xml:space="preserve"> </w:t>
      </w:r>
      <w:r>
        <w:rPr>
          <w:rFonts w:ascii="MV Boli" w:hAnsi="MV Boli" w:eastAsia="MV Boli" w:cs="MV Boli"/>
        </w:rPr>
        <w:t>ހިސާބެކެވެ</w:t>
      </w:r>
      <w:r>
        <w:rPr>
          <w:rFonts w:ascii="Times New Roman" w:hAnsi="Times New Roman" w:eastAsia="Times New Roman" w:cs="Times New Roman"/>
        </w:rPr>
        <w:t xml:space="preserve">. </w:t>
      </w:r>
      <w:r>
        <w:rPr>
          <w:rFonts w:ascii="MV Boli" w:hAnsi="MV Boli" w:eastAsia="MV Boli" w:cs="MV Boli"/>
        </w:rPr>
        <w:t>ހަނުއްކާ</w:t>
      </w:r>
      <w:r>
        <w:rPr>
          <w:rFonts w:ascii="Times New Roman" w:hAnsi="Times New Roman" w:eastAsia="Times New Roman" w:cs="Times New Roman"/>
        </w:rPr>
        <w:t xml:space="preserve"> </w:t>
      </w:r>
      <w:r>
        <w:rPr>
          <w:rFonts w:ascii="MV Boli" w:hAnsi="MV Boli" w:eastAsia="MV Boli" w:cs="MV Boli"/>
        </w:rPr>
        <w:t>ދުވަހު</w:t>
      </w:r>
      <w:r>
        <w:rPr>
          <w:rFonts w:ascii="Times New Roman" w:hAnsi="Times New Roman" w:eastAsia="Times New Roman" w:cs="Times New Roman"/>
        </w:rPr>
        <w:t xml:space="preserve"> </w:t>
      </w:r>
      <w:r>
        <w:rPr>
          <w:rFonts w:ascii="MV Boli" w:hAnsi="MV Boli" w:eastAsia="MV Boli" w:cs="MV Boli"/>
        </w:rPr>
        <w:t>ހަނދާންކުރެވޭ</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ހާދިސާ</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ޖެރޫސަލަމުގައި</w:t>
      </w:r>
      <w:r>
        <w:rPr>
          <w:rFonts w:ascii="Times New Roman" w:hAnsi="Times New Roman" w:eastAsia="Times New Roman" w:cs="Times New Roman"/>
        </w:rPr>
        <w:t xml:space="preserve"> </w:t>
      </w:r>
      <w:r>
        <w:rPr>
          <w:rFonts w:ascii="MV Boli" w:hAnsi="MV Boli" w:eastAsia="MV Boli" w:cs="MV Boli"/>
        </w:rPr>
        <w:t>ހުންނަ</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ބައިތުލްމަޤުދިސް</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ވަކިކުރުން</w:t>
      </w:r>
      <w:r>
        <w:rPr>
          <w:rFonts w:ascii="Times New Roman" w:hAnsi="Times New Roman" w:eastAsia="Times New Roman" w:cs="Times New Roman"/>
        </w:rPr>
        <w:t xml:space="preserve"> </w:t>
      </w:r>
      <w:r>
        <w:rPr>
          <w:rFonts w:ascii="MV Boli" w:hAnsi="MV Boli" w:eastAsia="MV Boli" w:cs="MV Boli"/>
        </w:rPr>
        <w:t>ހިނގީ</w:t>
      </w:r>
      <w:r>
        <w:rPr>
          <w:rFonts w:ascii="Times New Roman" w:hAnsi="Times New Roman" w:eastAsia="Times New Roman" w:cs="Times New Roman"/>
        </w:rPr>
        <w:t xml:space="preserve"> </w:t>
      </w:r>
      <w:r>
        <w:rPr>
          <w:rFonts w:ascii="MV Boli" w:hAnsi="MV Boli" w:eastAsia="MV Boli" w:cs="MV Boli"/>
        </w:rPr>
        <w:t>މީލާދުގެ</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164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އަހަރުގައެވެ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ލީގު</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ވީސްތިން</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އާޔަތުގެ</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އަހަރެވެ</w:t>
      </w:r>
      <w:r>
        <w:rPr>
          <w:rFonts w:ascii="Times New Roman" w:hAnsi="Times New Roman" w:eastAsia="Times New Roman" w:cs="Times New Roman"/>
        </w:rPr>
        <w:t>.</w:t>
      </w:r>
    </w:p>
    <w:p>
      <w:pPr>
        <w:pStyle w:val="ArticleBody"/>
        <w:jc w:val="left"/>
      </w:pP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मक्काबियों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अपवित्रताओं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पुनर्स्थापित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परम्परा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कलश</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मेनोरा</w:t>
      </w:r>
      <w:r>
        <w:rPr>
          <w:rFonts w:ascii="Times New Roman" w:hAnsi="Times New Roman" w:eastAsia="Times New Roman" w:cs="Times New Roman"/>
        </w:rPr>
        <w:t xml:space="preserve"> </w:t>
      </w:r>
      <w:r>
        <w:rPr>
          <w:rFonts w:ascii="Nirmala UI" w:hAnsi="Nirmala UI" w:eastAsia="Nirmala UI" w:cs="Nirmala UI"/>
        </w:rPr>
        <w:t>जलाने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पर्याप्त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समकालीन</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शताब्दी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कल्पित</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साहित्य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कलीसियाएँ</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w:t>
      </w:r>
      <w:r>
        <w:rPr>
          <w:rFonts w:ascii="Nirmala UI" w:hAnsi="Nirmala UI" w:eastAsia="Nirmala UI" w:cs="Nirmala UI"/>
        </w:rPr>
        <w:t>रिवाजों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परम्पराओं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कल्पित</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آیەتی دەیەمی دانیال بەشی یانزە، یەکەمین جەنگ لەو سێ جەنگەی ئایەتی چل دەناسێنێت، کە من پێشتر وەک سێ جەنگی جەنگی سارد ناساندووم، هەروەها وەک سێ جەنگی وەکالەتی. خوشکێک پرسیاری لەوە کرد کە من جەنگی ئۆکراین، کە دووەمین لەم سێ جەنگەیە، وەک جەنگی سارد پێناسە دەکەم، چونکە وەک ئەو بە دروستی ئاماژەی پێدا، مردن و وێرانکردنی زۆر هەبووە. ئەوەی من لە وتارەکانی پێشوودا وەک سێ جەنگی «جەنگی سارد» پێناسەم کردووە، بەو شێوەیە پێناسە کراوە بۆ ئەوەی جیاوازییەک بکات لەنێوان ئەم سێ جەنگە و ئەو سێ جەنگە جیهانیانەی کە لە مێژووی ئاژەڵی زەوی لە ئاشکراکردنەوەی سیزدەدا ڕوودەدەن. ئەم سێ جەنگە، جەنگی وەکالەتین و بەو شێوەیەش پێناسە کراون.</w:t>
      </w:r>
    </w:p>
    <w:p>
      <w:pPr>
        <w:pStyle w:val="ArticleBody"/>
        <w:jc w:val="left"/>
      </w:pPr>
      <w:r>
        <w:rPr>
          <w:rFonts w:ascii="Times New Roman" w:hAnsi="Times New Roman" w:eastAsia="Times New Roman" w:cs="Times New Roman"/>
        </w:rPr>
        <w:t>Nayaxa nayrar sartañataki aka qillqatanakanxa uka kimsa nuwasïwinaka “pusi tunkïri jisk’a t’aqana kimsa nuwasïwinakapa” sasa jan ukax proxy wars sasa sutichäyäta, mä junt’u nuwasïwi mä thaya nuwasïwimp uñt’ayañanxa utjki uka jan walt’äwi apaqañataki. Nayan qhanañchäwixarjamaxa, pusi tunkïri jisk’a t’aqana kimsa nuwasïwinakapaxa janiw 1798 maran nuwasïwi impkt’kiti, ukax pusi tunkïri jisk’a t’aqankiwa; jan ukasti, tukuy pachat 1989 marat qalltasina pusi tunkïri mayani jisk’a t’aqankir domingo leykamakiw uka kimsa nuwasïwinakaxa. Uka kimsa nuwasïwinakaxa juk’amp chiqaparuxa proxy wars sasaw uñt’ayatäspa, ukhamarusa, uka nuwasïwinakaxa alaya tuqinkir reyinampi aynacha tuqinkir reyinampi ch’axwäwin manqhanwa phuqhasi; ukaxa, pusi tunkïri jisk’a t’aqana sarnaqäwipanxa, catolicismo (alaya tuqinkir rey) ukhamarak comunismo (aynacha tuqinkir rey) taypinkir nuwasïwiwa uñacht’ayi.</w:t>
      </w:r>
    </w:p>
    <w:p>
      <w:pPr>
        <w:pStyle w:val="ArticleBody"/>
        <w:jc w:val="left"/>
      </w:pPr>
      <w:r>
        <w:rPr>
          <w:rFonts w:ascii="Times New Roman" w:hAnsi="Times New Roman" w:eastAsia="Times New Roman" w:cs="Times New Roman"/>
        </w:rPr>
        <w:t>Oñorairõ umi mbohapy ñorairõgui peteĩha ohechauka catolicismo ñehundipa comunismo ári ary 1989-pe, umi papado oñembojoajúvo i-ejérsito proxy ndive, ojehechaukáva Estados Unidos rupive, oity hag̃ua Unión Soviética-pe ary 1989-pe, jepémo Rusia, iñakã ( térã “mbarete renda” ), opyta gueteri oñembo’yva. Pe ñorairõ ko’ág̃agua Ucrania-pe peteĩ jey jevy niko peteĩ ñorairõ catolicismo ha comunismo apytépe, umi papado oiporúvo gobierno ucraniano i-proxy ramo Rusia rehe, omoirũ hag̃uáicha pe pytyvõ oguerekóva papado proxy mbarete ymaguare, Estados Unidos, umíva ndive avei opavave mundo occidental globalista rembyre. Upe ñorairõ ojehechauka umi versíkulo once ha doce-pe, ha ohechauka komunismo (Rusia) ipu’akataha catolicismo ári.</w:t>
      </w:r>
    </w:p>
    <w:p>
      <w:pPr>
        <w:pStyle w:val="ArticleBody"/>
        <w:jc w:val="left"/>
      </w:pP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ಹೇಳಲ್ಪಟ್ಟ</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ಪ್ರತಿನಿಧಿ</w:t>
      </w:r>
      <w:r>
        <w:rPr>
          <w:rFonts w:ascii="Times New Roman" w:hAnsi="Times New Roman" w:eastAsia="Times New Roman" w:cs="Times New Roman"/>
        </w:rPr>
        <w:t xml:space="preserve"> </w:t>
      </w:r>
      <w:r>
        <w:rPr>
          <w:rFonts w:ascii="Nirmala UI" w:hAnsi="Nirmala UI" w:eastAsia="Nirmala UI" w:cs="Nirmala UI"/>
        </w:rPr>
        <w:t>ಯುದ್ಧಗಳಲ್ಲಿ</w:t>
      </w:r>
      <w:r>
        <w:rPr>
          <w:rFonts w:ascii="Times New Roman" w:hAnsi="Times New Roman" w:eastAsia="Times New Roman" w:cs="Times New Roman"/>
        </w:rPr>
        <w:t xml:space="preserve"> </w:t>
      </w:r>
      <w:r>
        <w:rPr>
          <w:rFonts w:ascii="Nirmala UI" w:hAnsi="Nirmala UI" w:eastAsia="Nirmala UI" w:cs="Nirmala UI"/>
        </w:rPr>
        <w:t>ಮೂರನೆಯದು</w:t>
      </w:r>
      <w:r>
        <w:rPr>
          <w:rFonts w:ascii="Times New Roman" w:hAnsi="Times New Roman" w:eastAsia="Times New Roman" w:cs="Times New Roman"/>
        </w:rPr>
        <w:t xml:space="preserve">, </w:t>
      </w:r>
      <w:r>
        <w:rPr>
          <w:rFonts w:ascii="Nirmala UI" w:hAnsi="Nirmala UI" w:eastAsia="Nirmala UI" w:cs="Nirmala UI"/>
        </w:rPr>
        <w:t>ಹದಿನೈದನೇ</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w:t>
      </w:r>
      <w:r>
        <w:rPr>
          <w:rFonts w:ascii="Nirmala UI" w:hAnsi="Nirmala UI" w:eastAsia="Nirmala UI" w:cs="Nirmala UI"/>
        </w:rPr>
        <w:t>ಪಾನಿಯಂ</w:t>
      </w:r>
      <w:r>
        <w:rPr>
          <w:rFonts w:ascii="Times New Roman" w:hAnsi="Times New Roman" w:eastAsia="Times New Roman" w:cs="Times New Roman"/>
        </w:rPr>
        <w:t xml:space="preserve"> </w:t>
      </w:r>
      <w:r>
        <w:rPr>
          <w:rFonts w:ascii="Nirmala UI" w:hAnsi="Nirmala UI" w:eastAsia="Nirmala UI" w:cs="Nirmala UI"/>
        </w:rPr>
        <w:t>ಯುದ್ಧವಾಗಿ</w:t>
      </w:r>
      <w:r>
        <w:rPr>
          <w:rFonts w:ascii="Times New Roman" w:hAnsi="Times New Roman" w:eastAsia="Times New Roman" w:cs="Times New Roman"/>
        </w:rPr>
        <w:t xml:space="preserve"> </w:t>
      </w:r>
      <w:r>
        <w:rPr>
          <w:rFonts w:ascii="Nirmala UI" w:hAnsi="Nirmala UI" w:eastAsia="Nirmala UI" w:cs="Nirmala UI"/>
        </w:rPr>
        <w:t>ಪ್ರತಿನಿಧಿಸಲ್ಪಟ್ಟಿದೆ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ಯುದ್ಧವು</w:t>
      </w:r>
      <w:r>
        <w:rPr>
          <w:rFonts w:ascii="Times New Roman" w:hAnsi="Times New Roman" w:eastAsia="Times New Roman" w:cs="Times New Roman"/>
        </w:rPr>
        <w:t xml:space="preserve"> </w:t>
      </w:r>
      <w:r>
        <w:rPr>
          <w:rFonts w:ascii="Nirmala UI" w:hAnsi="Nirmala UI" w:eastAsia="Nirmala UI" w:cs="Nirmala UI"/>
        </w:rPr>
        <w:t>ಪ್ಟೋಲೆಮಾಯಿಕ</w:t>
      </w:r>
      <w:r>
        <w:rPr>
          <w:rFonts w:ascii="Times New Roman" w:hAnsi="Times New Roman" w:eastAsia="Times New Roman" w:cs="Times New Roman"/>
        </w:rPr>
        <w:t xml:space="preserve"> </w:t>
      </w:r>
      <w:r>
        <w:rPr>
          <w:rFonts w:ascii="Nirmala UI" w:hAnsi="Nirmala UI" w:eastAsia="Nirmala UI" w:cs="Nirmala UI"/>
        </w:rPr>
        <w:t>ರಾಜ್ಯ</w:t>
      </w:r>
      <w:r>
        <w:rPr>
          <w:rFonts w:ascii="Times New Roman" w:hAnsi="Times New Roman" w:eastAsia="Times New Roman" w:cs="Times New Roman"/>
        </w:rPr>
        <w:t xml:space="preserve"> (</w:t>
      </w:r>
      <w:r>
        <w:rPr>
          <w:rFonts w:ascii="Nirmala UI" w:hAnsi="Nirmala UI" w:eastAsia="Nirmala UI" w:cs="Nirmala UI"/>
        </w:rPr>
        <w:t>ದಕ್ಷಿಣದ</w:t>
      </w:r>
      <w:r>
        <w:rPr>
          <w:rFonts w:ascii="Times New Roman" w:hAnsi="Times New Roman" w:eastAsia="Times New Roman" w:cs="Times New Roman"/>
        </w:rPr>
        <w:t xml:space="preserve"> </w:t>
      </w:r>
      <w:r>
        <w:rPr>
          <w:rFonts w:ascii="Nirmala UI" w:hAnsi="Nirmala UI" w:eastAsia="Nirmala UI" w:cs="Nirmala UI"/>
        </w:rPr>
        <w:t>ರಾಜ</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ಸೆಲ್ಯೂಸಿಡ್</w:t>
      </w:r>
      <w:r>
        <w:rPr>
          <w:rFonts w:ascii="Times New Roman" w:hAnsi="Times New Roman" w:eastAsia="Times New Roman" w:cs="Times New Roman"/>
        </w:rPr>
        <w:t xml:space="preserve"> </w:t>
      </w:r>
      <w:r>
        <w:rPr>
          <w:rFonts w:ascii="Nirmala UI" w:hAnsi="Nirmala UI" w:eastAsia="Nirmala UI" w:cs="Nirmala UI"/>
        </w:rPr>
        <w:t>ರಾಜ್ಯ</w:t>
      </w:r>
      <w:r>
        <w:rPr>
          <w:rFonts w:ascii="Times New Roman" w:hAnsi="Times New Roman" w:eastAsia="Times New Roman" w:cs="Times New Roman"/>
        </w:rPr>
        <w:t xml:space="preserve"> (</w:t>
      </w:r>
      <w:r>
        <w:rPr>
          <w:rFonts w:ascii="Nirmala UI" w:hAnsi="Nirmala UI" w:eastAsia="Nirmala UI" w:cs="Nirmala UI"/>
        </w:rPr>
        <w:t>ಉತ್ತರದ</w:t>
      </w:r>
      <w:r>
        <w:rPr>
          <w:rFonts w:ascii="Times New Roman" w:hAnsi="Times New Roman" w:eastAsia="Times New Roman" w:cs="Times New Roman"/>
        </w:rPr>
        <w:t xml:space="preserve"> </w:t>
      </w:r>
      <w:r>
        <w:rPr>
          <w:rFonts w:ascii="Nirmala UI" w:hAnsi="Nirmala UI" w:eastAsia="Nirmala UI" w:cs="Nirmala UI"/>
        </w:rPr>
        <w:t>ರಾಜ</w:t>
      </w:r>
      <w:r>
        <w:rPr>
          <w:rFonts w:ascii="Times New Roman" w:hAnsi="Times New Roman" w:eastAsia="Times New Roman" w:cs="Times New Roman"/>
        </w:rPr>
        <w:t xml:space="preserve">) </w:t>
      </w:r>
      <w:r>
        <w:rPr>
          <w:rFonts w:ascii="Nirmala UI" w:hAnsi="Nirmala UI" w:eastAsia="Nirmala UI" w:cs="Nirmala UI"/>
        </w:rPr>
        <w:t>ಇವರ</w:t>
      </w:r>
      <w:r>
        <w:rPr>
          <w:rFonts w:ascii="Times New Roman" w:hAnsi="Times New Roman" w:eastAsia="Times New Roman" w:cs="Times New Roman"/>
        </w:rPr>
        <w:t xml:space="preserve"> </w:t>
      </w:r>
      <w:r>
        <w:rPr>
          <w:rFonts w:ascii="Nirmala UI" w:hAnsi="Nirmala UI" w:eastAsia="Nirmala UI" w:cs="Nirmala UI"/>
        </w:rPr>
        <w:t>ಮಧ್ಯೆ</w:t>
      </w:r>
      <w:r>
        <w:rPr>
          <w:rFonts w:ascii="Times New Roman" w:hAnsi="Times New Roman" w:eastAsia="Times New Roman" w:cs="Times New Roman"/>
        </w:rPr>
        <w:t xml:space="preserve"> </w:t>
      </w:r>
      <w:r>
        <w:rPr>
          <w:rFonts w:ascii="Nirmala UI" w:hAnsi="Nirmala UI" w:eastAsia="Nirmala UI" w:cs="Nirmala UI"/>
        </w:rPr>
        <w:t>ನಡೆಯಿತು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ಯುದ್ಧದಲ್ಲಿ</w:t>
      </w:r>
      <w:r>
        <w:rPr>
          <w:rFonts w:ascii="Times New Roman" w:hAnsi="Times New Roman" w:eastAsia="Times New Roman" w:cs="Times New Roman"/>
        </w:rPr>
        <w:t xml:space="preserve"> </w:t>
      </w:r>
      <w:r>
        <w:rPr>
          <w:rFonts w:ascii="Nirmala UI" w:hAnsi="Nirmala UI" w:eastAsia="Nirmala UI" w:cs="Nirmala UI"/>
        </w:rPr>
        <w:t>ಕ್ಯಾಥೋಲಿಕ</w:t>
      </w:r>
      <w:r>
        <w:rPr>
          <w:rFonts w:ascii="Times New Roman" w:hAnsi="Times New Roman" w:eastAsia="Times New Roman" w:cs="Times New Roman"/>
        </w:rPr>
        <w:t xml:space="preserve"> </w:t>
      </w:r>
      <w:r>
        <w:rPr>
          <w:rFonts w:ascii="Nirmala UI" w:hAnsi="Nirmala UI" w:eastAsia="Nirmala UI" w:cs="Nirmala UI"/>
        </w:rPr>
        <w:t>ಧರ್ಮದ</w:t>
      </w:r>
      <w:r>
        <w:rPr>
          <w:rFonts w:ascii="Times New Roman" w:hAnsi="Times New Roman" w:eastAsia="Times New Roman" w:cs="Times New Roman"/>
        </w:rPr>
        <w:t xml:space="preserve"> </w:t>
      </w:r>
      <w:r>
        <w:rPr>
          <w:rFonts w:ascii="Nirmala UI" w:hAnsi="Nirmala UI" w:eastAsia="Nirmala UI" w:cs="Nirmala UI"/>
        </w:rPr>
        <w:t>ಪ್ರತಿನಿಧಿ</w:t>
      </w:r>
      <w:r>
        <w:rPr>
          <w:rFonts w:ascii="Times New Roman" w:hAnsi="Times New Roman" w:eastAsia="Times New Roman" w:cs="Times New Roman"/>
        </w:rPr>
        <w:t xml:space="preserve"> </w:t>
      </w:r>
      <w:r>
        <w:rPr>
          <w:rFonts w:ascii="Nirmala UI" w:hAnsi="Nirmala UI" w:eastAsia="Nirmala UI" w:cs="Nirmala UI"/>
        </w:rPr>
        <w:t>ಸೇನೆಯಾಗಿ</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ಒಂದಾನೊಂದು</w:t>
      </w:r>
      <w:r>
        <w:rPr>
          <w:rFonts w:ascii="Times New Roman" w:hAnsi="Times New Roman" w:eastAsia="Times New Roman" w:cs="Times New Roman"/>
        </w:rPr>
        <w:t xml:space="preserve"> </w:t>
      </w:r>
      <w:r>
        <w:rPr>
          <w:rFonts w:ascii="Nirmala UI" w:hAnsi="Nirmala UI" w:eastAsia="Nirmala UI" w:cs="Nirmala UI"/>
        </w:rPr>
        <w:t>ಬಾರಿ</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ಸಂಸ್ಥಾನವೇ</w:t>
      </w:r>
      <w:r>
        <w:rPr>
          <w:rFonts w:ascii="Times New Roman" w:hAnsi="Times New Roman" w:eastAsia="Times New Roman" w:cs="Times New Roman"/>
        </w:rPr>
        <w:t xml:space="preserve"> </w:t>
      </w:r>
      <w:r>
        <w:rPr>
          <w:rFonts w:ascii="Nirmala UI" w:hAnsi="Nirmala UI" w:eastAsia="Nirmala UI" w:cs="Nirmala UI"/>
        </w:rPr>
        <w:t>ಇರುವುದಾಗಿದೆ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1989 نىچى يىلدىكى بىرىنچى جەڭدە، ئامېرىكا قوشما ئىشتاتلىرىدىكى جۇمھۇرىيەتچى مۈڭگۈزنىڭ ۋاكالەتچى قوشۇنى پاچىلىق تەرىپىدىن ئىشلىتىلىپ، سوۋېت ئىتتىپاقىنىڭ سىياسىي قۇرۇلمىسىنى يىقىتىش ئۈچۈن قوللىنىلدى، ھالبۇكى ئۇنىڭ بېشى (روسىيە) ساق قالدۇرۇلدى. ئىككىنچى جەڭدە، يەنى ئۇكرائىنا ئۇرۇشىدا، ناتسىيلارنىڭ ۋاكالەتچى قوشۇنى روسىيە تەرىپىدىن مەغلۇپ قىلىنىدۇ. ئۈچىنچى جەڭدە ئامېرىكا قوشما ئىشتاتلىرى، يەنە پاچىلىقنىڭ ۋاكالەتچى قوشۇنى سۈپىتىدە، جەنۇب پادىشاھىنى مەغلۇپ قىلىدۇ.</w:t>
      </w:r>
    </w:p>
    <w:p>
      <w:pPr>
        <w:pStyle w:val="ArticleBody"/>
        <w:jc w:val="left"/>
      </w:pPr>
      <w:r>
        <w:rPr>
          <w:rFonts w:ascii="Times New Roman" w:hAnsi="Times New Roman" w:eastAsia="Times New Roman" w:cs="Times New Roman"/>
        </w:rPr>
        <w:t>An sabñon tres gyera ta karga e firma di “Berdat”, ku den e promé i e último bataya, e Ejército proxy viktorioso di Estados Unidos ta e instrumento ku ta ehekutá nan. Den e promé bataya, e kabes di e rei di su ta keda intakto, i den e di tres bataya, e Ejército proxy di Estados Unidos ta bira e kabes di e rei di su. E di dos Ejército proxy tambe tabata e Ejército proxy di e papado durante e Sigundo Guera Mundial. Den tur dos kaso, e Ejército proxy di Nazismo tabata i lo ser derotá. E papado ta subyugá kompletamente tur su enemigonan promé ku versíkulo diesseis, ora e uníon tripel ta wordu kumplí.</w:t>
      </w:r>
    </w:p>
    <w:p>
      <w:pPr>
        <w:pStyle w:val="ArticleScripture"/>
        <w:jc w:val="left"/>
      </w:pPr>
      <w:r>
        <w:rPr>
          <w:rFonts w:ascii="Times New Roman" w:hAnsi="Times New Roman" w:eastAsia="Times New Roman" w:cs="Times New Roman"/>
        </w:rPr>
        <w:t>«Պտղոմեոսը [Պուտինը] զուրկ էր այն խոհեմությունից, որով պետք էր իր հաղթանակը բարի կերպով գործածել։ Եթե նա շարունակեր իր հաջողությունը, հավանաբար կդառնար Անտիոքոսի ամբողջ թագավորության տերը. բայց, բավարարվելով միայն մի քանի սպառնալիքներով ու մի քանի ահաբեկիչ խոսքերով, նա հաշտություն կնքեց, որպեսզի կարողանար անձնատուր լինել իր գազանային կրքերի անխափան և անսանձ հաճույքներին։ Այսպես, հաղթելով իր թշնամիներին՝ նա ինքն իր արատներից պարտվեց, և, մոռանալով այն մեծ անունը, որ կարող էր հաստատել, իր ժամանակը անցկացրեց խնջույքների և անառակության մեջ։»</w:t>
      </w:r>
    </w:p>
    <w:p>
      <w:pPr>
        <w:pStyle w:val="ArticleScripture"/>
        <w:jc w:val="left"/>
      </w:pPr>
      <w:r>
        <w:rPr>
          <w:rFonts w:ascii="Times New Roman" w:hAnsi="Times New Roman" w:eastAsia="Times New Roman" w:cs="Times New Roman"/>
        </w:rPr>
        <w:t>«Хү зүрх сэтгэл амжилтаараа ихэд өргөмжлөгдсөн боловч, тэр нь түүнийг огт бэхжүүлсэнгүй; учир нь тэр амжилтаа нэр төргүйгээр ашигласнаас өөрийнх нь харьяат ардууд түүний эсрэг бослого гаргав.» Uriah Smith, Daniel and the Revelation, 254.</w:t>
      </w:r>
    </w:p>
    <w:p>
      <w:pPr>
        <w:pStyle w:val="ArticleBody"/>
        <w:jc w:val="left"/>
      </w:pPr>
      <w:r>
        <w:rPr>
          <w:rFonts w:ascii="Times New Roman" w:hAnsi="Times New Roman" w:eastAsia="Times New Roman" w:cs="Times New Roman"/>
        </w:rPr>
        <w:t>دويمه شاهد چي، د پوتين بريا د هغه د پای نښه ده، د يهوداه د سويلني سلطنت له پاچا عُزيا سره تړاو لري، چې د هغه زړه هم د خپلو پوځي برياوو له امله اوچت شو، او له هغې وروسته، لکه د بطليموس په شان، يې وغوښتل چې په مقدس ځای کې د کاهنانو کار ترسره کړي، نو په جذام ووهل شو او سمدستي له واکه ليرې کړل شو. د اوکراين په جګړه کې د پوتين بريا د هغه د پای پيل نښه کوي، د سويل د پاچا په توګه (د الحاد د پاچا په توګه). د هغه پای د نبوي څلوېښتم آيت د سويل د پاچا (فرانسې) له پيل سره تمثيل شوی و، چې هغه يو انقلاب په ګوته کاوه چې مشري يې راوپرځوله، لکه څنګه چې د بطليموس سره وشول. د پوتين پای د شوروي اتحاد له پای سره هم انځور شوی و، چېرته چې مشر (ګورباچف) شوروي اتحاد منحل کړ، او سمدستي يې د ملګرو ملتونو سره دنده واخيسته، چې د وروستيو ورځو د نړيوال‌پالنې د الحاد وروستنۍ نښه، د سويل پاچا، ده. په اوکراين کې د پوتين له بريا وروسته، هغه هم په واټرلو کې د ناپليون له لارې، او ورپسې تبعيد له لارې تمثيل شوی دی؛ او همدارنګه د پاچا عُزيا له لارې، له خپل جذام او ورپسې تبعيد سره، او هم د بطليموس د مستۍ له پای او په ۱۹۸۹ کال کې د شوروي اتحاد له پای سره.</w:t>
      </w:r>
    </w:p>
    <w:p>
      <w:pPr>
        <w:pStyle w:val="ArticleBody"/>
        <w:jc w:val="left"/>
      </w:pPr>
      <w:r>
        <w:rPr>
          <w:rFonts w:ascii="Times New Roman" w:hAnsi="Times New Roman" w:eastAsia="Times New Roman" w:cs="Times New Roman"/>
        </w:rPr>
        <w:t>Panium Kadanaaxaa 200 BC keessatti taʼe; waggaa sanuma keessattis Roomaan ifatti seenaan seente. Seensa isaanii keessatti seenaa raajii keessatti, Yerusaalem mo’amuu isa lakkoofsa kudha jaha keessatti bakka buufamee fi 63 BC keessatti raawwatame dura dhaabbata; yeroo sanattis isheen mootummaa ijoollee mootummaa Gibxii keessatti eeguudhaaf dhaabbattee akka taate labsitte. Lola sadaffaa lakkoofsa afurtamaa keessatti, kan mootota kaabaa fi kibbaa hirmaachisu keessatti, paapasummaan ammas seenaa keessatti of galchitee, akka eegdota Raashiyaa taatetti of fakkeessiti. Yeroo sana sanatti Seleucus, fakkeenya keessatti, lolicha Panium keessatti Ptolemy mo’ate; kanaanis Ameerikaan, waraana bakka bu’aa paapasummaa lola jalqabaa fi isa dhumaa lakkoofsa afurtamaa keessatti taate, “Gibxii” (mooticha kibbaa) mo’achuu adda baasa.</w:t>
      </w:r>
    </w:p>
    <w:p>
      <w:pPr>
        <w:pStyle w:val="ArticleBody"/>
        <w:jc w:val="left"/>
      </w:pPr>
      <w:r>
        <w:rPr>
          <w:rFonts w:ascii="Myanmar Text" w:hAnsi="Myanmar Text" w:eastAsia="Myanmar Text" w:cs="Myanmar Text"/>
        </w:rPr>
        <w:t>၂၀၀</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တိုင်ရာ၏</w:t>
      </w:r>
      <w:r>
        <w:rPr>
          <w:rFonts w:ascii="Times New Roman" w:hAnsi="Times New Roman" w:eastAsia="Times New Roman" w:cs="Times New Roman"/>
        </w:rPr>
        <w:t xml:space="preserve"> </w:t>
      </w:r>
      <w:r>
        <w:rPr>
          <w:rFonts w:ascii="Myanmar Text" w:hAnsi="Myanmar Text" w:eastAsia="Myanmar Text" w:cs="Myanmar Text"/>
        </w:rPr>
        <w:t>ပြည့်တန်ဆာမသည်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ဆယ့်ခြောက်တွင်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w:t>
      </w:r>
      <w:r>
        <w:rPr>
          <w:rFonts w:ascii="Times New Roman" w:hAnsi="Times New Roman" w:eastAsia="Times New Roman" w:cs="Times New Roman"/>
        </w:rPr>
        <w:t xml:space="preserve"> </w:t>
      </w:r>
      <w:r>
        <w:rPr>
          <w:rFonts w:ascii="Myanmar Text" w:hAnsi="Myanmar Text" w:eastAsia="Myanmar Text" w:cs="Myanmar Text"/>
        </w:rPr>
        <w:t>ဖြစ်ပေါ်မည့်</w:t>
      </w:r>
      <w:r>
        <w:rPr>
          <w:rFonts w:ascii="Times New Roman" w:hAnsi="Times New Roman" w:eastAsia="Times New Roman" w:cs="Times New Roman"/>
        </w:rPr>
        <w:t xml:space="preserve"> </w:t>
      </w:r>
      <w:r>
        <w:rPr>
          <w:rFonts w:ascii="Myanmar Text" w:hAnsi="Myanmar Text" w:eastAsia="Myanmar Text" w:cs="Myanmar Text"/>
        </w:rPr>
        <w:t>သုံးမျိုးပေါင်းစည်းခြင်းမတိုင်မီ၊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မတရားမေထုန်သီချင်းများကို</w:t>
      </w:r>
      <w:r>
        <w:rPr>
          <w:rFonts w:ascii="Times New Roman" w:hAnsi="Times New Roman" w:eastAsia="Times New Roman" w:cs="Times New Roman"/>
        </w:rPr>
        <w:t xml:space="preserve"> </w:t>
      </w:r>
      <w:r>
        <w:rPr>
          <w:rFonts w:ascii="Myanmar Text" w:hAnsi="Myanmar Text" w:eastAsia="Myanmar Text" w:cs="Myanmar Text"/>
        </w:rPr>
        <w:t>စတင်သီဆိုလာသောကြောင့်၊</w:t>
      </w:r>
      <w:r>
        <w:rPr>
          <w:rFonts w:ascii="Times New Roman" w:hAnsi="Times New Roman" w:eastAsia="Times New Roman" w:cs="Times New Roman"/>
        </w:rPr>
        <w:t xml:space="preserve"> </w:t>
      </w:r>
      <w:r>
        <w:rPr>
          <w:rFonts w:ascii="Myanmar Text" w:hAnsi="Myanmar Text" w:eastAsia="Myanmar Text" w:cs="Myanmar Text"/>
        </w:rPr>
        <w:t>ပုပ်ရဟန်းမင်းကြီးအာဏာစနစ်ကို</w:t>
      </w:r>
      <w:r>
        <w:rPr>
          <w:rFonts w:ascii="Times New Roman" w:hAnsi="Times New Roman" w:eastAsia="Times New Roman" w:cs="Times New Roman"/>
        </w:rPr>
        <w:t xml:space="preserve"> </w:t>
      </w:r>
      <w:r>
        <w:rPr>
          <w:rFonts w:ascii="Myanmar Text" w:hAnsi="Myanmar Text" w:eastAsia="Myanmar Text" w:cs="Myanmar Text"/>
        </w:rPr>
        <w:t>သင်္ကေတအနေဖြင့်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တွေ့ရှိရသည်။</w:t>
      </w:r>
      <w:r>
        <w:rPr>
          <w:rFonts w:ascii="Times New Roman" w:hAnsi="Times New Roman" w:eastAsia="Times New Roman" w:cs="Times New Roman"/>
        </w:rPr>
        <w:t xml:space="preserve"> </w:t>
      </w:r>
      <w:r>
        <w:rPr>
          <w:rFonts w:ascii="Myanmar Text" w:hAnsi="Myanmar Text" w:eastAsia="Myanmar Text" w:cs="Myanmar Text"/>
        </w:rPr>
        <w:t>တစ်ချိန်တည်းတွင်ပင်</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ကုလသမဂ္ဂအပေါ်</w:t>
      </w:r>
      <w:r>
        <w:rPr>
          <w:rFonts w:ascii="Times New Roman" w:hAnsi="Times New Roman" w:eastAsia="Times New Roman" w:cs="Times New Roman"/>
        </w:rPr>
        <w:t xml:space="preserve"> </w:t>
      </w:r>
      <w:r>
        <w:rPr>
          <w:rFonts w:ascii="Myanmar Text" w:hAnsi="Myanmar Text" w:eastAsia="Myanmar Text" w:cs="Myanmar Text"/>
        </w:rPr>
        <w:t>အောင်မြင်လွှမ်းမိုးသဖြင့်၊</w:t>
      </w:r>
      <w:r>
        <w:rPr>
          <w:rFonts w:ascii="Times New Roman" w:hAnsi="Times New Roman" w:eastAsia="Times New Roman" w:cs="Times New Roman"/>
        </w:rPr>
        <w:t xml:space="preserve"> </w:t>
      </w:r>
      <w:r>
        <w:rPr>
          <w:rFonts w:ascii="Myanmar Text" w:hAnsi="Myanmar Text" w:eastAsia="Myanmar Text" w:cs="Myanmar Text"/>
        </w:rPr>
        <w:t>မင်းဆယ်ပါးတို့အနက်</w:t>
      </w:r>
      <w:r>
        <w:rPr>
          <w:rFonts w:ascii="Times New Roman" w:hAnsi="Times New Roman" w:eastAsia="Times New Roman" w:cs="Times New Roman"/>
        </w:rPr>
        <w:t xml:space="preserve"> </w:t>
      </w:r>
      <w:r>
        <w:rPr>
          <w:rFonts w:ascii="Myanmar Text" w:hAnsi="Myanmar Text" w:eastAsia="Myanmar Text" w:cs="Myanmar Text"/>
        </w:rPr>
        <w:t>အဓိကမင်းအဖြစ်</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ရပ်တည်ချက်ကို</w:t>
      </w:r>
      <w:r>
        <w:rPr>
          <w:rFonts w:ascii="Times New Roman" w:hAnsi="Times New Roman" w:eastAsia="Times New Roman" w:cs="Times New Roman"/>
        </w:rPr>
        <w:t xml:space="preserve"> </w:t>
      </w:r>
      <w:r>
        <w:rPr>
          <w:rFonts w:ascii="Myanmar Text" w:hAnsi="Myanmar Text" w:eastAsia="Myanmar Text" w:cs="Myanmar Text"/>
        </w:rPr>
        <w:t>ခိုင်မာစေသည်။</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w:t>
      </w:r>
      <w:r>
        <w:rPr>
          <w:rFonts w:ascii="Times New Roman" w:hAnsi="Times New Roman" w:eastAsia="Times New Roman" w:cs="Times New Roman"/>
        </w:rPr>
        <w:t xml:space="preserve"> </w:t>
      </w:r>
      <w:r>
        <w:rPr>
          <w:rFonts w:ascii="Myanmar Text" w:hAnsi="Myanmar Text" w:eastAsia="Myanmar Text" w:cs="Myanmar Text"/>
        </w:rPr>
        <w:t>ပြီးမြောက်မည့်</w:t>
      </w:r>
      <w:r>
        <w:rPr>
          <w:rFonts w:ascii="Times New Roman" w:hAnsi="Times New Roman" w:eastAsia="Times New Roman" w:cs="Times New Roman"/>
        </w:rPr>
        <w:t xml:space="preserve"> </w:t>
      </w:r>
      <w:r>
        <w:rPr>
          <w:rFonts w:ascii="Myanmar Text" w:hAnsi="Myanmar Text" w:eastAsia="Myanmar Text" w:cs="Myanmar Text"/>
        </w:rPr>
        <w:t>သုံးမျိုးပေါင်းစည်းခြင်း၏</w:t>
      </w:r>
      <w:r>
        <w:rPr>
          <w:rFonts w:ascii="Times New Roman" w:hAnsi="Times New Roman" w:eastAsia="Times New Roman" w:cs="Times New Roman"/>
        </w:rPr>
        <w:t xml:space="preserve"> </w:t>
      </w:r>
      <w:r>
        <w:rPr>
          <w:rFonts w:ascii="Myanmar Text" w:hAnsi="Myanmar Text" w:eastAsia="Myanmar Text" w:cs="Myanmar Text"/>
        </w:rPr>
        <w:t>လှုပ်ရှားမှုအင်အားများ</w:t>
      </w:r>
      <w:r>
        <w:rPr>
          <w:rFonts w:ascii="Times New Roman" w:hAnsi="Times New Roman" w:eastAsia="Times New Roman" w:cs="Times New Roman"/>
        </w:rPr>
        <w:t xml:space="preserve"> </w:t>
      </w:r>
      <w:r>
        <w:rPr>
          <w:rFonts w:ascii="Myanmar Text" w:hAnsi="Myanmar Text" w:eastAsia="Myanmar Text" w:cs="Myanmar Text"/>
        </w:rPr>
        <w:t>အားလုံးသည်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ဆယ့်ခြောက်မတိုင်မီတွင်</w:t>
      </w:r>
      <w:r>
        <w:rPr>
          <w:rFonts w:ascii="Times New Roman" w:hAnsi="Times New Roman" w:eastAsia="Times New Roman" w:cs="Times New Roman"/>
        </w:rPr>
        <w:t xml:space="preserve"> </w:t>
      </w:r>
      <w:r>
        <w:rPr>
          <w:rFonts w:ascii="Myanmar Text" w:hAnsi="Myanmar Text" w:eastAsia="Myanmar Text" w:cs="Myanmar Text"/>
        </w:rPr>
        <w:t>အတည်ပြုသတ်မှတ်ပြီးသား</w:t>
      </w:r>
      <w:r>
        <w:rPr>
          <w:rFonts w:ascii="Times New Roman" w:hAnsi="Times New Roman" w:eastAsia="Times New Roman" w:cs="Times New Roman"/>
        </w:rPr>
        <w:t xml:space="preserve"> </w:t>
      </w:r>
      <w:r>
        <w:rPr>
          <w:rFonts w:ascii="Myanmar Text" w:hAnsi="Myanmar Text" w:eastAsia="Myanmar Text" w:cs="Myanmar Text"/>
        </w:rPr>
        <w:t>ဖြစ်ကြသည်။</w:t>
      </w:r>
    </w:p>
    <w:p>
      <w:pPr>
        <w:pStyle w:val="ArticleBody"/>
        <w:jc w:val="left"/>
      </w:pPr>
      <w:r>
        <w:rPr>
          <w:rFonts w:ascii="Leelawadee UI" w:hAnsi="Leelawadee UI" w:eastAsia="Leelawadee UI" w:cs="Leelawadee UI"/>
        </w:rPr>
        <w:t>ដំណាក់កាលនយោបាយរបស់អំណាចនាគ</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នៅក្នុងខទីដប់ប្រាំមួយ</w:t>
      </w:r>
      <w:r>
        <w:rPr>
          <w:rFonts w:ascii="Times New Roman" w:hAnsi="Times New Roman" w:eastAsia="Times New Roman" w:cs="Times New Roman"/>
        </w:rPr>
        <w:t xml:space="preserve"> </w:t>
      </w:r>
      <w:r>
        <w:rPr>
          <w:rFonts w:ascii="Leelawadee UI" w:hAnsi="Leelawadee UI" w:eastAsia="Leelawadee UI" w:cs="Leelawadee UI"/>
        </w:rPr>
        <w:t>យល់ព្រមប្រគល់រចនាសម្ព័ន្ធនយោបាយរបស់ខ្លួនទៅឲ្យសត្វសាហាវ</w:t>
      </w:r>
      <w:r>
        <w:rPr>
          <w:rFonts w:ascii="Times New Roman" w:hAnsi="Times New Roman" w:eastAsia="Times New Roman" w:cs="Times New Roman"/>
        </w:rPr>
        <w:t xml:space="preserve"> </w:t>
      </w:r>
      <w:r>
        <w:rPr>
          <w:rFonts w:ascii="Leelawadee UI" w:hAnsi="Leelawadee UI" w:eastAsia="Leelawadee UI" w:cs="Leelawadee UI"/>
        </w:rPr>
        <w:t>ប៉ុន្តែមុនពេលធ្វើដូច្នោះ</w:t>
      </w:r>
      <w:r>
        <w:rPr>
          <w:rFonts w:ascii="Times New Roman" w:hAnsi="Times New Roman" w:eastAsia="Times New Roman" w:cs="Times New Roman"/>
        </w:rPr>
        <w:t xml:space="preserve"> </w:t>
      </w:r>
      <w:r>
        <w:rPr>
          <w:rFonts w:ascii="Leelawadee UI" w:hAnsi="Leelawadee UI" w:eastAsia="Leelawadee UI" w:cs="Leelawadee UI"/>
        </w:rPr>
        <w:t>ស្ថាប័នប៉ាបត្រូវយកឈ្នះលើសាសនារបស់នាគសិន។</w:t>
      </w:r>
      <w:r>
        <w:rPr>
          <w:rFonts w:ascii="Times New Roman" w:hAnsi="Times New Roman" w:eastAsia="Times New Roman" w:cs="Times New Roman"/>
        </w:rPr>
        <w:t xml:space="preserve"> </w:t>
      </w:r>
      <w:r>
        <w:rPr>
          <w:rFonts w:ascii="Leelawadee UI" w:hAnsi="Leelawadee UI" w:eastAsia="Leelawadee UI" w:cs="Leelawadee UI"/>
        </w:rPr>
        <w:t>សាសនាពហុទេវនិយមត្រូវតែត្រូវបានដកចេញម្តងទៀត។</w:t>
      </w:r>
      <w:r>
        <w:rPr>
          <w:rFonts w:ascii="Times New Roman" w:hAnsi="Times New Roman" w:eastAsia="Times New Roman" w:cs="Times New Roman"/>
        </w:rPr>
        <w:t xml:space="preserve"> </w:t>
      </w:r>
      <w:r>
        <w:rPr>
          <w:rFonts w:ascii="Leelawadee UI" w:hAnsi="Leelawadee UI" w:eastAsia="Leelawadee UI" w:cs="Leelawadee UI"/>
        </w:rPr>
        <w:t>សាសនាប្រូតេស្តង់ត្រូវបានដកចេញនៅក្នុងឆ្នាំរដ្ឋបាល</w:t>
      </w:r>
      <w:r>
        <w:rPr>
          <w:rFonts w:ascii="Times New Roman" w:hAnsi="Times New Roman" w:eastAsia="Times New Roman" w:cs="Times New Roman"/>
        </w:rPr>
        <w:t xml:space="preserve"> Reagan </w:t>
      </w:r>
      <w:r>
        <w:rPr>
          <w:rFonts w:ascii="Leelawadee UI" w:hAnsi="Leelawadee UI" w:eastAsia="Leelawadee UI" w:cs="Leelawadee UI"/>
        </w:rPr>
        <w:t>ក្នុងសង្គ្រាមលើកទីមួយនៃខទីសែសិប</w:t>
      </w:r>
      <w:r>
        <w:rPr>
          <w:rFonts w:ascii="Times New Roman" w:hAnsi="Times New Roman" w:eastAsia="Times New Roman" w:cs="Times New Roman"/>
        </w:rPr>
        <w:t xml:space="preserve"> </w:t>
      </w:r>
      <w:r>
        <w:rPr>
          <w:rFonts w:ascii="Leelawadee UI" w:hAnsi="Leelawadee UI" w:eastAsia="Leelawadee UI" w:cs="Leelawadee UI"/>
        </w:rPr>
        <w:t>ហើយនៅក្នុងសម័យនៃប្រធានាធិបតីសាធារណរដ្ឋចុងក្រោយ</w:t>
      </w:r>
      <w:r>
        <w:rPr>
          <w:rFonts w:ascii="Times New Roman" w:hAnsi="Times New Roman" w:eastAsia="Times New Roman" w:cs="Times New Roman"/>
        </w:rPr>
        <w:t xml:space="preserve"> </w:t>
      </w:r>
      <w:r>
        <w:rPr>
          <w:rFonts w:ascii="Leelawadee UI" w:hAnsi="Leelawadee UI" w:eastAsia="Leelawadee UI" w:cs="Leelawadee UI"/>
        </w:rPr>
        <w:t>សាសនារបស់នាគក៏នឹងត្រូវបានដាក់ឲ្យស្ថិតនៅក្រោមការចុះចូលចំពោះសាសនាកាតូលិកផងដែរ</w:t>
      </w:r>
      <w:r>
        <w:rPr>
          <w:rFonts w:ascii="Times New Roman" w:hAnsi="Times New Roman" w:eastAsia="Times New Roman" w:cs="Times New Roman"/>
        </w:rPr>
        <w:t xml:space="preserve"> </w:t>
      </w:r>
      <w:r>
        <w:rPr>
          <w:rFonts w:ascii="Leelawadee UI" w:hAnsi="Leelawadee UI" w:eastAsia="Leelawadee UI" w:cs="Leelawadee UI"/>
        </w:rPr>
        <w:t>ដូចដែលបានកើតឡើងនៅក្នុងឆ្នាំ</w:t>
      </w:r>
      <w:r>
        <w:rPr>
          <w:rFonts w:ascii="Times New Roman" w:hAnsi="Times New Roman" w:eastAsia="Times New Roman" w:cs="Times New Roman"/>
        </w:rPr>
        <w:t xml:space="preserve"> 508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ដំណើរការនៃការដកចេញនូវការតស៊ូខាងសាសនាទាំងអស់ប្រឆាំងនឹងការដាក់ស្ថាប័នប៉ាបឡើងលើបល្ល័ង្ក</w:t>
      </w:r>
      <w:r>
        <w:rPr>
          <w:rFonts w:ascii="Times New Roman" w:hAnsi="Times New Roman" w:eastAsia="Times New Roman" w:cs="Times New Roman"/>
        </w:rPr>
        <w:t xml:space="preserve"> </w:t>
      </w:r>
      <w:r>
        <w:rPr>
          <w:rFonts w:ascii="Leelawadee UI" w:hAnsi="Leelawadee UI" w:eastAsia="Leelawadee UI" w:cs="Leelawadee UI"/>
        </w:rPr>
        <w:t>បានចាប់ផ្តើមនៅក្នុងឆ្នាំរដ្ឋបាល</w:t>
      </w:r>
      <w:r>
        <w:rPr>
          <w:rFonts w:ascii="Times New Roman" w:hAnsi="Times New Roman" w:eastAsia="Times New Roman" w:cs="Times New Roman"/>
        </w:rPr>
        <w:t xml:space="preserve"> Reagan </w:t>
      </w:r>
      <w:r>
        <w:rPr>
          <w:rFonts w:ascii="Leelawadee UI" w:hAnsi="Leelawadee UI" w:eastAsia="Leelawadee UI" w:cs="Leelawadee UI"/>
        </w:rPr>
        <w:t>ហើយវាបញ្ចប់នៅក្នុងឆ្នាំរដ្ឋបាល</w:t>
      </w:r>
      <w:r>
        <w:rPr>
          <w:rFonts w:ascii="Times New Roman" w:hAnsi="Times New Roman" w:eastAsia="Times New Roman" w:cs="Times New Roman"/>
        </w:rPr>
        <w:t xml:space="preserve"> Trump</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ការតស៊ូរបស់ប្រូតេស្តង់ដែលបានបោះបង់សេចក្តីជំនឿ</w:t>
      </w:r>
      <w:r>
        <w:rPr>
          <w:rFonts w:ascii="Times New Roman" w:hAnsi="Times New Roman" w:eastAsia="Times New Roman" w:cs="Times New Roman"/>
        </w:rPr>
        <w:t xml:space="preserve"> </w:t>
      </w:r>
      <w:r>
        <w:rPr>
          <w:rFonts w:ascii="Leelawadee UI" w:hAnsi="Leelawadee UI" w:eastAsia="Leelawadee UI" w:cs="Leelawadee UI"/>
        </w:rPr>
        <w:t>ប្រឆាំងនឹងសាសនាកាតូលិក</w:t>
      </w:r>
      <w:r>
        <w:rPr>
          <w:rFonts w:ascii="Times New Roman" w:hAnsi="Times New Roman" w:eastAsia="Times New Roman" w:cs="Times New Roman"/>
        </w:rPr>
        <w:t xml:space="preserve"> </w:t>
      </w:r>
      <w:r>
        <w:rPr>
          <w:rFonts w:ascii="Leelawadee UI" w:hAnsi="Leelawadee UI" w:eastAsia="Leelawadee UI" w:cs="Leelawadee UI"/>
        </w:rPr>
        <w:t>ត្រូវបានដកចេញនៅក្នុងសង្គ្រាមលើកទីមួយនៃខទីសែសិប</w:t>
      </w:r>
      <w:r>
        <w:rPr>
          <w:rFonts w:ascii="Times New Roman" w:hAnsi="Times New Roman" w:eastAsia="Times New Roman" w:cs="Times New Roman"/>
        </w:rPr>
        <w:t xml:space="preserve"> </w:t>
      </w:r>
      <w:r>
        <w:rPr>
          <w:rFonts w:ascii="Leelawadee UI" w:hAnsi="Leelawadee UI" w:eastAsia="Leelawadee UI" w:cs="Leelawadee UI"/>
        </w:rPr>
        <w:t>ហើយការតស៊ូរបស់ស្ពីរីជួលនិយម</w:t>
      </w:r>
      <w:r>
        <w:rPr>
          <w:rFonts w:ascii="Times New Roman" w:hAnsi="Times New Roman" w:eastAsia="Times New Roman" w:cs="Times New Roman"/>
        </w:rPr>
        <w:t xml:space="preserve"> </w:t>
      </w:r>
      <w:r>
        <w:rPr>
          <w:rFonts w:ascii="Leelawadee UI" w:hAnsi="Leelawadee UI" w:eastAsia="Leelawadee UI" w:cs="Leelawadee UI"/>
        </w:rPr>
        <w:t>នឹងត្រូវបានដកចេញនៅក្នុងសង្គ្រាមលើកចុងក្រោយនៃខទីសែសិប។</w:t>
      </w:r>
    </w:p>
    <w:p>
      <w:pPr>
        <w:pStyle w:val="ArticleBody"/>
        <w:jc w:val="left"/>
      </w:pP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ዝተሓላለኸ</w:t>
      </w:r>
      <w:r>
        <w:rPr>
          <w:rFonts w:ascii="Times New Roman" w:hAnsi="Times New Roman" w:eastAsia="Times New Roman" w:cs="Times New Roman"/>
        </w:rPr>
        <w:t xml:space="preserve"> </w:t>
      </w:r>
      <w:r>
        <w:rPr>
          <w:rFonts w:ascii="Ebrima" w:hAnsi="Ebrima" w:eastAsia="Ebrima" w:cs="Ebrima"/>
        </w:rPr>
        <w:t>ምትእስሳር</w:t>
      </w:r>
      <w:r>
        <w:rPr>
          <w:rFonts w:ascii="Times New Roman" w:hAnsi="Times New Roman" w:eastAsia="Times New Roman" w:cs="Times New Roman"/>
        </w:rPr>
        <w:t xml:space="preserve"> </w:t>
      </w:r>
      <w:r>
        <w:rPr>
          <w:rFonts w:ascii="Ebrima" w:hAnsi="Ebrima" w:eastAsia="Ebrima" w:cs="Ebrima"/>
        </w:rPr>
        <w:t>ሰብኣዊ</w:t>
      </w:r>
      <w:r>
        <w:rPr>
          <w:rFonts w:ascii="Times New Roman" w:hAnsi="Times New Roman" w:eastAsia="Times New Roman" w:cs="Times New Roman"/>
        </w:rPr>
        <w:t xml:space="preserve"> </w:t>
      </w:r>
      <w:r>
        <w:rPr>
          <w:rFonts w:ascii="Ebrima" w:hAnsi="Ebrima" w:eastAsia="Ebrima" w:cs="Ebrima"/>
        </w:rPr>
        <w:t>ፍጻመታት፡</w:t>
      </w:r>
      <w:r>
        <w:rPr>
          <w:rFonts w:ascii="Times New Roman" w:hAnsi="Times New Roman" w:eastAsia="Times New Roman" w:cs="Times New Roman"/>
        </w:rPr>
        <w:t xml:space="preserve"> </w:t>
      </w:r>
      <w:r>
        <w:rPr>
          <w:rFonts w:ascii="Ebrima" w:hAnsi="Ebrima" w:eastAsia="Ebrima" w:cs="Ebrima"/>
        </w:rPr>
        <w:t>ክሕደታዊ</w:t>
      </w:r>
      <w:r>
        <w:rPr>
          <w:rFonts w:ascii="Times New Roman" w:hAnsi="Times New Roman" w:eastAsia="Times New Roman" w:cs="Times New Roman"/>
        </w:rPr>
        <w:t xml:space="preserve"> </w:t>
      </w:r>
      <w:r>
        <w:rPr>
          <w:rFonts w:ascii="Ebrima" w:hAnsi="Ebrima" w:eastAsia="Ebrima" w:cs="Ebrima"/>
        </w:rPr>
        <w:t>ፕሮቴስታንቲዝም</w:t>
      </w:r>
      <w:r>
        <w:rPr>
          <w:rFonts w:ascii="Times New Roman" w:hAnsi="Times New Roman" w:eastAsia="Times New Roman" w:cs="Times New Roman"/>
        </w:rPr>
        <w:t xml:space="preserve"> </w:t>
      </w:r>
      <w:r>
        <w:rPr>
          <w:rFonts w:ascii="Ebrima" w:hAnsi="Ebrima" w:eastAsia="Ebrima" w:cs="Ebrima"/>
        </w:rPr>
        <w:t>ርእሱ</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ሃይማኖታዊን</w:t>
      </w:r>
      <w:r>
        <w:rPr>
          <w:rFonts w:ascii="Times New Roman" w:hAnsi="Times New Roman" w:eastAsia="Times New Roman" w:cs="Times New Roman"/>
        </w:rPr>
        <w:t xml:space="preserve"> </w:t>
      </w:r>
      <w:r>
        <w:rPr>
          <w:rFonts w:ascii="Ebrima" w:hAnsi="Ebrima" w:eastAsia="Ebrima" w:cs="Ebrima"/>
        </w:rPr>
        <w:t>ፖለቲካዊን</w:t>
      </w:r>
      <w:r>
        <w:rPr>
          <w:rFonts w:ascii="Times New Roman" w:hAnsi="Times New Roman" w:eastAsia="Times New Roman" w:cs="Times New Roman"/>
        </w:rPr>
        <w:t xml:space="preserve"> </w:t>
      </w:r>
      <w:r>
        <w:rPr>
          <w:rFonts w:ascii="Ebrima" w:hAnsi="Ebrima" w:eastAsia="Ebrima" w:cs="Ebrima"/>
        </w:rPr>
        <w:t>ስልጣን</w:t>
      </w:r>
      <w:r>
        <w:rPr>
          <w:rFonts w:ascii="Times New Roman" w:hAnsi="Times New Roman" w:eastAsia="Times New Roman" w:cs="Times New Roman"/>
        </w:rPr>
        <w:t xml:space="preserve"> </w:t>
      </w:r>
      <w:r>
        <w:rPr>
          <w:rFonts w:ascii="Ebrima" w:hAnsi="Ebrima" w:eastAsia="Ebrima" w:cs="Ebrima"/>
        </w:rPr>
        <w:t>ከቕውም</w:t>
      </w:r>
      <w:r>
        <w:rPr>
          <w:rFonts w:ascii="Times New Roman" w:hAnsi="Times New Roman" w:eastAsia="Times New Roman" w:cs="Times New Roman"/>
        </w:rPr>
        <w:t xml:space="preserve"> </w:t>
      </w:r>
      <w:r>
        <w:rPr>
          <w:rFonts w:ascii="Ebrima" w:hAnsi="Ebrima" w:eastAsia="Ebrima" w:cs="Ebrima"/>
        </w:rPr>
        <w:t>ኣለዎ።</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ፓኒዩም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ሕቡራት</w:t>
      </w:r>
      <w:r>
        <w:rPr>
          <w:rFonts w:ascii="Times New Roman" w:hAnsi="Times New Roman" w:eastAsia="Times New Roman" w:cs="Times New Roman"/>
        </w:rPr>
        <w:t xml:space="preserve"> </w:t>
      </w:r>
      <w:r>
        <w:rPr>
          <w:rFonts w:ascii="Ebrima" w:hAnsi="Ebrima" w:eastAsia="Ebrima" w:cs="Ebrima"/>
        </w:rPr>
        <w:t>መንግስታት</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ሕቡራት</w:t>
      </w:r>
      <w:r>
        <w:rPr>
          <w:rFonts w:ascii="Times New Roman" w:hAnsi="Times New Roman" w:eastAsia="Times New Roman" w:cs="Times New Roman"/>
        </w:rPr>
        <w:t xml:space="preserve"> </w:t>
      </w:r>
      <w:r>
        <w:rPr>
          <w:rFonts w:ascii="Ebrima" w:hAnsi="Ebrima" w:eastAsia="Ebrima" w:cs="Ebrima"/>
        </w:rPr>
        <w:t>ሃገራት</w:t>
      </w:r>
      <w:r>
        <w:rPr>
          <w:rFonts w:ascii="Times New Roman" w:hAnsi="Times New Roman" w:eastAsia="Times New Roman" w:cs="Times New Roman"/>
        </w:rPr>
        <w:t xml:space="preserve"> </w:t>
      </w:r>
      <w:r>
        <w:rPr>
          <w:rFonts w:ascii="Ebrima" w:hAnsi="Ebrima" w:eastAsia="Ebrima" w:cs="Ebrima"/>
        </w:rPr>
        <w:t>ዝስዕርሉ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ይለልይ፣</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ፍቕዲ</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ሽዱሽተ</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Nirmala UI" w:hAnsi="Nirmala UI" w:eastAsia="Nirmala UI" w:cs="Nirmala UI"/>
        </w:rPr>
        <w:t>ਅੱਗਾਹੀ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ਨਿਯਮ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w:t>
      </w:r>
      <w:r>
        <w:rPr>
          <w:rFonts w:ascii="Nirmala UI" w:hAnsi="Nirmala UI" w:eastAsia="Nirmala UI" w:cs="Nirmala UI"/>
        </w:rPr>
        <w:t>ਹਰੇਕ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ਵਿਲੱਖਣ</w:t>
      </w:r>
      <w:r>
        <w:rPr>
          <w:rFonts w:ascii="Times New Roman" w:hAnsi="Times New Roman" w:eastAsia="Times New Roman" w:cs="Times New Roman"/>
        </w:rPr>
        <w:t xml:space="preserve"> </w:t>
      </w:r>
      <w:r>
        <w:rPr>
          <w:rFonts w:ascii="Nirmala UI" w:hAnsi="Nirmala UI" w:eastAsia="Nirmala UI" w:cs="Nirmala UI"/>
        </w:rPr>
        <w:t>ਅੱਗਾਹੀ</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ਲੱਛਣ</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ਅੱਗਾਹੀ</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ਲੱਛਣਾਂ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ਕੈਥੋਲਿਕ</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ਅੱਗਾਹੀਕ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ਅੱਗਾਹੀਕ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ਹਮੇਸ਼ਾਂ</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ਲੱਛਣ</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ਅੱਗਾਹੀਕ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ਕਿੱਥੇ</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ਹਮੇਸ਼ਾਂ</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ਬਦਲਦਾ</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ਅਕਾਸ਼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Говори и кажи: Така казва Господ Бог: Ето, Аз съм против тебе, фараоне, царю Египетски, великий змие, който лежиш сред реките си, който казваш: Моя е реката ми, и аз я направих за себе си. Езекиил 29:3.</w:t>
      </w:r>
    </w:p>
    <w:p>
      <w:pPr>
        <w:pStyle w:val="ArticleBody"/>
        <w:jc w:val="left"/>
      </w:pPr>
      <w:r>
        <w:rPr>
          <w:rFonts w:ascii="Times New Roman" w:hAnsi="Times New Roman" w:eastAsia="Times New Roman" w:cs="Times New Roman"/>
        </w:rPr>
        <w:t>Үлмини пәйғәмбәрлик җәһәттики орни өзгириду. Юһанна дәвридә, әҗдиһаниң орни — униң тәхтинини билдүридиған бу орун — Пәргамоста дәп тонулған еди.</w:t>
      </w:r>
    </w:p>
    <w:p>
      <w:pPr>
        <w:pStyle w:val="ArticleScripture"/>
        <w:jc w:val="left"/>
      </w:pPr>
      <w:r>
        <w:rPr>
          <w:rFonts w:ascii="Times New Roman" w:hAnsi="Times New Roman" w:eastAsia="Times New Roman" w:cs="Times New Roman"/>
        </w:rPr>
        <w:t>Пергам дахь чуулганы тэнгэрэлчид ийнхүү бич: Хоёр иртэй хурц илдтэй Нэгэн ийн айлдаж байна: Би чиний үйлсийг болон хаана оршдгийг чинь мэднэ, тэр нь бүр Сатаны сэнтий байгаа газар мөн. Чи Миний нэрийг бат барьж, Миний итгэлийг үгүйсгээгүй; та нарын дунд, Сатаны оршдог тэр газарт, Миний итгэмжит гэрч Антипас алагдсан тэр өдрүүдэд ч мөн тийнхүү байсан. Илчлэлт 2:12, 13.</w:t>
      </w:r>
    </w:p>
    <w:p>
      <w:pPr>
        <w:pStyle w:val="ArticleBody"/>
        <w:jc w:val="left"/>
      </w:pPr>
      <w:r>
        <w:rPr>
          <w:rFonts w:ascii="Times New Roman" w:hAnsi="Times New Roman" w:eastAsia="Times New Roman" w:cs="Times New Roman"/>
        </w:rPr>
        <w:t>کەمڕەوی ڕۆمای پەگەنی ئەوە بوو کە هەموو ئەو خوداوە پەگەنییانەی کە پەیوەندییان پێوە دەبوو، بگەڕێننەوە بۆ شارەکەی ڕۆم، و لە پەرستگای پانتھیۆن نیشانیان بدەن. لەبەر ئەمەیە کە دانیال تۆماری کردووە کە «شوێنی پیرۆزگاکەی ئەو خوارخرایەوە.» شوێنی پیرۆزگای ڕۆمای پەگەنی شارەکەی ڕۆم بوو، کە لە ساڵی 330 زایینی لەلایەن قۆنسطانتینەوە خوارخرایەوە، بەڵام ئەو پیرۆزگایەی کە «لە» ڕۆمدا بوو پەرستگای پانتھیۆن بوو، Pan-Theon واتە «پەرستگای هەموو خوداوەکان». ڕۆمانییەکان شوێنی کورسیی شەیتان لە پەرگامۆسەوە گواستنەوە بۆ پەرستگای پانتھیۆن. خوشک وایت ئاگادارمان دەکاتەوە کە ڕۆمای پەگەنی ئەژدیهاکەیە.</w:t>
      </w:r>
    </w:p>
    <w:p>
      <w:pPr>
        <w:pStyle w:val="ArticleScripture"/>
        <w:jc w:val="left"/>
      </w:pPr>
      <w:r>
        <w:rPr>
          <w:rFonts w:ascii="Times New Roman" w:hAnsi="Times New Roman" w:eastAsia="Times New Roman" w:cs="Times New Roman"/>
        </w:rPr>
        <w:t>«Иудай, аятан чIогIолъиялда, аждаhа Сатана цIикIкIараблъун вуго, амма кIиабилеб магIнаалда гьеб бутIрулъан Рималъул паганизмалъул символги буго». The Great Controversy, 439.</w:t>
      </w:r>
    </w:p>
    <w:p>
      <w:pPr>
        <w:pStyle w:val="ArticleBody"/>
        <w:jc w:val="left"/>
      </w:pPr>
      <w:r>
        <w:rPr>
          <w:rFonts w:ascii="Times New Roman" w:hAnsi="Times New Roman" w:eastAsia="Times New Roman" w:cs="Times New Roman"/>
        </w:rPr>
        <w:t>بت‌پرست رومی سلطنت ده قومه‌گه بۆلۈندى، فرانسه‌سه فرانسوز انقلابى داۋرىدا مىسېرنىڭ خۇداسىزلىقىنى كىرگۈزگەندە جەنۇب پادىشاھىغا ئايلاندى. 1917-يىلغا كەلگەندە، ئەجدىھا فرانسه‌دىن روسىيەگە كۆچكەن ئىدى. ئونىنچى ئايەت 1989-يىلنى ئىپادىلەيدۇ، يىگىرمە بىرىنچى ۋە ئون ئىككىنچى ئايەتلەر بولسا «چېگرا» جەڭلىرىنى (رافىيە ۋە ئۇكرائىنا) ئىپادىلەيدۇ، پانىيۇم جەڭى بولسا ئالتۇنچى ئايەتتە پاپالىق ئۈچ تەرەپلىك ئىتتىپاقنى مۇستەھكەملىگەندە ئەمەلگە ئاشۇرىدىغان ئۈچىنچى قەدەمنى ئىپادىلەيدۇ. بۇ، قىرىقىنچى ئايەتنىڭ يوشۇرۇن تارىخىنى ئىپادىلەيدۇ.</w:t>
      </w:r>
    </w:p>
    <w:p>
      <w:pPr>
        <w:pStyle w:val="ArticleBody"/>
        <w:jc w:val="left"/>
      </w:pPr>
      <w:r>
        <w:rPr>
          <w:rFonts w:ascii="Times New Roman" w:hAnsi="Times New Roman" w:eastAsia="Times New Roman" w:cs="Times New Roman"/>
        </w:rPr>
        <w:t>Ukutadisha lokhu sizokuqhubekisela phambili esihlokweni esilandelayo.</w:t>
      </w:r>
    </w:p>
    <w:p>
      <w:pPr>
        <w:pStyle w:val="ArticleScripture"/>
        <w:jc w:val="left"/>
      </w:pPr>
      <w:r>
        <w:rPr>
          <w:rFonts w:ascii="Times New Roman" w:hAnsi="Times New Roman" w:eastAsia="Times New Roman" w:cs="Times New Roman"/>
        </w:rPr>
        <w:t>Alaa Yesu duok iye i kur lobo Caesarea Philippi [Panium], nopenjo jopuonjre magi ka owacho ni, “Ji to wacho ni An, Wuod Dhano, an ng’a?” Giwacho ni, “Jo moko wacho ni in Johan Mbatiso; jo moko ni Elias; kendo jo moko ni Jeremias, kata achiel kuom jonabi.” Nopenjogi ni, “To un wacho ni an ng’a?” Simon Petro odwoko owacho ni, “In e Kristo, Wuod Nyasaye mangima.” Yesu odwoko owachone ni, “Ibiro, Simon Barjona; nimar ok ringruok gi remo moseyuto mano ne in, to Baba mara manie polo. Kendo an bende awachoni ni, in Petro, kendo e lwandeni abiro chweyo kanisa mara; kendo dhoge mag polo mar tho ok nobed gi teko mar loyo. Kendo abiro miyi rieko mag pinyruoth mar polo; kendo gimoro amora mabiro tweyi e piny nobed motweyo e polo; kendo gimoro amora mabiro yodi e piny nobed moyudo yore e polo.” Eka nokoro jopuonjrege mondo gichik ne ng’ato amora ni en Yesu Kristo. Chakre kinde mano Yesu noloso jopuonjrege ni onego odhi Yerusalemu, kendo oyud sand mang’eny kuom jodong tije, gi jodolo mag kitawo, gi jopuonj puonj, kendo ni gibiro nege, to e odira mar adek gibiro chiere kendo. Mathayo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ᎠᏟᏂᎬᏅ ᏗᎪᏪᎵ — ᏐᏁᎳ ᎢᏯᎵᏍᎪᎯ ᏑᏓᎵᏆ ᏐᏁᎳᏚᏂᏏᏏ</dc:title>
  <dc:subject>अर्धरात्रिको पुकार र रोमको अगमवाणीसम्बन्धी भूमिका: दानिएलको पुस्तकमा अन्तिम दिनहरूको उद्घाटन</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