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ဝိညာဏ်တော်</w:t>
      </w:r>
      <w:r>
        <w:rPr>
          <w:rFonts w:ascii="Arial" w:hAnsi="Arial" w:eastAsia="Arial" w:cs="Arial"/>
        </w:rPr>
        <w:t xml:space="preserve"> </w:t>
      </w:r>
      <w:r>
        <w:rPr>
          <w:rFonts w:ascii="Myanmar Text" w:hAnsi="Myanmar Text" w:eastAsia="Myanmar Text" w:cs="Myanmar Text"/>
        </w:rPr>
        <w:t>ဒန်ယေလ</w:t>
      </w:r>
      <w:r>
        <w:rPr>
          <w:rFonts w:ascii="Arial" w:hAnsi="Arial" w:eastAsia="Arial" w:cs="Arial"/>
        </w:rPr>
        <w:t xml:space="preserve"> </w:t>
      </w:r>
      <w:r>
        <w:rPr>
          <w:rFonts w:ascii="Myanmar Text" w:hAnsi="Myanmar Text" w:eastAsia="Myanmar Text" w:cs="Myanmar Text"/>
        </w:rPr>
        <w:t>ကျမ်း</w:t>
      </w:r>
      <w:r>
        <w:rPr>
          <w:rFonts w:ascii="Arial" w:hAnsi="Arial" w:eastAsia="Arial" w:cs="Arial"/>
        </w:rPr>
        <w:t xml:space="preserve"> - </w:t>
      </w:r>
      <w:r>
        <w:rPr>
          <w:rFonts w:ascii="Myanmar Text" w:hAnsi="Myanmar Text" w:eastAsia="Myanmar Text" w:cs="Myanmar Text"/>
        </w:rPr>
        <w:t>အမှတ်တစ်ရာရှစ်ဆယ့်တစ်</w:t>
      </w:r>
    </w:p>
    <w:p>
      <w:pPr>
        <w:pStyle w:val="ArticleSubtitle"/>
        <w:jc w:val="left"/>
      </w:pPr>
      <w:r>
        <w:rPr>
          <w:rFonts w:ascii="Arial" w:hAnsi="Arial" w:eastAsia="Arial" w:cs="Arial"/>
        </w:rPr>
        <w:t>Yán ukha paya aruman arsüwi ukat Roma markan yatiyäwipan profetico luräwipa: Danielan libropan qhipa urunaka qhanstayaña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Daniel capítulon once ukapiw walja profecianakan utji, taqpachaniw capítulon qhipa sojta versículonakapamp chikachasi. Kawkïr t’aqaw versículo cuarentankir sarnaqäwimp chikachasi, tiempo del fin sat pachat 1989 marat qalltasina, versículo cuarenta y unonkir domingo leykama, ukaw profecían t’aqapa, qhipa urunakkama sellatäkäna. Ukatsti, ukaw Danielan complemento-pa, Jesucriston Revelaciónapamp chika, probación jist’antañ janïr tukuykipan qhananchatäki ukaxa. Versículo dos ukax Trump uñt’ayi, qhipa republicano presidente, qhipa Presidente, uka Presidentew paqallqut mistki ukham llatunkïri, ukat jupaw qamirïrinak taypin qamir presidente, khititï globalistanakar sartay qalltäna 2015 maran candidatura yatiyäwipa yatiykasina. Versículo diez ukax 1989 mara uñt’ayi, versículos once ukat doce ukasti Guerra Ucraniana uñt’ayapxi, khititï 2014 maran qalltäna, Putinan atipäwipampi ukat qhipharux jiwäwipampi.</w:t>
      </w:r>
    </w:p>
    <w:p>
      <w:pPr>
        <w:pStyle w:val="ArticleBody"/>
        <w:jc w:val="left"/>
      </w:pPr>
      <w:r>
        <w:rPr>
          <w:rFonts w:ascii="Times New Roman" w:hAnsi="Times New Roman" w:eastAsia="Times New Roman" w:cs="Times New Roman"/>
        </w:rPr>
        <w:t>ئاشاڵان سێزدەھ تا پانزدەھ سێیەمین لەو سێ شەڕە وەسف دەکەن کە لە ئایەتی چلدا هاتوون، بە دەستپێکردن بە هەڵوەشاندنەوەی یەکێتیی سۆڤیەت لە ساڵی 1989، پاشان شەڕی ئۆکرانیا، دوای ئەوەش شەڕی پانیۆم، کە خەباتی دەرەکیی پرۆتستانتیزمی مورتەد لە ویلایەتە یەکگرتووەکانی ئەمریکا دژی گڵۆبالیستەکانی جیهان نیشان دەدات.</w:t>
      </w:r>
    </w:p>
    <w:p>
      <w:pPr>
        <w:pStyle w:val="ArticleBody"/>
        <w:jc w:val="left"/>
      </w:pP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त्रिगुणात्मक</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पदानुक्रमित</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कार्यान्वित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कैथोलिकवाद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ईज़ेबेल</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आरूढ़</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Anáḵhááʼígíí tʼáá ajiłiiłígíí United States yinishyééł, biniyé Ahab biyiʼdi nitsáhákeesgo bee naashá, éí łahgo biniinaaʼígo naaltsoos bikááʼ dah naasháhígíí tenfold kingdom of the dragon yił nidaasháałígíí biyiʼdi atʼéego. 200 BC yáhootʼééłgo Battle of Panium bééhózinígíí, globalism dóó apostate Protestantism bíł chʼidí naaʼałkaahígíí bee tʼáá ałtso bee hodoolʼaahígíí nitsáhákeesgo doo nídahwiinítʼį́į́ł da. 167 BC yáhootʼééłgo revolt holneʼígíí éí ajiłiiłígíí bitsʼą́ądóó hadítʼehígíí bee naaltsoos bikááʼ haneʼígíí atʼé, dóó 164 BC yáhootʼééłgo Hanukkah bee hazʼą́ dooleełgo temple ałhidadiilyeedígíí tʼáá ajiłiiłígíí bitsʼą́ądóó hadítʼehígíí bídaʼdiitʼaʼ atʼé. Áádóó 161 BC bitsʼą́ądóó 158 BC yáhootʼééłgo bikááʼjiʼ hwiiníłʼį́į́łígíí haneʼ, éí United States Roman Catholicism bił church dóó state yikááʼádahwiilyaahígíí bitsʼą́ądóó béésh bee nidaasháhígíí image áyiilaał, “league” biniinaaʼígo bééhózinígíííłtsʼą́ądóó.</w:t>
      </w:r>
    </w:p>
    <w:p>
      <w:pPr>
        <w:pStyle w:val="ArticleBody"/>
        <w:jc w:val="left"/>
      </w:pPr>
      <w:r>
        <w:rPr>
          <w:rFonts w:ascii="Times New Roman" w:hAnsi="Times New Roman" w:eastAsia="Times New Roman" w:cs="Times New Roman"/>
        </w:rPr>
        <w:t>خبت سێزده‌م‌دا، ئوریا سمێس ئاگادارمان دەکاتەوە کە چواردە ساڵ دوای شەڕی ڕافیا، پەتۆلمی بەهۆی «بێ‌ئاگایی و بەڕەڵایەتی» مرد، و کوڕەکەی، پەتۆلمی ئیپیفانێس، کە منداڵێکی چوار یان پێنج ساڵە بوو، شوێنی گرتەوە. «ئەنتیۆخۆس، لە هەمان کاتدا، دوای ئەوەی یاخیبوون لە شانشینەکەی خۆی سەرکوت کرد، و ناوچە ڕۆژهەڵاتییەکانی خستە ژێر گوێڕایەڵی و ئارامکردنەوە، بۆ هەر کارێک ئامادە بوو کاتێک ئیپیفانێسی گەنج گەیشتە تەختی میسر.» دوای ئەوەی سەرکەوتنی کورت‌ماوەی پوتین کۆتایی پێ بێت، ترامپ ئامادە دەبێت مامەڵە لەگەڵ پاشای منداڵی نوێی میسر بکات. پێش ئەوەی ئەو کارە بکات، لە ناو وڵاتە یەکگرتووەکانی ئەمریکا «یاخیبوونێک سەرکوت کردووە».</w:t>
      </w:r>
    </w:p>
    <w:p>
      <w:pPr>
        <w:pStyle w:val="ArticleBody"/>
        <w:jc w:val="left"/>
      </w:pPr>
      <w:r>
        <w:rPr>
          <w:rFonts w:ascii="Times New Roman" w:hAnsi="Times New Roman" w:eastAsia="Times New Roman" w:cs="Times New Roman"/>
        </w:rPr>
        <w:t>Apanuku Trump maqhsiqaqtin, unguva piquyaliqtunik atuutilissaaq 1798-mi Alien and Sedition Acts-mik ilaliullugit naunaqtauyunik, taavalu “habeas corpus” unngaqtitlugu, soorlu Republican president-mit sivulliq Civil War-mut kiinauyarluni piliqsimasutut. Piliurutigisai aamma naunaqtauyut president Grant-p Ku Klux Klan-mik isumagigamiuk piliurutigisainit, F. D. Roosevelt-lu Japanese-nik allanillu World War Two-mi parnaiyaaguvini, kiisalu George Bush kingulliq Patriot Act-ianik.</w:t>
      </w:r>
    </w:p>
    <w:p>
      <w:pPr>
        <w:pStyle w:val="ArticleBody"/>
        <w:jc w:val="left"/>
      </w:pPr>
      <w:r>
        <w:rPr>
          <w:rFonts w:ascii="Myanmar Text" w:hAnsi="Myanmar Text" w:eastAsia="Myanmar Text" w:cs="Myanmar Text"/>
        </w:rPr>
        <w:t>ဝယ်လည်း</w:t>
      </w:r>
      <w:r>
        <w:rPr>
          <w:rFonts w:ascii="Times New Roman" w:hAnsi="Times New Roman" w:eastAsia="Times New Roman" w:cs="Times New Roman"/>
        </w:rPr>
        <w:t xml:space="preserve"> Seleucus </w:t>
      </w:r>
      <w:r>
        <w:rPr>
          <w:rFonts w:ascii="Myanmar Text" w:hAnsi="Myanmar Text" w:eastAsia="Myanmar Text" w:cs="Myanmar Text"/>
        </w:rPr>
        <w:t>နှင့်တူသကဲ့သို့၊</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အမေရိကန်ပြည်ထောင်စုအတွင်းရှိ</w:t>
      </w:r>
      <w:r>
        <w:rPr>
          <w:rFonts w:ascii="Times New Roman" w:hAnsi="Times New Roman" w:eastAsia="Times New Roman" w:cs="Times New Roman"/>
        </w:rPr>
        <w:t xml:space="preserve"> </w:t>
      </w:r>
      <w:r>
        <w:rPr>
          <w:rFonts w:ascii="Myanmar Text" w:hAnsi="Myanmar Text" w:eastAsia="Myanmar Text" w:cs="Myanmar Text"/>
        </w:rPr>
        <w:t>ပုန်ကန်မှုကို</w:t>
      </w:r>
      <w:r>
        <w:rPr>
          <w:rFonts w:ascii="Times New Roman" w:hAnsi="Times New Roman" w:eastAsia="Times New Roman" w:cs="Times New Roman"/>
        </w:rPr>
        <w:t xml:space="preserve"> </w:t>
      </w:r>
      <w:r>
        <w:rPr>
          <w:rFonts w:ascii="Myanmar Text" w:hAnsi="Myanmar Text" w:eastAsia="Myanmar Text" w:cs="Myanmar Text"/>
        </w:rPr>
        <w:t>ဖိနှိပ်မည်ဖြစ်ပြီး၊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အီဂျစ်၏</w:t>
      </w:r>
      <w:r>
        <w:rPr>
          <w:rFonts w:ascii="Times New Roman" w:hAnsi="Times New Roman" w:eastAsia="Times New Roman" w:cs="Times New Roman"/>
        </w:rPr>
        <w:t xml:space="preserve"> “</w:t>
      </w:r>
      <w:r>
        <w:rPr>
          <w:rFonts w:ascii="Myanmar Text" w:hAnsi="Myanmar Text" w:eastAsia="Myanmar Text" w:cs="Myanmar Text"/>
        </w:rPr>
        <w:t>ကလေးဘုရင်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မိမိ၏အာရုံသို့</w:t>
      </w:r>
      <w:r>
        <w:rPr>
          <w:rFonts w:ascii="Times New Roman" w:hAnsi="Times New Roman" w:eastAsia="Times New Roman" w:cs="Times New Roman"/>
        </w:rPr>
        <w:t xml:space="preserve"> </w:t>
      </w:r>
      <w:r>
        <w:rPr>
          <w:rFonts w:ascii="Myanmar Text" w:hAnsi="Myanmar Text" w:eastAsia="Myanmar Text" w:cs="Myanmar Text"/>
        </w:rPr>
        <w:t>လှည့်မည်ဖြစ်သည်။</w:t>
      </w:r>
      <w:r>
        <w:rPr>
          <w:rFonts w:ascii="Times New Roman" w:hAnsi="Times New Roman" w:eastAsia="Times New Roman" w:cs="Times New Roman"/>
        </w:rPr>
        <w:t xml:space="preserve"> </w:t>
      </w:r>
      <w:r>
        <w:rPr>
          <w:rFonts w:ascii="Myanmar Text" w:hAnsi="Myanmar Text" w:eastAsia="Myanmar Text" w:cs="Myanmar Text"/>
        </w:rPr>
        <w:t>ထိုသို့ပြုရာတွင်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မာစီဒိုးနီးယားဘုရင်</w:t>
      </w:r>
      <w:r>
        <w:rPr>
          <w:rFonts w:ascii="Times New Roman" w:hAnsi="Times New Roman" w:eastAsia="Times New Roman" w:cs="Times New Roman"/>
        </w:rPr>
        <w:t xml:space="preserve"> Philip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မဟာမိတ်ဖွဲ့မည်ဖြစ်သည်။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Smith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မှတ်တမ်းတင်ထားသောကြောင့်ဖြစ်သည်</w:t>
      </w:r>
      <w:r>
        <w:rPr>
          <w:rFonts w:ascii="Times New Roman" w:hAnsi="Times New Roman" w:eastAsia="Times New Roman" w:cs="Times New Roman"/>
        </w:rPr>
        <w:t>— “</w:t>
      </w:r>
      <w:r>
        <w:rPr>
          <w:rFonts w:ascii="Myanmar Text" w:hAnsi="Myanmar Text" w:eastAsia="Myanmar Text" w:cs="Myanmar Text"/>
        </w:rPr>
        <w:t>ထိုအချိန်တည်းတွင်</w:t>
      </w:r>
      <w:r>
        <w:rPr>
          <w:rFonts w:ascii="Times New Roman" w:hAnsi="Times New Roman" w:eastAsia="Times New Roman" w:cs="Times New Roman"/>
        </w:rPr>
        <w:t xml:space="preserve"> </w:t>
      </w:r>
      <w:r>
        <w:rPr>
          <w:rFonts w:ascii="Myanmar Text" w:hAnsi="Myanmar Text" w:eastAsia="Myanmar Text" w:cs="Myanmar Text"/>
        </w:rPr>
        <w:t>မာစီဒိုးနီးယားဘုရင်</w:t>
      </w:r>
      <w:r>
        <w:rPr>
          <w:rFonts w:ascii="Times New Roman" w:hAnsi="Times New Roman" w:eastAsia="Times New Roman" w:cs="Times New Roman"/>
        </w:rPr>
        <w:t xml:space="preserve"> Philip </w:t>
      </w:r>
      <w:r>
        <w:rPr>
          <w:rFonts w:ascii="Myanmar Text" w:hAnsi="Myanmar Text" w:eastAsia="Myanmar Text" w:cs="Myanmar Text"/>
        </w:rPr>
        <w:t>သည်</w:t>
      </w:r>
      <w:r>
        <w:rPr>
          <w:rFonts w:ascii="Times New Roman" w:hAnsi="Times New Roman" w:eastAsia="Times New Roman" w:cs="Times New Roman"/>
        </w:rPr>
        <w:t xml:space="preserve"> Antiochus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မဟာမိတ်စာချုပ်တစ်ရပ်</w:t>
      </w:r>
      <w:r>
        <w:rPr>
          <w:rFonts w:ascii="Times New Roman" w:hAnsi="Times New Roman" w:eastAsia="Times New Roman" w:cs="Times New Roman"/>
        </w:rPr>
        <w:t xml:space="preserve"> </w:t>
      </w:r>
      <w:r>
        <w:rPr>
          <w:rFonts w:ascii="Myanmar Text" w:hAnsi="Myanmar Text" w:eastAsia="Myanmar Text" w:cs="Myanmar Text"/>
        </w:rPr>
        <w:t>ချုပ်ဆို၍</w:t>
      </w:r>
      <w:r>
        <w:rPr>
          <w:rFonts w:ascii="Times New Roman" w:hAnsi="Times New Roman" w:eastAsia="Times New Roman" w:cs="Times New Roman"/>
        </w:rPr>
        <w:t xml:space="preserve"> Ptolemy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အုပ်စိုးနယ်မြေများကို</w:t>
      </w:r>
      <w:r>
        <w:rPr>
          <w:rFonts w:ascii="Times New Roman" w:hAnsi="Times New Roman" w:eastAsia="Times New Roman" w:cs="Times New Roman"/>
        </w:rPr>
        <w:t xml:space="preserve"> </w:t>
      </w:r>
      <w:r>
        <w:rPr>
          <w:rFonts w:ascii="Myanmar Text" w:hAnsi="Myanmar Text" w:eastAsia="Myanmar Text" w:cs="Myanmar Text"/>
        </w:rPr>
        <w:t>သူတို့အကြား</w:t>
      </w:r>
      <w:r>
        <w:rPr>
          <w:rFonts w:ascii="Times New Roman" w:hAnsi="Times New Roman" w:eastAsia="Times New Roman" w:cs="Times New Roman"/>
        </w:rPr>
        <w:t xml:space="preserve"> </w:t>
      </w:r>
      <w:r>
        <w:rPr>
          <w:rFonts w:ascii="Myanmar Text" w:hAnsi="Myanmar Text" w:eastAsia="Myanmar Text" w:cs="Myanmar Text"/>
        </w:rPr>
        <w:t>ခွဲဝေယူရန်</w:t>
      </w:r>
      <w:r>
        <w:rPr>
          <w:rFonts w:ascii="Times New Roman" w:hAnsi="Times New Roman" w:eastAsia="Times New Roman" w:cs="Times New Roman"/>
        </w:rPr>
        <w:t xml:space="preserve"> </w:t>
      </w:r>
      <w:r>
        <w:rPr>
          <w:rFonts w:ascii="Myanmar Text" w:hAnsi="Myanmar Text" w:eastAsia="Myanmar Text" w:cs="Myanmar Text"/>
        </w:rPr>
        <w:t>ဝင်ရောက်လာခဲ့သည်။</w:t>
      </w:r>
      <w:r>
        <w:rPr>
          <w:rFonts w:ascii="Times New Roman" w:hAnsi="Times New Roman" w:eastAsia="Times New Roman" w:cs="Times New Roman"/>
        </w:rPr>
        <w:t xml:space="preserve"> </w:t>
      </w:r>
      <w:r>
        <w:rPr>
          <w:rFonts w:ascii="Myanmar Text" w:hAnsi="Myanmar Text" w:eastAsia="Myanmar Text" w:cs="Myanmar Text"/>
        </w:rPr>
        <w:t>တစ်ဦးစီသည်</w:t>
      </w:r>
      <w:r>
        <w:rPr>
          <w:rFonts w:ascii="Times New Roman" w:hAnsi="Times New Roman" w:eastAsia="Times New Roman" w:cs="Times New Roman"/>
        </w:rPr>
        <w:t xml:space="preserve"> </w:t>
      </w:r>
      <w:r>
        <w:rPr>
          <w:rFonts w:ascii="Myanmar Text" w:hAnsi="Myanmar Text" w:eastAsia="Myanmar Text" w:cs="Myanmar Text"/>
        </w:rPr>
        <w:t>မိမိနှင့်</w:t>
      </w:r>
      <w:r>
        <w:rPr>
          <w:rFonts w:ascii="Times New Roman" w:hAnsi="Times New Roman" w:eastAsia="Times New Roman" w:cs="Times New Roman"/>
        </w:rPr>
        <w:t xml:space="preserve"> </w:t>
      </w:r>
      <w:r>
        <w:rPr>
          <w:rFonts w:ascii="Myanmar Text" w:hAnsi="Myanmar Text" w:eastAsia="Myanmar Text" w:cs="Myanmar Text"/>
        </w:rPr>
        <w:t>အနီးဆုံး၍</w:t>
      </w:r>
      <w:r>
        <w:rPr>
          <w:rFonts w:ascii="Times New Roman" w:hAnsi="Times New Roman" w:eastAsia="Times New Roman" w:cs="Times New Roman"/>
        </w:rPr>
        <w:t xml:space="preserve"> </w:t>
      </w:r>
      <w:r>
        <w:rPr>
          <w:rFonts w:ascii="Myanmar Text" w:hAnsi="Myanmar Text" w:eastAsia="Myanmar Text" w:cs="Myanmar Text"/>
        </w:rPr>
        <w:t>မိမိအတွက်</w:t>
      </w:r>
      <w:r>
        <w:rPr>
          <w:rFonts w:ascii="Times New Roman" w:hAnsi="Times New Roman" w:eastAsia="Times New Roman" w:cs="Times New Roman"/>
        </w:rPr>
        <w:t xml:space="preserve"> </w:t>
      </w:r>
      <w:r>
        <w:rPr>
          <w:rFonts w:ascii="Myanmar Text" w:hAnsi="Myanmar Text" w:eastAsia="Myanmar Text" w:cs="Myanmar Text"/>
        </w:rPr>
        <w:t>အဆင်ပြေဆုံး</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အစိတ်အပိုင်းများကို</w:t>
      </w:r>
      <w:r>
        <w:rPr>
          <w:rFonts w:ascii="Times New Roman" w:hAnsi="Times New Roman" w:eastAsia="Times New Roman" w:cs="Times New Roman"/>
        </w:rPr>
        <w:t xml:space="preserve"> </w:t>
      </w:r>
      <w:r>
        <w:rPr>
          <w:rFonts w:ascii="Myanmar Text" w:hAnsi="Myanmar Text" w:eastAsia="Myanmar Text" w:cs="Myanmar Text"/>
        </w:rPr>
        <w:t>ယူရန်</w:t>
      </w:r>
      <w:r>
        <w:rPr>
          <w:rFonts w:ascii="Times New Roman" w:hAnsi="Times New Roman" w:eastAsia="Times New Roman" w:cs="Times New Roman"/>
        </w:rPr>
        <w:t xml:space="preserve"> </w:t>
      </w:r>
      <w:r>
        <w:rPr>
          <w:rFonts w:ascii="Myanmar Text" w:hAnsi="Myanmar Text" w:eastAsia="Myanmar Text" w:cs="Myanmar Text"/>
        </w:rPr>
        <w:t>ရည်ရွယ်ကြသည်။</w:t>
      </w:r>
      <w:r>
        <w:rPr>
          <w:rFonts w:ascii="Times New Roman" w:hAnsi="Times New Roman" w:eastAsia="Times New Roman" w:cs="Times New Roman"/>
        </w:rPr>
        <w:t xml:space="preserve"> </w:t>
      </w:r>
      <w:r>
        <w:rPr>
          <w:rFonts w:ascii="Myanmar Text" w:hAnsi="Myanmar Text" w:eastAsia="Myanmar Text" w:cs="Myanmar Text"/>
        </w:rPr>
        <w:t>ဤတွင်</w:t>
      </w:r>
      <w:r>
        <w:rPr>
          <w:rFonts w:ascii="Times New Roman" w:hAnsi="Times New Roman" w:eastAsia="Times New Roman" w:cs="Times New Roman"/>
        </w:rPr>
        <w:t xml:space="preserve"> </w:t>
      </w:r>
      <w:r>
        <w:rPr>
          <w:rFonts w:ascii="Myanmar Text" w:hAnsi="Myanmar Text" w:eastAsia="Myanmar Text" w:cs="Myanmar Text"/>
        </w:rPr>
        <w:t>တောင်ဘက်၏</w:t>
      </w:r>
      <w:r>
        <w:rPr>
          <w:rFonts w:ascii="Times New Roman" w:hAnsi="Times New Roman" w:eastAsia="Times New Roman" w:cs="Times New Roman"/>
        </w:rPr>
        <w:t xml:space="preserve"> </w:t>
      </w:r>
      <w:r>
        <w:rPr>
          <w:rFonts w:ascii="Myanmar Text" w:hAnsi="Myanmar Text" w:eastAsia="Myanmar Text" w:cs="Myanmar Text"/>
        </w:rPr>
        <w:t>ဘုရင်ကို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ထကြွလာခြင်းတစ်ရပ်</w:t>
      </w:r>
      <w:r>
        <w:rPr>
          <w:rFonts w:ascii="Times New Roman" w:hAnsi="Times New Roman" w:eastAsia="Times New Roman" w:cs="Times New Roman"/>
        </w:rPr>
        <w:t xml:space="preserve"> </w:t>
      </w:r>
      <w:r>
        <w:rPr>
          <w:rFonts w:ascii="Myanmar Text" w:hAnsi="Myanmar Text" w:eastAsia="Myanmar Text" w:cs="Myanmar Text"/>
        </w:rPr>
        <w:t>ရှိခဲ့ပြီး၊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ပြည့်စုံစေရန်</w:t>
      </w:r>
      <w:r>
        <w:rPr>
          <w:rFonts w:ascii="Times New Roman" w:hAnsi="Times New Roman" w:eastAsia="Times New Roman" w:cs="Times New Roman"/>
        </w:rPr>
        <w:t xml:space="preserve"> </w:t>
      </w:r>
      <w:r>
        <w:rPr>
          <w:rFonts w:ascii="Myanmar Text" w:hAnsi="Myanmar Text" w:eastAsia="Myanmar Text" w:cs="Myanmar Text"/>
        </w:rPr>
        <w:t>လုံလောက်သကဲ့သို့၊</w:t>
      </w:r>
      <w:r>
        <w:rPr>
          <w:rFonts w:ascii="Times New Roman" w:hAnsi="Times New Roman" w:eastAsia="Times New Roman" w:cs="Times New Roman"/>
        </w:rPr>
        <w:t xml:space="preserve"> </w:t>
      </w:r>
      <w:r>
        <w:rPr>
          <w:rFonts w:ascii="Myanmar Text" w:hAnsi="Myanmar Text" w:eastAsia="Myanmar Text" w:cs="Myanmar Text"/>
        </w:rPr>
        <w:t>သံသယမရှိဘဲ၊</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ရည်ညွှန်းထားသော</w:t>
      </w:r>
      <w:r>
        <w:rPr>
          <w:rFonts w:ascii="Times New Roman" w:hAnsi="Times New Roman" w:eastAsia="Times New Roman" w:cs="Times New Roman"/>
        </w:rPr>
        <w:t xml:space="preserve"> </w:t>
      </w:r>
      <w:r>
        <w:rPr>
          <w:rFonts w:ascii="Myanmar Text" w:hAnsi="Myanmar Text" w:eastAsia="Myanmar Text" w:cs="Myanmar Text"/>
        </w:rPr>
        <w:t>ဖြစ်ရပ်များ</w:t>
      </w:r>
      <w:r>
        <w:rPr>
          <w:rFonts w:ascii="Times New Roman" w:hAnsi="Times New Roman" w:eastAsia="Times New Roman" w:cs="Times New Roman"/>
        </w:rPr>
        <w:t xml:space="preserve"> </w:t>
      </w:r>
      <w:r>
        <w:rPr>
          <w:rFonts w:ascii="Myanmar Text" w:hAnsi="Myanmar Text" w:eastAsia="Myanmar Text" w:cs="Myanmar Text"/>
        </w:rPr>
        <w:t>အတိအကျပင်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ترمپ با ملت‌های ناتو (سازمان ملل متحد) اتحادی استوار برقرار خواهد کرد تا به روسیه و پیچیدگی‌های حل‌وفصل پیامدهای فروپاشی پوتین بپردازد. در آن زمان، مطابق آیهٔ چهارده و تفسیر اسمیت، «قدرتی جدید معرفی می‌شود.» پاپیّت برای حمایت از روسیه و اقمار آن در برابر اقتدار ناتو و ایالات متحده مداخله خواهد کرد، یا چنان‌که در تفسیر اسمیت آمده است، «روم سخن گفت؛ و سوریه و مقدونیه به‌زودی دریافتند که دگرگونی‌ای در سیمای رؤیای ایشان پدید می‌آید. رومیان از جانب پادشاه جوان مصر مداخله کردند و مصمم بودند که او از تباهی‌ای که انطیوخوس و فیلیپ تدارک دیده بودند محفوظ بماند. این در سال ۲۰۰ پیش از میلاد بود، و یکی از نخستین مداخلات مهم رومیان در امور سوریه و مصر به‌شمار می‌رفت.»</w:t>
      </w:r>
    </w:p>
    <w:p>
      <w:pPr>
        <w:pStyle w:val="ArticleBody"/>
        <w:jc w:val="left"/>
      </w:pPr>
      <w:r>
        <w:rPr>
          <w:rFonts w:ascii="Times New Roman" w:hAnsi="Times New Roman" w:eastAsia="Times New Roman" w:cs="Times New Roman"/>
        </w:rPr>
        <w:t>Roma, Tiroko emagaldua, orduan hasten da bere kantuak abesten eta lurreko erregeekin fornicioa egiten, errege horiek berari obedientzia osoan etorri baino lehenago, bi bertset beranduago baizik ez. Aldi berean, Paniumeko Gudua gertatu zen. K.a. 200. urteak adierazten du Tiroko emagaldua abesten hasten dela, eta hala egiten du Errusia babesteari dagokionez; Errusia, Estatu Batuek eta Nazio Batuek elkarrekiko onurarako banatzea adostu berri dutena. Emagalduak bien gainetik garaitzen du, baina orduan Paniumeko “gudua” gertatzen da, eta Estatu Batuek Nazio Batuen gainetik garaipena lortzen dute.</w:t>
      </w:r>
    </w:p>
    <w:p>
      <w:pPr>
        <w:pStyle w:val="ArticleBody"/>
        <w:jc w:val="left"/>
      </w:pPr>
      <w:r>
        <w:rPr>
          <w:rFonts w:ascii="Times New Roman" w:hAnsi="Times New Roman" w:eastAsia="Times New Roman" w:cs="Times New Roman"/>
        </w:rPr>
        <w:t>Aroennicaa, khochhva-thum-sum kum hnuai hian Modein kalhna in United States ah a tlar chhuak a ni. Aroennicaa, kum thum dang hnuah chuan, Hanukkah-in a entîr angin, “Protestantism” tih leh Constitutional Republic tihte siamtharna a din a ni. Aroennicaa, chumi hnu kum thum dangah chuan, Juda-te leh Rome inkawpna in a entîr hun chu a tan ta a ni.</w:t>
      </w:r>
    </w:p>
    <w:p>
      <w:pPr>
        <w:pStyle w:val="ArticleBody"/>
        <w:jc w:val="left"/>
      </w:pPr>
      <w:r>
        <w:rPr>
          <w:rFonts w:ascii="Times New Roman" w:hAnsi="Times New Roman" w:eastAsia="Times New Roman" w:cs="Times New Roman"/>
        </w:rPr>
        <w:t>Хьулчийнь кхетиран кхетамаш хьала йоьлур ю, тӀаккха ширачу къамелийн тӀехь кхузза дийна шо долчу стихашкахь гойтуш долу тарих бу пророчествос махсусо билгалдаьккхина, 1989 шеран чаккхенан хенахь юьххьанца долалу, тӀаккха 2014 шеран стихийн оннекъе а шиъббешан чу долчу шолгӀачу тӀомца даьккхина, тӀаккха 2015 шоца даьлла, цу хенахь Trump президентал кандидатан лакхара анонс дина, цул совгӀа глобализм ласторан и пророчески болх доладелира. Trump граждански тӀом, хӀинца а йолу, даржорца дийцар болх доладуьйцушехь, цо United Nations-ца (NATO—Philip of Macedon) цхьаьнахьаллица орца гӀерта, тӀаккха Rome йиш йоьлур ю. Цу гӀертаьхьаллица цу ши низаман хьалхараллахь йоьлчу даржоллин гӀуллакха хувцало, цуьнан гойтуш долу Panium Battle-о.</w:t>
      </w:r>
    </w:p>
    <w:p>
      <w:pPr>
        <w:pStyle w:val="ArticleBody"/>
        <w:jc w:val="left"/>
      </w:pP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பானியம்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பதின்மூன்றாம்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w:t>
      </w:r>
      <w:r>
        <w:rPr>
          <w:rFonts w:ascii="Nirmala UI" w:hAnsi="Nirmala UI" w:eastAsia="Nirmala UI" w:cs="Nirmala UI"/>
        </w:rPr>
        <w:t>வழிக்குறியாகும்</w:t>
      </w:r>
      <w:r>
        <w:rPr>
          <w:rFonts w:ascii="Times New Roman" w:hAnsi="Times New Roman" w:eastAsia="Times New Roman" w:cs="Times New Roman"/>
        </w:rPr>
        <w:t xml:space="preserve">; </w:t>
      </w:r>
      <w:r>
        <w:rPr>
          <w:rFonts w:ascii="Nirmala UI" w:hAnsi="Nirmala UI" w:eastAsia="Nirmala UI" w:cs="Nirmala UI"/>
        </w:rPr>
        <w:t>அங்கேயே</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சட்டத்துக்கு</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நிகழும்</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அதிவேக</w:t>
      </w:r>
      <w:r>
        <w:rPr>
          <w:rFonts w:ascii="Times New Roman" w:hAnsi="Times New Roman" w:eastAsia="Times New Roman" w:cs="Times New Roman"/>
        </w:rPr>
        <w:t xml:space="preserve"> </w:t>
      </w:r>
      <w:r>
        <w:rPr>
          <w:rFonts w:ascii="Nirmala UI" w:hAnsi="Nirmala UI" w:eastAsia="Nirmala UI" w:cs="Nirmala UI"/>
        </w:rPr>
        <w:t>இயக்கங்கள்</w:t>
      </w:r>
      <w:r>
        <w:rPr>
          <w:rFonts w:ascii="Times New Roman" w:hAnsi="Times New Roman" w:eastAsia="Times New Roman" w:cs="Times New Roman"/>
        </w:rPr>
        <w:t xml:space="preserve"> </w:t>
      </w:r>
      <w:r>
        <w:rPr>
          <w:rFonts w:ascii="Nirmala UI" w:hAnsi="Nirmala UI" w:eastAsia="Nirmala UI" w:cs="Nirmala UI"/>
        </w:rPr>
        <w:t>ஆரம்பமாகின்றன</w:t>
      </w:r>
      <w:r>
        <w:rPr>
          <w:rFonts w:ascii="Times New Roman" w:hAnsi="Times New Roman" w:eastAsia="Times New Roman" w:cs="Times New Roman"/>
        </w:rPr>
        <w:t xml:space="preserve">. </w:t>
      </w:r>
      <w:r>
        <w:rPr>
          <w:rFonts w:ascii="Nirmala UI" w:hAnsi="Nirmala UI" w:eastAsia="Nirmala UI" w:cs="Nirmala UI"/>
        </w:rPr>
        <w:t>சகல</w:t>
      </w:r>
      <w:r>
        <w:rPr>
          <w:rFonts w:ascii="Times New Roman" w:hAnsi="Times New Roman" w:eastAsia="Times New Roman" w:cs="Times New Roman"/>
        </w:rPr>
        <w:t xml:space="preserve"> </w:t>
      </w:r>
      <w:r>
        <w:rPr>
          <w:rFonts w:ascii="Nirmala UI" w:hAnsi="Nirmala UI" w:eastAsia="Nirmala UI" w:cs="Nirmala UI"/>
        </w:rPr>
        <w:t>தீர்க்கதரிசிகளும்</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வாழ்ந்த</w:t>
      </w:r>
      <w:r>
        <w:rPr>
          <w:rFonts w:ascii="Times New Roman" w:hAnsi="Times New Roman" w:eastAsia="Times New Roman" w:cs="Times New Roman"/>
        </w:rPr>
        <w:t xml:space="preserve"> </w:t>
      </w:r>
      <w:r>
        <w:rPr>
          <w:rFonts w:ascii="Nirmala UI" w:hAnsi="Nirmala UI" w:eastAsia="Nirmala UI" w:cs="Nirmala UI"/>
        </w:rPr>
        <w:t>காலத்தைப்பற்றிலும்</w:t>
      </w:r>
      <w:r>
        <w:rPr>
          <w:rFonts w:ascii="Times New Roman" w:hAnsi="Times New Roman" w:eastAsia="Times New Roman" w:cs="Times New Roman"/>
        </w:rPr>
        <w:t xml:space="preserve"> </w:t>
      </w:r>
      <w:r>
        <w:rPr>
          <w:rFonts w:ascii="Nirmala UI" w:hAnsi="Nirmala UI" w:eastAsia="Nirmala UI" w:cs="Nirmala UI"/>
        </w:rPr>
        <w:t>அதிகமாக</w:t>
      </w:r>
      <w:r>
        <w:rPr>
          <w:rFonts w:ascii="Times New Roman" w:hAnsi="Times New Roman" w:eastAsia="Times New Roman" w:cs="Times New Roman"/>
        </w:rPr>
        <w:t xml:space="preserve"> </w:t>
      </w:r>
      <w:r>
        <w:rPr>
          <w:rFonts w:ascii="Nirmala UI" w:hAnsi="Nirmala UI" w:eastAsia="Nirmala UI" w:cs="Nirmala UI"/>
        </w:rPr>
        <w:t>உலகத்தின்</w:t>
      </w:r>
      <w:r>
        <w:rPr>
          <w:rFonts w:ascii="Times New Roman" w:hAnsi="Times New Roman" w:eastAsia="Times New Roman" w:cs="Times New Roman"/>
        </w:rPr>
        <w:t xml:space="preserve"> </w:t>
      </w:r>
      <w:r>
        <w:rPr>
          <w:rFonts w:ascii="Nirmala UI" w:hAnsi="Nirmala UI" w:eastAsia="Nirmala UI" w:cs="Nirmala UI"/>
        </w:rPr>
        <w:t>முடிவைப்பற்றியே</w:t>
      </w:r>
      <w:r>
        <w:rPr>
          <w:rFonts w:ascii="Times New Roman" w:hAnsi="Times New Roman" w:eastAsia="Times New Roman" w:cs="Times New Roman"/>
        </w:rPr>
        <w:t xml:space="preserve"> </w:t>
      </w:r>
      <w:r>
        <w:rPr>
          <w:rFonts w:ascii="Nirmala UI" w:hAnsi="Nirmala UI" w:eastAsia="Nirmala UI" w:cs="Nirmala UI"/>
        </w:rPr>
        <w:t>உரைத்தார்கள்</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நிச்சயமாக</w:t>
      </w:r>
      <w:r>
        <w:rPr>
          <w:rFonts w:ascii="Times New Roman" w:hAnsi="Times New Roman" w:eastAsia="Times New Roman" w:cs="Times New Roman"/>
        </w:rPr>
        <w:t xml:space="preserve">, </w:t>
      </w:r>
      <w:r>
        <w:rPr>
          <w:rFonts w:ascii="Nirmala UI" w:hAnsi="Nirmala UI" w:eastAsia="Nirmala UI" w:cs="Nirmala UI"/>
        </w:rPr>
        <w:t>எல்லாத்</w:t>
      </w:r>
      <w:r>
        <w:rPr>
          <w:rFonts w:ascii="Times New Roman" w:hAnsi="Times New Roman" w:eastAsia="Times New Roman" w:cs="Times New Roman"/>
        </w:rPr>
        <w:t xml:space="preserve"> </w:t>
      </w:r>
      <w:r>
        <w:rPr>
          <w:rFonts w:ascii="Nirmala UI" w:hAnsi="Nirmala UI" w:eastAsia="Nirmala UI" w:cs="Nirmala UI"/>
        </w:rPr>
        <w:t>தீர்க்கதரிசிகளிலும்</w:t>
      </w:r>
      <w:r>
        <w:rPr>
          <w:rFonts w:ascii="Times New Roman" w:hAnsi="Times New Roman" w:eastAsia="Times New Roman" w:cs="Times New Roman"/>
        </w:rPr>
        <w:t xml:space="preserve"> </w:t>
      </w:r>
      <w:r>
        <w:rPr>
          <w:rFonts w:ascii="Nirmala UI" w:hAnsi="Nirmala UI" w:eastAsia="Nirmala UI" w:cs="Nirmala UI"/>
        </w:rPr>
        <w:t>மிகப்</w:t>
      </w:r>
      <w:r>
        <w:rPr>
          <w:rFonts w:ascii="Times New Roman" w:hAnsi="Times New Roman" w:eastAsia="Times New Roman" w:cs="Times New Roman"/>
        </w:rPr>
        <w:t xml:space="preserve"> </w:t>
      </w:r>
      <w:r>
        <w:rPr>
          <w:rFonts w:ascii="Nirmala UI" w:hAnsi="Nirmala UI" w:eastAsia="Nirmala UI" w:cs="Nirmala UI"/>
        </w:rPr>
        <w:t>பெரியவர்</w:t>
      </w:r>
      <w:r>
        <w:rPr>
          <w:rFonts w:ascii="Times New Roman" w:hAnsi="Times New Roman" w:eastAsia="Times New Roman" w:cs="Times New Roman"/>
        </w:rPr>
        <w:t xml:space="preserve">. </w:t>
      </w:r>
      <w:r>
        <w:rPr>
          <w:rFonts w:ascii="Nirmala UI" w:hAnsi="Nirmala UI" w:eastAsia="Nirmala UI" w:cs="Nirmala UI"/>
        </w:rPr>
        <w:t>பதினாறாம்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பிரதிநிதித்துவப்படுத்தப்படும்</w:t>
      </w:r>
      <w:r>
        <w:rPr>
          <w:rFonts w:ascii="Times New Roman" w:hAnsi="Times New Roman" w:eastAsia="Times New Roman" w:cs="Times New Roman"/>
        </w:rPr>
        <w:t xml:space="preserve"> </w:t>
      </w:r>
      <w:r>
        <w:rPr>
          <w:rFonts w:ascii="Nirmala UI" w:hAnsi="Nirmala UI" w:eastAsia="Nirmala UI" w:cs="Nirmala UI"/>
        </w:rPr>
        <w:t>சிலுவைக்கு</w:t>
      </w:r>
      <w:r>
        <w:rPr>
          <w:rFonts w:ascii="Times New Roman" w:hAnsi="Times New Roman" w:eastAsia="Times New Roman" w:cs="Times New Roman"/>
        </w:rPr>
        <w:t xml:space="preserve"> </w:t>
      </w:r>
      <w:r>
        <w:rPr>
          <w:rFonts w:ascii="Nirmala UI" w:hAnsi="Nirmala UI" w:eastAsia="Nirmala UI" w:cs="Nirmala UI"/>
        </w:rPr>
        <w:t>முன்பாகவே</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சட்டத்துக்கு</w:t>
      </w:r>
      <w:r>
        <w:rPr>
          <w:rFonts w:ascii="Times New Roman" w:hAnsi="Times New Roman" w:eastAsia="Times New Roman" w:cs="Times New Roman"/>
        </w:rPr>
        <w:t xml:space="preserve"> </w:t>
      </w:r>
      <w:r>
        <w:rPr>
          <w:rFonts w:ascii="Nirmala UI" w:hAnsi="Nirmala UI" w:eastAsia="Nirmala UI" w:cs="Nirmala UI"/>
        </w:rPr>
        <w:t>முன்மாதிரியாக</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சீஷர்களுடன்</w:t>
      </w:r>
      <w:r>
        <w:rPr>
          <w:rFonts w:ascii="Times New Roman" w:hAnsi="Times New Roman" w:eastAsia="Times New Roman" w:cs="Times New Roman"/>
        </w:rPr>
        <w:t xml:space="preserve"> </w:t>
      </w:r>
      <w:r>
        <w:rPr>
          <w:rFonts w:ascii="Nirmala UI" w:hAnsi="Nirmala UI" w:eastAsia="Nirmala UI" w:cs="Nirmala UI"/>
        </w:rPr>
        <w:t>பானியத்திற்குப்</w:t>
      </w:r>
      <w:r>
        <w:rPr>
          <w:rFonts w:ascii="Times New Roman" w:hAnsi="Times New Roman" w:eastAsia="Times New Roman" w:cs="Times New Roman"/>
        </w:rPr>
        <w:t xml:space="preserve"> </w:t>
      </w:r>
      <w:r>
        <w:rPr>
          <w:rFonts w:ascii="Nirmala UI" w:hAnsi="Nirmala UI" w:eastAsia="Nirmala UI" w:cs="Nirmala UI"/>
        </w:rPr>
        <w:t>பயணம்</w:t>
      </w:r>
      <w:r>
        <w:rPr>
          <w:rFonts w:ascii="Times New Roman" w:hAnsi="Times New Roman" w:eastAsia="Times New Roman" w:cs="Times New Roman"/>
        </w:rPr>
        <w:t xml:space="preserve"> </w:t>
      </w:r>
      <w:r>
        <w:rPr>
          <w:rFonts w:ascii="Nirmala UI" w:hAnsi="Nirmala UI" w:eastAsia="Nirmala UI" w:cs="Nirmala UI"/>
        </w:rPr>
        <w:t>செய்தார்</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கழித்த</w:t>
      </w:r>
      <w:r>
        <w:rPr>
          <w:rFonts w:ascii="Times New Roman" w:hAnsi="Times New Roman" w:eastAsia="Times New Roman" w:cs="Times New Roman"/>
        </w:rPr>
        <w:t xml:space="preserve"> </w:t>
      </w:r>
      <w:r>
        <w:rPr>
          <w:rFonts w:ascii="Nirmala UI" w:hAnsi="Nirmala UI" w:eastAsia="Nirmala UI" w:cs="Nirmala UI"/>
        </w:rPr>
        <w:t>காலமும்</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முன்வைத்த</w:t>
      </w:r>
      <w:r>
        <w:rPr>
          <w:rFonts w:ascii="Times New Roman" w:hAnsi="Times New Roman" w:eastAsia="Times New Roman" w:cs="Times New Roman"/>
        </w:rPr>
        <w:t xml:space="preserve"> </w:t>
      </w:r>
      <w:r>
        <w:rPr>
          <w:rFonts w:ascii="Nirmala UI" w:hAnsi="Nirmala UI" w:eastAsia="Nirmala UI" w:cs="Nirmala UI"/>
        </w:rPr>
        <w:t>பாடங்களும்</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பானியப்</w:t>
      </w:r>
      <w:r>
        <w:rPr>
          <w:rFonts w:ascii="Times New Roman" w:hAnsi="Times New Roman" w:eastAsia="Times New Roman" w:cs="Times New Roman"/>
        </w:rPr>
        <w:t xml:space="preserve"> </w:t>
      </w:r>
      <w:r>
        <w:rPr>
          <w:rFonts w:ascii="Nirmala UI" w:hAnsi="Nirmala UI" w:eastAsia="Nirmala UI" w:cs="Nirmala UI"/>
        </w:rPr>
        <w:t>போருடன்</w:t>
      </w:r>
      <w:r>
        <w:rPr>
          <w:rFonts w:ascii="Times New Roman" w:hAnsi="Times New Roman" w:eastAsia="Times New Roman" w:cs="Times New Roman"/>
        </w:rPr>
        <w:t xml:space="preserve"> </w:t>
      </w:r>
      <w:r>
        <w:rPr>
          <w:rFonts w:ascii="Nirmala UI" w:hAnsi="Nirmala UI" w:eastAsia="Nirmala UI" w:cs="Nirmala UI"/>
        </w:rPr>
        <w:t>ஒத்திருக்கும்</w:t>
      </w:r>
      <w:r>
        <w:rPr>
          <w:rFonts w:ascii="Times New Roman" w:hAnsi="Times New Roman" w:eastAsia="Times New Roman" w:cs="Times New Roman"/>
        </w:rPr>
        <w:t xml:space="preserve">. </w:t>
      </w:r>
      <w:r>
        <w:rPr>
          <w:rFonts w:ascii="Nirmala UI" w:hAnsi="Nirmala UI" w:eastAsia="Nirmala UI" w:cs="Nirmala UI"/>
        </w:rPr>
        <w:t>வரலாற்றின்</w:t>
      </w:r>
      <w:r>
        <w:rPr>
          <w:rFonts w:ascii="Times New Roman" w:hAnsi="Times New Roman" w:eastAsia="Times New Roman" w:cs="Times New Roman"/>
        </w:rPr>
        <w:t xml:space="preserve"> </w:t>
      </w:r>
      <w:r>
        <w:rPr>
          <w:rFonts w:ascii="Nirmala UI" w:hAnsi="Nirmala UI" w:eastAsia="Nirmala UI" w:cs="Nirmala UI"/>
        </w:rPr>
        <w:t>முழுவதும்</w:t>
      </w:r>
      <w:r>
        <w:rPr>
          <w:rFonts w:ascii="Times New Roman" w:hAnsi="Times New Roman" w:eastAsia="Times New Roman" w:cs="Times New Roman"/>
        </w:rPr>
        <w:t xml:space="preserve"> </w:t>
      </w:r>
      <w:r>
        <w:rPr>
          <w:rFonts w:ascii="Nirmala UI" w:hAnsi="Nirmala UI" w:eastAsia="Nirmala UI" w:cs="Nirmala UI"/>
        </w:rPr>
        <w:t>பானியத்திற்கு</w:t>
      </w:r>
      <w:r>
        <w:rPr>
          <w:rFonts w:ascii="Times New Roman" w:hAnsi="Times New Roman" w:eastAsia="Times New Roman" w:cs="Times New Roman"/>
        </w:rPr>
        <w:t xml:space="preserve"> </w:t>
      </w:r>
      <w:r>
        <w:rPr>
          <w:rFonts w:ascii="Nirmala UI" w:hAnsi="Nirmala UI" w:eastAsia="Nirmala UI" w:cs="Nirmala UI"/>
        </w:rPr>
        <w:t>பல</w:t>
      </w:r>
      <w:r>
        <w:rPr>
          <w:rFonts w:ascii="Times New Roman" w:hAnsi="Times New Roman" w:eastAsia="Times New Roman" w:cs="Times New Roman"/>
        </w:rPr>
        <w:t xml:space="preserve"> </w:t>
      </w:r>
      <w:r>
        <w:rPr>
          <w:rFonts w:ascii="Nirmala UI" w:hAnsi="Nirmala UI" w:eastAsia="Nirmala UI" w:cs="Nirmala UI"/>
        </w:rPr>
        <w:t>பெயர்கள்</w:t>
      </w:r>
      <w:r>
        <w:rPr>
          <w:rFonts w:ascii="Times New Roman" w:hAnsi="Times New Roman" w:eastAsia="Times New Roman" w:cs="Times New Roman"/>
        </w:rPr>
        <w:t xml:space="preserve"> </w:t>
      </w:r>
      <w:r>
        <w:rPr>
          <w:rFonts w:ascii="Nirmala UI" w:hAnsi="Nirmala UI" w:eastAsia="Nirmala UI" w:cs="Nirmala UI"/>
        </w:rPr>
        <w:t>இருந்துள்ளன</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பானியத்திற்கு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பெயர்</w:t>
      </w:r>
      <w:r>
        <w:rPr>
          <w:rFonts w:ascii="Times New Roman" w:hAnsi="Times New Roman" w:eastAsia="Times New Roman" w:cs="Times New Roman"/>
        </w:rPr>
        <w:t xml:space="preserve"> </w:t>
      </w:r>
      <w:r>
        <w:rPr>
          <w:rFonts w:ascii="Nirmala UI" w:hAnsi="Nirmala UI" w:eastAsia="Nirmala UI" w:cs="Nirmala UI"/>
        </w:rPr>
        <w:t>கெய்சரியா</w:t>
      </w:r>
      <w:r>
        <w:rPr>
          <w:rFonts w:ascii="Times New Roman" w:hAnsi="Times New Roman" w:eastAsia="Times New Roman" w:cs="Times New Roman"/>
        </w:rPr>
        <w:t xml:space="preserve"> </w:t>
      </w:r>
      <w:r>
        <w:rPr>
          <w:rFonts w:ascii="Nirmala UI" w:hAnsi="Nirmala UI" w:eastAsia="Nirmala UI" w:cs="Nirmala UI"/>
        </w:rPr>
        <w:t>பிலிப்பி</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«Иса менен Анын шакирттери эми Кесария Филипинин айланасындагы шаарлардын бирине келишти. Алар Галилеянын чегинен сыртта, бутпарастык үстөмдүк кылган аймакта болушчу. Бул жерде шакирттер иудаизмдин көзөмөлдөөчү таасиринен обочолонтулуп, бутпарас сыйынуу менен жакыныраак байланышта болушту. Алардын айланасында дүйнөнүн бардык жерлеринде кездешкен ырым-жырымдардын түрлөрү көрүнүп турду. Иса бул көрүнүштөр аларды бутпарастар алдындагы өз жоопкерчилигин сезүүгө алып келсин деп каалады. Ал бул аймакта жүргөн мезгилде, элге окутуудан оолак болууга аракет кылып, Өзүн көбүрөөк шакирттерине арнады.»</w:t>
      </w:r>
    </w:p>
    <w:p>
      <w:pPr>
        <w:pStyle w:val="ArticleScripture"/>
        <w:jc w:val="left"/>
      </w:pPr>
      <w:r>
        <w:rPr>
          <w:rFonts w:ascii="Times New Roman" w:hAnsi="Times New Roman" w:eastAsia="Times New Roman" w:cs="Times New Roman"/>
        </w:rPr>
        <w:t>«Він мав намір сповістити їм про страждання, що чекали на Нього. Але спершу Він відійшов на самоту й молився, щоб їхні серця були приготовлені прийняти Його слова. Повернувшись до них, Він не відразу повідомив те, що бажав відкрити. Перш ніж зробити це, Він дав їм нагоду визнати свою віру в Нього, щоб вони могли зміцнитися перед прийдешнім випробуванням. Він запитав: “За кого люди мають Мене, Сина Людського?”»</w:t>
      </w:r>
    </w:p>
    <w:p>
      <w:pPr>
        <w:pStyle w:val="ArticleScripture"/>
        <w:jc w:val="left"/>
      </w:pPr>
      <w:r>
        <w:rPr>
          <w:rFonts w:ascii="Times New Roman" w:hAnsi="Times New Roman" w:eastAsia="Times New Roman" w:cs="Times New Roman"/>
        </w:rPr>
        <w:t>“Сабабкаш, шогирдон маҷбур шуданд эътироф кунанд, ки Исроил Масеҳи худро нашинохтааст. Баъзеҳо, дар ҳақиқат, вақте ки мӯъҷизаҳои Ӯро диданд, Ӯро Писари Довуд эълон карда буданд. Издиҳоме, ки дар Байт-Сайдо сер карда шуда буданд, мехостанд Ӯро подшоҳи Исроил эълон намоянд. Бисёриҳо омода буданд Ӯро ҳамчун пайғамбар бипазиранд; аммо бовар намекарданд, ки Ӯ Масеҳ аст.</w:t>
      </w:r>
    </w:p>
    <w:p>
      <w:pPr>
        <w:pStyle w:val="ArticleScripture"/>
        <w:jc w:val="left"/>
      </w:pPr>
      <w:r>
        <w:rPr>
          <w:rFonts w:ascii="Times New Roman" w:hAnsi="Times New Roman" w:eastAsia="Times New Roman" w:cs="Times New Roman"/>
        </w:rPr>
        <w:t>“يسوع حِينَا أپيشَاك سُوالِ دُوّمَي، كِه مُتَعَلِّق بِخودِ شاغِردَان بُو: ‘أما شُمَا، مَرا كِه مِيگويِيد كِه هَستَم؟’ پطرُس جَواب دَاد: ‘تُو مَسِيح، پِسرِ خُدَايِ زِنده هَستِي.’”</w:t>
      </w:r>
    </w:p>
    <w:p>
      <w:pPr>
        <w:pStyle w:val="ArticleScripture"/>
        <w:jc w:val="left"/>
      </w:pPr>
      <w:r>
        <w:rPr>
          <w:rFonts w:ascii="Times New Roman" w:hAnsi="Times New Roman" w:eastAsia="Times New Roman" w:cs="Times New Roman"/>
        </w:rPr>
        <w:t>«Азда, Петр Иисус Христосты Мәсих деп ишенген эди. Иоанн Чөмүлдүрүвчиниң ваъз этүви иле өзлерини гүнаһлы экенликке инандырылғъан ве Христосны къабул эткен башкъаларныӊ чоғы, Иоанн тутулып өлтүрильген соӊ, оныӊ хызмети акъкъында шекке тюше башлап; энди исе, узун заман бойы къарап беклегенлери Мәсих Иисусмы экен деп шеклене эдилер. Иисусны Давудныӊ тахтына олтырыр деп янъгынлыкънен къарап беклеген шәкертлерниӊ чоғы, Оныӊ бундай ниети ёкъ экенини анълағанда, Оны ташлап кеттилер. Амма Петр ве оныӊ ёлдашлары озлериниӊ садакъатындан вазкечмедилер. Кече макътап, бугюн исе махкюм эткенлерниӊ терк курсети, Къуткъарыджыныӊ акъкъый тарафдарыныӊ иманыны йыкъмады. Петр: “Сен Христоссыӊ, тири Алланыӊ Огълысыӊ”, — деп илян этти. О, падиша шан-шерефлери Раббисини таҗландырмасыны беклемеди, бәлки Оны Оныӊ хору кёрюнгени алында къабул этти.»</w:t>
      </w:r>
    </w:p>
    <w:p>
      <w:pPr>
        <w:pStyle w:val="ArticleScripture"/>
        <w:jc w:val="left"/>
      </w:pPr>
      <w:r>
        <w:rPr>
          <w:rFonts w:ascii="Times New Roman" w:hAnsi="Times New Roman" w:eastAsia="Times New Roman" w:cs="Times New Roman"/>
        </w:rPr>
        <w:t>“Պետրոսը արտահայտել էր տասներկուսի հավատը։ Սակայն աշակերտները դեռևս շատ հեռու էին Քրիստոսի առաքելությունը հասկանալուց։ Քահանաների և իշխանավորների հակառակությունն ու խեղաթյուրումը, թեև չէին կարող նրանց շեղել Քրիստոսից, այնուամենայնիվ նրանց մեծ շփոթության մեջ էին գցում։ Նրանք իրենց ճանապարհը հստակ չէին տեսնում։ Նրանց վաղ կրթության ազդեցությունը, ռաբբիների ուսուցումը, ավանդության զորությունը դեռևս խոչընդոտում էին ճշմարտության նրանց տեսողությանը։ Ժամանակ առ ժամանակ Հիսուսից բխող լույսի թանկագին շողերը փայլում էին նրանց վրա, սակայն հաճախ նրանք նման էին ստվերների մեջ շոշափելով քայլող մարդկանց։ Բայց այդ օրը, նախքան նրանք դեմառդեմ կանգնեին իրենց հավատի մեծ փորձությանը, Սուրբ Հոգին զորությամբ հանգչեց նրանց վրա։ Կարճ ժամանակով նրանց աչքերը շեղվեցին «տեսանելիներից», որպեսզի տեսնեն «անտեսանելիները»։ 2 Կորնթացիներ 4:18։ Մարդկային կերպարի քողի ներքո նրանք զանազանեցին Աստծո Որդու փառքը։”</w:t>
      </w:r>
    </w:p>
    <w:p>
      <w:pPr>
        <w:pStyle w:val="ArticleScripture"/>
        <w:jc w:val="left"/>
      </w:pPr>
      <w:r>
        <w:rPr>
          <w:rFonts w:ascii="Times New Roman" w:hAnsi="Times New Roman" w:eastAsia="Times New Roman" w:cs="Times New Roman"/>
        </w:rPr>
        <w:t>عیسیٰ نے پطرس کو جواب دیتے ہوئے فرمایا، ”مبارک ہے تُو، اے شمعون بن یونا، کیونکہ یہ بات تجھ پر نہ گوشت اور خون نے ظاہر کی ہے، بلکہ میرے باپ نے جو آسمان پر ہے۔“</w:t>
      </w:r>
    </w:p>
    <w:p>
      <w:pPr>
        <w:pStyle w:val="ArticleScripture"/>
        <w:jc w:val="left"/>
      </w:pPr>
      <w:r>
        <w:rPr>
          <w:rFonts w:ascii="Times New Roman" w:hAnsi="Times New Roman" w:eastAsia="Times New Roman" w:cs="Times New Roman"/>
        </w:rPr>
        <w:t>«Ҳақиқатеро, ки Петрус иқрор карда буд, бунёди имони имондор аст. Он ҳамон чизест, ки худи Масеҳ онро ҳаёти ҷовидонӣ эълон намудааст. Аммо соҳиб будан ба ин дониш барои худситоӣ ҳеҷ асосе набуд. Ин ба Петрус на бо ҳикмат ё некии худаш ошкор гардида буд. Ҳаргиз инсоният худ аз худ наметавонад ба шинохти илоҳӣ бирасад. «Он аз осмон баландтар аст; ту чӣ карда метавонӣ? Аз дӯзах амиқтар аст; ту чӣ дониста метавонӣ?» Айюб 11:8. Фақат рӯҳи фарзандхонӣ метавонад чизҳои амиқи Худоро бар мо ошкор созад, ки онҳоро «на чашм дидааст, на гӯш шунидааст, ва на ба дили инсон даромадааст». «Лекин Худо онҳоро ба мо ба воситаи Рӯҳи Худ ошкор кардааст, зеро Рӯҳ ҳама чизро, ҳатто умқҳои Худоро, таҳқиқ мекунад.» 1 Қӯринтиён 2:9, 10. «Сирри Худованд бо касонест, ки аз Ӯ метарсанд;» ва он ки Петрус ҷалоли Масеҳро дарк кард, далели он буд, ки вай «аз ҷониби Худо таълим ёфта буд». Забур 25:14; Юҳанно 6:45. Оре, ба ростӣ, «Хушо ту, эй Шимъӯн писари Юнус; зеро гӯшт ва хун инро ба ту ошкор накардааст».</w:t>
      </w:r>
    </w:p>
    <w:p>
      <w:pPr>
        <w:pStyle w:val="ArticleScripture"/>
        <w:jc w:val="left"/>
      </w:pPr>
      <w:r>
        <w:rPr>
          <w:rFonts w:ascii="Times New Roman" w:hAnsi="Times New Roman" w:eastAsia="Times New Roman" w:cs="Times New Roman"/>
        </w:rPr>
        <w:t>عیسی ادامه داد: «و من نیز به تو می‌گویم که تو پطرس هستی، و بر این صخره کلیسای خود را بنا خواهم کرد؛ و دروازه‌های جهنم بر آن استیلا نخواهد یافت.» واژهٔ پطرس به معنای سنگ است،—سنگی غلتان. پطرس آن صخره‌ای نبود که کلیسا بر آن بنیاد نهاده شده باشد. آنگاه که او با لعن و سوگند، خداوند خویش را انکار کرد، دروازه‌های جهنم بر او استیلا یافتند. کلیسا بر آن یگانه‌ای بنا شده بود که دروازه‌های جهنم نمی‌توانستند بر او استیلا یابند.</w:t>
      </w:r>
    </w:p>
    <w:p>
      <w:pPr>
        <w:pStyle w:val="ArticleScripture"/>
        <w:jc w:val="left"/>
      </w:pPr>
      <w:r>
        <w:rPr>
          <w:rFonts w:ascii="Times New Roman" w:hAnsi="Times New Roman" w:eastAsia="Times New Roman" w:cs="Times New Roman"/>
        </w:rPr>
        <w:t>“Qutqarıwshınıń keliwinen ǵasırlar aldın Músa İsraildiń qutqarılıwınıń Qayasına isharat etken edi. Zaburshı: ‘menim kúshimniń Qayası’ dep jırladı. İşaya mınaýdı jazǵan edi: ‘Sonday dep aytadı Ie Rabbı: Mine, Men Sionda negiz úshin bir tas, sınalǵan tas, qımbat baha búriş tasın, mıqtı negizdi qoyamın.’ Deuteronomy 32:4; Psalm 62:7; Isaiah 28:16. Petrdiń ózi de, ilham arqalı jazıp, bul payǵambarlıqtı Isoge qollanadı. Ol aytadı: ‘Eger sender Rabbınıń mehirimli ekenin tatıp kórgen bolsańlar: adamdar shını menen teris qaqqan, biraq Quday aldında tańdalǵan, qımbatlı tirı tasqa kelińler; sender de tirı tastar sıyaqlı ruhani úy bolıp qurılasızdar.’ 1 Peter 2:3–5, R. V.”</w:t>
      </w:r>
    </w:p>
    <w:p>
      <w:pPr>
        <w:pStyle w:val="ArticleScripture"/>
        <w:jc w:val="left"/>
      </w:pPr>
      <w:r>
        <w:rPr>
          <w:rFonts w:ascii="Times New Roman" w:hAnsi="Times New Roman" w:eastAsia="Times New Roman" w:cs="Times New Roman"/>
        </w:rPr>
        <w:t>«Չկա ուրիշ հիմք, որ որևէ մեկը կարողանա դնել, բացի այն հիմքից, որ դրված է, այսինքն՝ Հիսուս Քրիստոսից»։ 1 Կորնթացիներ 3:11։ «Այս վեմի վրա,— ասաց Հիսուսը,— Ես պիտի շինեմ Իմ եկեղեցին»։ Աստծո և բոլոր երկնային բանական էակների ներկայությամբ, դժոխքի անտեսանելի զորքի ներկայությամբ, Քրիստոսը Իր եկեղեցին հիմնադրեց կենդանի Վեմի վրա։ Այդ Վեմն Ինքն է,— Իր իսկ մարմինը, որ մեզ համար կոտրվեց և խոցվեց։ Այս հիմքի վրա շինված եկեղեցու դեմ դժոխքի դռները չեն հաղթի։</w:t>
      </w:r>
    </w:p>
    <w:p>
      <w:pPr>
        <w:pStyle w:val="ArticleScripture"/>
        <w:jc w:val="left"/>
      </w:pPr>
      <w:r>
        <w:rPr>
          <w:rFonts w:ascii="Times New Roman" w:hAnsi="Times New Roman" w:eastAsia="Times New Roman" w:cs="Times New Roman"/>
        </w:rPr>
        <w:t>«Масеҳиһос ма ари льыкьанар анцəа ҳәан, ауахәама шаҟа ныхшьаны илбон! Иманхәызцәа мҩахыҵк заҵәык ракәын, рыҽахьдыргәеиҭоз аџьнышцәа зегьы рылшарақәа ҳәмызгьы, ауаацәгьақәа рылшарақәа зегьы ҳәмызгьы; аха Масеҳиҳ иашьцәа ршәаны аҟазаара рымаӡам. Рыргәыӷра Иҟаҵаау рҳаскьа ианууп азы, урҭ рықәгара ауамызт.»</w:t>
      </w:r>
    </w:p>
    <w:p>
      <w:pPr>
        <w:pStyle w:val="ArticleScripture"/>
        <w:jc w:val="left"/>
      </w:pPr>
      <w:r>
        <w:rPr>
          <w:rFonts w:ascii="Times New Roman" w:hAnsi="Times New Roman" w:eastAsia="Times New Roman" w:cs="Times New Roman"/>
        </w:rPr>
        <w:t>“Aya wanar waranqa watakunata, iyñiqa Cristopa patanpi sayarqan. Aya wanar waranqa watakunata, supaypa phiñakuyninmanta unu lloqsiykuna hinaspa wayra chukchukykuna qespichiqniqchispa Rumi patapi maqaykurqan; ichaqa payqa mana kuyurinchu.</w:t>
      </w:r>
    </w:p>
    <w:p>
      <w:pPr>
        <w:pStyle w:val="ArticleScripture"/>
        <w:jc w:val="left"/>
      </w:pPr>
      <w:r>
        <w:rPr>
          <w:rFonts w:ascii="Times New Roman" w:hAnsi="Times New Roman" w:eastAsia="Times New Roman" w:cs="Times New Roman"/>
        </w:rPr>
        <w:t>«Пётр изрази истината, която е основата на вярата на църквата, и сега Исус го удостои като представител на цялото тяло на вярващите. Той каза: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w:t>
      </w:r>
    </w:p>
    <w:p>
      <w:pPr>
        <w:pStyle w:val="ArticleScripture"/>
        <w:jc w:val="left"/>
      </w:pPr>
      <w:r>
        <w:rPr>
          <w:rFonts w:ascii="Times New Roman" w:hAnsi="Times New Roman" w:eastAsia="Times New Roman" w:cs="Times New Roman"/>
        </w:rPr>
        <w:t>“«مفاتیحِ آسمانی بادشاہی» مسیح کے کلام ہیں۔ کلامِ مقدس کے تمام الفاظ اُسی کے ہیں، اور یہاں اُن سب کو شامل کیا گیا ہے۔ اِن الفاظ میں آسمان کو کھولنے اور بند کرنے کی قدرت ہے۔ یہ اُن شرائط کو ظاہر کرتے ہیں جن کی بنا پر لوگ قبول کیے جاتے ہیں یا رد کیے جاتے ہیں۔ پس جو لوگ خدا کے کلام کی منادی کرتے ہیں، اُن کے کام کی تاثیر یا تو زندگی کے لیے زندگی کی خوشبو ہے یا موت کے لیے موت کی۔ اُن کی خدمت ایک ایسا منصب ہے جس پر ابدی نتائج کا بوجھ ہے۔”</w:t>
      </w:r>
    </w:p>
    <w:p>
      <w:pPr>
        <w:pStyle w:val="ArticleScripture"/>
        <w:jc w:val="left"/>
      </w:pPr>
      <w:r>
        <w:rPr>
          <w:rFonts w:ascii="Times New Roman" w:hAnsi="Times New Roman" w:eastAsia="Times New Roman" w:cs="Times New Roman"/>
        </w:rPr>
        <w:t>“</w:t>
      </w:r>
      <w:r>
        <w:rPr>
          <w:rFonts w:ascii="Gadugi" w:hAnsi="Gadugi" w:eastAsia="Gadugi" w:cs="Gadugi"/>
        </w:rPr>
        <w:t>ᎤᏓᏅᏫᏍᎩ</w:t>
      </w:r>
      <w:r>
        <w:rPr>
          <w:rFonts w:ascii="Times New Roman" w:hAnsi="Times New Roman" w:eastAsia="Times New Roman" w:cs="Times New Roman"/>
        </w:rPr>
        <w:t xml:space="preserve"> </w:t>
      </w:r>
      <w:r>
        <w:rPr>
          <w:rFonts w:ascii="Gadugi" w:hAnsi="Gadugi" w:eastAsia="Gadugi" w:cs="Gadugi"/>
        </w:rPr>
        <w:t>ᏄᏩᏁᎲ</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ᎤᏩᏁᏤ</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ᎤᎵᏥᏙᏗ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ᎤᏁᏤ</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ᎠᏥᏁᏤᎸᎢ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ᏚᏠᏯᏍᏗ</w:t>
      </w:r>
      <w:r>
        <w:rPr>
          <w:rFonts w:ascii="Times New Roman" w:hAnsi="Times New Roman" w:eastAsia="Times New Roman" w:cs="Times New Roman"/>
        </w:rPr>
        <w:t xml:space="preserve"> </w:t>
      </w:r>
      <w:r>
        <w:rPr>
          <w:rFonts w:ascii="Gadugi" w:hAnsi="Gadugi" w:eastAsia="Gadugi" w:cs="Gadugi"/>
        </w:rPr>
        <w:t>ᎤᏬᏁᏔᏅ</w:t>
      </w:r>
      <w:r>
        <w:rPr>
          <w:rFonts w:ascii="Times New Roman" w:hAnsi="Times New Roman" w:eastAsia="Times New Roman" w:cs="Times New Roman"/>
        </w:rPr>
        <w:t xml:space="preserve"> </w:t>
      </w:r>
      <w:r>
        <w:rPr>
          <w:rFonts w:ascii="Gadugi" w:hAnsi="Gadugi" w:eastAsia="Gadugi" w:cs="Gadugi"/>
        </w:rPr>
        <w:t>ᏧᎾᎵᏃᎯᏳᎲᏍᎩ</w:t>
      </w:r>
      <w:r>
        <w:rPr>
          <w:rFonts w:ascii="Times New Roman" w:hAnsi="Times New Roman" w:eastAsia="Times New Roman" w:cs="Times New Roman"/>
        </w:rPr>
        <w:t xml:space="preserve"> </w:t>
      </w:r>
      <w:r>
        <w:rPr>
          <w:rFonts w:ascii="Gadugi" w:hAnsi="Gadugi" w:eastAsia="Gadugi" w:cs="Gadugi"/>
        </w:rPr>
        <w:t>ᎠᏁᏡᎬᎢ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ᏚᎾᏁᏤᎴ</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ᏧᎾᎵᏃᎯᏳᎲᏍᎩ</w:t>
      </w:r>
      <w:r>
        <w:rPr>
          <w:rFonts w:ascii="Times New Roman" w:hAnsi="Times New Roman" w:eastAsia="Times New Roman" w:cs="Times New Roman"/>
        </w:rPr>
        <w:t xml:space="preserve"> </w:t>
      </w:r>
      <w:r>
        <w:rPr>
          <w:rFonts w:ascii="Gadugi" w:hAnsi="Gadugi" w:eastAsia="Gadugi" w:cs="Gadugi"/>
        </w:rPr>
        <w:t>ᎠᏁᏡᎬ</w:t>
      </w:r>
      <w:r>
        <w:rPr>
          <w:rFonts w:ascii="Times New Roman" w:hAnsi="Times New Roman" w:eastAsia="Times New Roman" w:cs="Times New Roman"/>
        </w:rPr>
        <w:t xml:space="preserve"> </w:t>
      </w:r>
      <w:r>
        <w:rPr>
          <w:rFonts w:ascii="Gadugi" w:hAnsi="Gadugi" w:eastAsia="Gadugi" w:cs="Gadugi"/>
        </w:rPr>
        <w:t>ᏗᎨᏥᏚᎴᏙᏗ</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Ꮓ</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ᎤᏪᎧᏅᎯ</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ᎤᏇᏓᎸ</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ᏗᏂᏍᏓᏩᏗᏒᎩ</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ᏧᏂᎪᎵᏰᏗ</w:t>
      </w:r>
      <w:r>
        <w:rPr>
          <w:rFonts w:ascii="Times New Roman" w:hAnsi="Times New Roman" w:eastAsia="Times New Roman" w:cs="Times New Roman"/>
        </w:rPr>
        <w:t xml:space="preserve"> </w:t>
      </w:r>
      <w:r>
        <w:rPr>
          <w:rFonts w:ascii="Gadugi" w:hAnsi="Gadugi" w:eastAsia="Gadugi" w:cs="Gadugi"/>
        </w:rPr>
        <w:t>ᎤᏂᏒ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ᏱᏗᎩᏩᏛᎡᎴ</w:t>
      </w:r>
      <w:r>
        <w:rPr>
          <w:rFonts w:ascii="Times New Roman" w:hAnsi="Times New Roman" w:eastAsia="Times New Roman" w:cs="Times New Roman"/>
        </w:rPr>
        <w:t xml:space="preserve"> </w:t>
      </w:r>
      <w:r>
        <w:rPr>
          <w:rFonts w:ascii="Gadugi" w:hAnsi="Gadugi" w:eastAsia="Gadugi" w:cs="Gadugi"/>
        </w:rPr>
        <w:t>ᎤᏂᏣᘅᎯ</w:t>
      </w:r>
      <w:r>
        <w:rPr>
          <w:rFonts w:ascii="Times New Roman" w:hAnsi="Times New Roman" w:eastAsia="Times New Roman" w:cs="Times New Roman"/>
        </w:rPr>
        <w:t xml:space="preserve"> </w:t>
      </w:r>
      <w:r>
        <w:rPr>
          <w:rFonts w:ascii="Gadugi" w:hAnsi="Gadugi" w:eastAsia="Gadugi" w:cs="Gadugi"/>
        </w:rPr>
        <w:t>ᎠᏂᏘᏃᎮᎲ</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ᎢᏳᎨᏛ</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ᎬᏩᏂᎵᏍᏓᏁᎴ</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ᏧᏚᎵᏍᎬ</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ᏱᎬᏩᎸᏉᏔᏁ</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ᎤᏑᏰᏎᎢ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«Оларҙың башы итеп берәүҙе ҡуйыу урынына, Мәсих шәкерттәренә былай тине: „Һеҙҙе Рабби тип атамаһындар“; „һәм остаздар тип тә атамаһындар, сөнки һеҙҙең Остазығыҙ берәү — Мәсих“. Матфей 23:8, 10.»</w:t>
      </w:r>
    </w:p>
    <w:p>
      <w:pPr>
        <w:pStyle w:val="ArticleScripture"/>
        <w:jc w:val="left"/>
      </w:pPr>
      <w:r>
        <w:rPr>
          <w:rFonts w:ascii="Times New Roman" w:hAnsi="Times New Roman" w:eastAsia="Times New Roman" w:cs="Times New Roman"/>
        </w:rPr>
        <w:t>«رأس كل رجل هو المسيح». الله، الذي أخضع كل شيء تحت قدمي المخلّص، «جعله رأسًا فوق كل شيء للكنيسة، التي هي جسده، ملء الذي يملأ الكل في الكل». 1 Corinthians 11:3; Ephesians 1:22, 23. الكنيسة مبنيّة على المسيح أساسًا لها؛ وعليها أن تطيع المسيح بوصفه رأسها. وليس لها أن تعتمد على الإنسان أو تخضع لسيطرة الإنسان. يدّعي كثيرون أن المنصب المؤتمن عليه في الكنيسة يمنحهم سلطانًا ليمْلوا على الآخرين ماذا ينبغي أن يؤمنوا به وماذا ينبغي أن يفعلوا. هذا الادعاء لا يقرّه الله. يصرّح المخلّص: «كلكم إخوة». الجميع معرّضون للتجربة، ومعرّضون للخطأ. ولا يجوز لنا أن نعتمد في الإرشاد على أي كائن محدود. صخرة الإيمان هي حضور المسيح الحيّ في الكنيسة. على هذه الصخرة يستطيع الأضعف أن يعتمد، وأما الذين يظنون أنفسهم الأقوى فسيثبت أنهم الأضعف، ما لم يجعلوا المسيح كفايتهم. «ملعون الرجل الذي يتكل على الإنسان ويجعل البشر ذراعه». الرب «هو الصخرة، الكامل صنيعه». «طوبى لجميع المتكلين عليه». Jeremiah 17:5; Deuteronomy 32:4; Psalm 2:12.</w:t>
      </w:r>
    </w:p>
    <w:p>
      <w:pPr>
        <w:pStyle w:val="ArticleScripture"/>
        <w:jc w:val="left"/>
      </w:pPr>
      <w:r>
        <w:rPr>
          <w:rFonts w:ascii="Times New Roman" w:hAnsi="Times New Roman" w:eastAsia="Times New Roman" w:cs="Times New Roman"/>
        </w:rPr>
        <w:t>«Петірдің мойындауынан кейін Иса шәкірттеріне Оның Мәсіх екенін ешкімге айтпауды бұйырды. Бұл бұйрық дін мұғалімдері мен парызшылдардың қасарысқан қарсылығының себебінен берілді. Бұдан да артық, халықтың, тіпті шәкірттердің де, Мәсіх туралы түсінігі соншалықты жалған еді, сондықтан Ол туралы жұрт алдында жариялау оларға Оның болмысы мен қызметі туралы ешқандай шынайы ұғым бермес еді. Бірақ Ол күн сайын Өзін оларға Құтқарушы ретінде танытып отырды, сөйтіп олардың Оны Мәсіх ретінде дұрыс танып-білуін қалады.»</w:t>
      </w:r>
    </w:p>
    <w:p>
      <w:pPr>
        <w:pStyle w:val="ArticleScripture"/>
        <w:jc w:val="left"/>
      </w:pPr>
      <w:r>
        <w:rPr>
          <w:rFonts w:ascii="Times New Roman" w:hAnsi="Times New Roman" w:eastAsia="Times New Roman" w:cs="Times New Roman"/>
        </w:rPr>
        <w:t>“Manqakunaqa Cristoqa pacha kamachiq hina reynananta suyakurqankuraqmi. Payqa unaytaña yuyayninta pakasqa kaptinpas, payqa mana wiñaypaq waqcha kaypi, mana reqsisqa kaypipas qhipayananpaqchu kasqanta creenqankuraqmi; tiempoqa qayllaña karqa paypa reinon ta sayarichinanpaq. Sacerdotekunapa, rabíkunapa cheqnikuyninqa hayk’aqpas mana atipanakunanpaq kasqanta, Cristoqa kikin llaqtanmantapuni qhesachasqa kanananta, llullachiq hina huchachasqa kanananta, hinaspa mana allin ruraq hina chakatasqa kanananta,—chay yuyaytaqa discipulokunaqa hayk’aqpas mana yuyarqankuchu. Ichaqa tutayaypa atiyninpa horanqa qayllaykamusqaña karqa, hinaspa Jesusqa discipulonkunaman ñawpaqninpi kaq maqanakuyta kicharinan karqa. Payqa llakisqa karqa, pruebas hamuqta ñawpaqman qhawaspan.” The Desire of Ages, 411-415.</w:t>
      </w:r>
    </w:p>
    <w:p>
      <w:pPr>
        <w:pStyle w:val="ArticleBody"/>
        <w:jc w:val="left"/>
      </w:pPr>
      <w:r>
        <w:rPr>
          <w:rFonts w:ascii="Times New Roman" w:hAnsi="Times New Roman" w:eastAsia="Times New Roman" w:cs="Times New Roman"/>
        </w:rPr>
        <w:t>Դանիէլ 11-ի տասնվեցերորդ համարը ներկայացնում է Միացյալ Նահանգներում շուտով եկող կիրակնօրյա օրենքը։ Այդ «երկրաշարժի» ժամից անմիջապես առաջ նրանք, ովքեր ձգտում են լինել հարյուր քառասունչորս հազարի մեջ, արթնացվում են իրենց քնից։ Նրանց արթնացնողը մարգարեական մի պատգամ է։ Այդ պահին դրսևորվում են երկու դասեր, և, ինչպես պատկերված է տասը կույսերի առակում, մի դասն ունի յուղ իր անոթների մեջ, իսկ մյուս դասը՝ չունի։ Դանիէլ 11-ի տասներեքերորդից մինչև տասնհինգերորդ համարները ոչ միայն ներկայացնում են այն մարգարեական պատմությունը, որը նախորդում է կիրակնօրյա օրենքին, այլև ներկայացնում են «պատգամը», որը, տասը կույսերի առակի համատեքստում, այն «յուղն» է, որ իմաստունները պիտի ունենան, որպեսզի ընդունեն Աստծո կնիքը և բարձրացվեն որպես դրոշ մեծ երկրաշարժի ժամին։ Այս հոդվածներն այժմ հասել են բոլոր հոդվածների գագաթնակետին, որովհետև այն պատգամը, որ ներկայացված է այս համարների մեջ, այն ոսկե յուղն է, որ թափվում է երկու ոսկե խողովակների միջոցով։</w:t>
      </w:r>
    </w:p>
    <w:p>
      <w:pPr>
        <w:pStyle w:val="ArticleBody"/>
        <w:jc w:val="left"/>
      </w:pPr>
      <w:r>
        <w:rPr>
          <w:rFonts w:ascii="Times New Roman" w:hAnsi="Times New Roman" w:eastAsia="Times New Roman" w:cs="Times New Roman"/>
        </w:rPr>
        <w:t>Yatichäñä aka yatxatawixa jutïr qillqatan sarantaskakiniwa.</w:t>
      </w:r>
    </w:p>
    <w:p>
      <w:pPr>
        <w:pStyle w:val="ArticleScripture"/>
        <w:jc w:val="left"/>
      </w:pPr>
      <w:r>
        <w:rPr>
          <w:rFonts w:ascii="Times New Roman" w:hAnsi="Times New Roman" w:eastAsia="Times New Roman" w:cs="Times New Roman"/>
        </w:rPr>
        <w:t>«Һәқиқәтни етиқад қилимиз дәп җакарлайдиғанлар Шәйтанға хизмәт қиливатқан муддәтчә, униң дәһшәтлик сайиси уларниң Худани вә асманни көрүшини тосуп туриду. Улар дәсләпки муһәббитини йоқатқанлардәк болуп қалиду. Улар мәңгүлүк һәқиқәтләрни көрәлмәйду. Худаниң биз үчүн тәйярлиған нәрсиси Зәкәрия китавиниң 3 вә 4-баплирида, шундақла 4:12–14 айәтләрдә мундақ тәсвирлиниду: “Мән йәнә җавап берип униңға дедим: Бу икки алтун түтүк арқилиқ өзлиридин алтун майни аққузуватқан бу икки зәйтун шехи немә? У маңа җавап берип деди: Буниң немә екәнлигини биләмсән? Мән дедим: Яқ, әй Рәббим. Андин у деди: Булар пүтүн йәрниң Рәббиниң йенида туридиған икки майланған заттур.”»</w:t>
      </w:r>
    </w:p>
    <w:p>
      <w:pPr>
        <w:pStyle w:val="ArticleScripture"/>
        <w:jc w:val="left"/>
      </w:pPr>
      <w:r>
        <w:rPr>
          <w:rFonts w:ascii="Times New Roman" w:hAnsi="Times New Roman" w:eastAsia="Times New Roman" w:cs="Times New Roman"/>
        </w:rPr>
        <w:t>“Rabbi qabeenya hundumaan guutame dha. Inni carraaqqii yookaan meeshaa tokkollee hin dhabdu. Sababni gaaddisni dukkanaa akka nu marsuuf, amantii dhabuu keenya, lafa qofa irratti xiyyeeffannaa keenya, dubbii salphaa keenya, amanuu dhabuu keenya, isa haasawa keenya keessatti mul’atu, irraa ka’eeti. Kiristoos jedhuun yookaan amala keessatti akka Isa hundumaan miidhagaa ta’e, fi kumaatama kudhan keessaa isa hunda caalaa filatamaa ta’eetti hin mul’ifamu. Yommuu lubbuun ofii ishee gara faayidaa hin qabneetti ol kaasuuf quuftee taatu, Hafuurri Gooftaa ishee irratti waan baay’ee hojjechuu hin danda’u. Mul’anni keenya gabaabaan gaaddisa arga; ulfina garuu isa duuba jiru arguudhaaf hin danda’u. Ergamonni qilleensota afur qabatanii jiru; isaanis farda aarii qabuu akka of hiikuu barbaaduu fi bifa guutuu lafaa irratti fiiguuf yaaduutti fakkeeffamanii jiru, karaa isaa irratti badiisa fi du’a baachaa.”</w:t>
      </w:r>
    </w:p>
    <w:p>
      <w:pPr>
        <w:pStyle w:val="ArticleScripture"/>
        <w:jc w:val="left"/>
      </w:pPr>
      <w:r>
        <w:rPr>
          <w:rFonts w:ascii="Times New Roman" w:hAnsi="Times New Roman" w:eastAsia="Times New Roman" w:cs="Times New Roman"/>
        </w:rPr>
        <w:t>«ایا جاودانە جیهانەوەی نزیكدا بخەوین؟ ئایا لاواز و سارد و مردوو بین؟ ئاه، کاش لە کڵێساکانماندا ڕۆح و هەناسەی خودا هەبێت کە بە گەلەکەی خۆی بدەمێنرێت، تاکو لەسەر پێی خۆیان بوەستن و بژین. پێویستمانە ببینین کە ڕێگا باریکە، و دەروازە تەنگە. بەڵام کاتێك بە دەروازە تەنگەکەدا دەڕۆینە ژوورەوە، فراوانییەکەی سنووری نییە.» Manuscript Releases, volume 20, 217.</w:t>
      </w:r>
    </w:p>
    <w:p>
      <w:pPr>
        <w:pStyle w:val="ArticleScripture"/>
        <w:jc w:val="left"/>
      </w:pPr>
      <w:r>
        <w:rPr>
          <w:rFonts w:ascii="Times New Roman" w:hAnsi="Times New Roman" w:eastAsia="Times New Roman" w:cs="Times New Roman"/>
        </w:rPr>
        <w:t>“</w:t>
      </w:r>
      <w:r>
        <w:rPr>
          <w:rFonts w:ascii="Nirmala UI" w:hAnsi="Nirmala UI" w:eastAsia="Nirmala UI" w:cs="Nirmala UI"/>
        </w:rPr>
        <w:t>जमीनक</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समीप</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आवरण</w:t>
      </w:r>
      <w:r>
        <w:rPr>
          <w:rFonts w:ascii="Times New Roman" w:hAnsi="Times New Roman" w:eastAsia="Times New Roman" w:cs="Times New Roman"/>
        </w:rPr>
        <w:t xml:space="preserve"> </w:t>
      </w:r>
      <w:r>
        <w:rPr>
          <w:rFonts w:ascii="Nirmala UI" w:hAnsi="Nirmala UI" w:eastAsia="Nirmala UI" w:cs="Nirmala UI"/>
        </w:rPr>
        <w:t>करनिहार</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सिंहासनक</w:t>
      </w:r>
      <w:r>
        <w:rPr>
          <w:rFonts w:ascii="Times New Roman" w:hAnsi="Times New Roman" w:eastAsia="Times New Roman" w:cs="Times New Roman"/>
        </w:rPr>
        <w:t xml:space="preserve"> </w:t>
      </w:r>
      <w:r>
        <w:rPr>
          <w:rFonts w:ascii="Nirmala UI" w:hAnsi="Nirmala UI" w:eastAsia="Nirmala UI" w:cs="Nirmala UI"/>
        </w:rPr>
        <w:t>चारूकात</w:t>
      </w:r>
      <w:r>
        <w:rPr>
          <w:rFonts w:ascii="Times New Roman" w:hAnsi="Times New Roman" w:eastAsia="Times New Roman" w:cs="Times New Roman"/>
        </w:rPr>
        <w:t xml:space="preserve"> </w:t>
      </w:r>
      <w:r>
        <w:rPr>
          <w:rFonts w:ascii="Nirmala UI" w:hAnsi="Nirmala UI" w:eastAsia="Nirmala UI" w:cs="Nirmala UI"/>
        </w:rPr>
        <w:t>रहनिहार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प्राणीनिक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निवासीसभसँ</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संप्रेषण</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सुवर्ण</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विश्वासीसभक</w:t>
      </w:r>
      <w:r>
        <w:rPr>
          <w:rFonts w:ascii="Times New Roman" w:hAnsi="Times New Roman" w:eastAsia="Times New Roman" w:cs="Times New Roman"/>
        </w:rPr>
        <w:t xml:space="preserve"> </w:t>
      </w:r>
      <w:r>
        <w:rPr>
          <w:rFonts w:ascii="Nirmala UI" w:hAnsi="Nirmala UI" w:eastAsia="Nirmala UI" w:cs="Nirmala UI"/>
        </w:rPr>
        <w:t>दीपसभ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आपूर्त</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टिमटिमाय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स्वर्गसँ</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संदेशसभक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दुष्टताक</w:t>
      </w:r>
      <w:r>
        <w:rPr>
          <w:rFonts w:ascii="Times New Roman" w:hAnsi="Times New Roman" w:eastAsia="Times New Roman" w:cs="Times New Roman"/>
        </w:rPr>
        <w:t xml:space="preserve"> </w:t>
      </w:r>
      <w:r>
        <w:rPr>
          <w:rFonts w:ascii="Nirmala UI" w:hAnsi="Nirmala UI" w:eastAsia="Nirmala UI" w:cs="Nirmala UI"/>
        </w:rPr>
        <w:t>शक्तिसभक</w:t>
      </w:r>
      <w:r>
        <w:rPr>
          <w:rFonts w:ascii="Times New Roman" w:hAnsi="Times New Roman" w:eastAsia="Times New Roman" w:cs="Times New Roman"/>
        </w:rPr>
        <w:t xml:space="preserve"> </w:t>
      </w:r>
      <w:r>
        <w:rPr>
          <w:rFonts w:ascii="Nirmala UI" w:hAnsi="Nirmala UI" w:eastAsia="Nirmala UI" w:cs="Nirmala UI"/>
        </w:rPr>
        <w:t>मनुष्यमात्र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नियंत्रण</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बिए</w:t>
      </w:r>
      <w:r>
        <w:rPr>
          <w:rFonts w:ascii="Times New Roman" w:hAnsi="Times New Roman" w:eastAsia="Times New Roman" w:cs="Times New Roman"/>
        </w:rPr>
        <w:t xml:space="preserve"> </w:t>
      </w:r>
      <w:r>
        <w:rPr>
          <w:rFonts w:ascii="Nirmala UI" w:hAnsi="Nirmala UI" w:eastAsia="Nirmala UI" w:cs="Nirmala UI"/>
        </w:rPr>
        <w:t>गिनिङजों</w:t>
      </w:r>
      <w:r>
        <w:rPr>
          <w:rFonts w:ascii="Times New Roman" w:hAnsi="Times New Roman" w:eastAsia="Times New Roman" w:cs="Times New Roman"/>
        </w:rPr>
        <w:t xml:space="preserve"> </w:t>
      </w:r>
      <w:r>
        <w:rPr>
          <w:rFonts w:ascii="Nirmala UI" w:hAnsi="Nirmala UI" w:eastAsia="Nirmala UI" w:cs="Nirmala UI"/>
        </w:rPr>
        <w:t>मानहांनि</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w:t>
      </w:r>
      <w:r>
        <w:rPr>
          <w:rFonts w:ascii="Nirmala UI" w:hAnsi="Nirmala UI" w:eastAsia="Nirmala UI" w:cs="Nirmala UI"/>
        </w:rPr>
        <w:t>गासिनानै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फोरमायनायखौ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लाबायाखैब्ला</w:t>
      </w:r>
      <w:r>
        <w:rPr>
          <w:rFonts w:ascii="Times New Roman" w:hAnsi="Times New Roman" w:eastAsia="Times New Roman" w:cs="Times New Roman"/>
        </w:rPr>
        <w:t xml:space="preserve">, </w:t>
      </w:r>
      <w:r>
        <w:rPr>
          <w:rFonts w:ascii="Nirmala UI" w:hAnsi="Nirmala UI" w:eastAsia="Nirmala UI" w:cs="Nirmala UI"/>
        </w:rPr>
        <w:t>मानहां</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हरखांजों</w:t>
      </w:r>
      <w:r>
        <w:rPr>
          <w:rFonts w:ascii="Times New Roman" w:hAnsi="Times New Roman" w:eastAsia="Times New Roman" w:cs="Times New Roman"/>
        </w:rPr>
        <w:t xml:space="preserve"> </w:t>
      </w:r>
      <w:r>
        <w:rPr>
          <w:rFonts w:ascii="Nirmala UI" w:hAnsi="Nirmala UI" w:eastAsia="Nirmala UI" w:cs="Nirmala UI"/>
        </w:rPr>
        <w:t>सान्नायजायो।</w:t>
      </w:r>
      <w:r>
        <w:rPr>
          <w:rFonts w:ascii="Times New Roman" w:hAnsi="Times New Roman" w:eastAsia="Times New Roman" w:cs="Times New Roman"/>
        </w:rPr>
        <w:t xml:space="preserve"> </w:t>
      </w:r>
      <w:r>
        <w:rPr>
          <w:rFonts w:ascii="Nirmala UI" w:hAnsi="Nirmala UI" w:eastAsia="Nirmala UI" w:cs="Nirmala UI"/>
        </w:rPr>
        <w:t>बेनिख्रुइ</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तेलखौ</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सोलोंआव</w:t>
      </w:r>
      <w:r>
        <w:rPr>
          <w:rFonts w:ascii="Times New Roman" w:hAnsi="Times New Roman" w:eastAsia="Times New Roman" w:cs="Times New Roman"/>
        </w:rPr>
        <w:t xml:space="preserve"> </w:t>
      </w:r>
      <w:r>
        <w:rPr>
          <w:rFonts w:ascii="Nirmala UI" w:hAnsi="Nirmala UI" w:eastAsia="Nirmala UI" w:cs="Nirmala UI"/>
        </w:rPr>
        <w:t>ढालनायनो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हांहांथि</w:t>
      </w:r>
      <w:r>
        <w:rPr>
          <w:rFonts w:ascii="Times New Roman" w:hAnsi="Times New Roman" w:eastAsia="Times New Roman" w:cs="Times New Roman"/>
        </w:rPr>
        <w:t xml:space="preserve"> </w:t>
      </w:r>
      <w:r>
        <w:rPr>
          <w:rFonts w:ascii="Nirmala UI" w:hAnsi="Nirmala UI" w:eastAsia="Nirmala UI" w:cs="Nirmala UI"/>
        </w:rPr>
        <w:t>थानायफोरनि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गुदुंनाय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नंगौजायो।</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हांखानायखौ</w:t>
      </w:r>
      <w:r>
        <w:rPr>
          <w:rFonts w:ascii="Times New Roman" w:hAnsi="Times New Roman" w:eastAsia="Times New Roman" w:cs="Times New Roman"/>
        </w:rPr>
        <w:t xml:space="preserve"> </w:t>
      </w:r>
      <w:r>
        <w:rPr>
          <w:rFonts w:ascii="Nirmala UI" w:hAnsi="Nirmala UI" w:eastAsia="Nirmala UI" w:cs="Nirmala UI"/>
        </w:rPr>
        <w:t>आओनाय</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जोंबाइया</w:t>
      </w:r>
      <w:r>
        <w:rPr>
          <w:rFonts w:ascii="Times New Roman" w:hAnsi="Times New Roman" w:eastAsia="Times New Roman" w:cs="Times New Roman"/>
        </w:rPr>
        <w:t xml:space="preserve"> </w:t>
      </w:r>
      <w:r>
        <w:rPr>
          <w:rFonts w:ascii="Nirmala UI" w:hAnsi="Nirmala UI" w:eastAsia="Nirmala UI" w:cs="Nirmala UI"/>
        </w:rPr>
        <w:t>फाइयो</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बिनिखौ</w:t>
      </w:r>
      <w:r>
        <w:rPr>
          <w:rFonts w:ascii="Times New Roman" w:hAnsi="Times New Roman" w:eastAsia="Times New Roman" w:cs="Times New Roman"/>
        </w:rPr>
        <w:t xml:space="preserve"> </w:t>
      </w:r>
      <w:r>
        <w:rPr>
          <w:rFonts w:ascii="Nirmala UI" w:hAnsi="Nirmala UI" w:eastAsia="Nirmala UI" w:cs="Nirmala UI"/>
        </w:rPr>
        <w:t>नायनो</w:t>
      </w:r>
      <w:r>
        <w:rPr>
          <w:rFonts w:ascii="Times New Roman" w:hAnsi="Times New Roman" w:eastAsia="Times New Roman" w:cs="Times New Roman"/>
        </w:rPr>
        <w:t xml:space="preserve"> </w:t>
      </w:r>
      <w:r>
        <w:rPr>
          <w:rFonts w:ascii="Nirmala UI" w:hAnsi="Nirmala UI" w:eastAsia="Nirmala UI" w:cs="Nirmala UI"/>
        </w:rPr>
        <w:t>ओंफां</w:t>
      </w:r>
      <w:r>
        <w:rPr>
          <w:rFonts w:ascii="Times New Roman" w:hAnsi="Times New Roman" w:eastAsia="Times New Roman" w:cs="Times New Roman"/>
        </w:rPr>
        <w:t xml:space="preserve">,’ </w:t>
      </w:r>
      <w:r>
        <w:rPr>
          <w:rFonts w:ascii="Nirmala UI" w:hAnsi="Nirmala UI" w:eastAsia="Nirmala UI" w:cs="Nirmala UI"/>
        </w:rPr>
        <w:t>बेनिखाय</w:t>
      </w:r>
      <w:r>
        <w:rPr>
          <w:rFonts w:ascii="Times New Roman" w:hAnsi="Times New Roman" w:eastAsia="Times New Roman" w:cs="Times New Roman"/>
        </w:rPr>
        <w:t xml:space="preserve"> </w:t>
      </w:r>
      <w:r>
        <w:rPr>
          <w:rFonts w:ascii="Nirmala UI" w:hAnsi="Nirmala UI" w:eastAsia="Nirmala UI" w:cs="Nirmala UI"/>
        </w:rPr>
        <w:t>फिथाइ</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तेलखौ</w:t>
      </w:r>
      <w:r>
        <w:rPr>
          <w:rFonts w:ascii="Times New Roman" w:hAnsi="Times New Roman" w:eastAsia="Times New Roman" w:cs="Times New Roman"/>
        </w:rPr>
        <w:t xml:space="preserve"> </w:t>
      </w:r>
      <w:r>
        <w:rPr>
          <w:rFonts w:ascii="Nirmala UI" w:hAnsi="Nirmala UI" w:eastAsia="Nirmala UI" w:cs="Nirmala UI"/>
        </w:rPr>
        <w:t>लाबायाखैब्ला</w:t>
      </w:r>
      <w:r>
        <w:rPr>
          <w:rFonts w:ascii="Times New Roman" w:hAnsi="Times New Roman" w:eastAsia="Times New Roman" w:cs="Times New Roman"/>
        </w:rPr>
        <w:t xml:space="preserve">, </w:t>
      </w:r>
      <w:r>
        <w:rPr>
          <w:rFonts w:ascii="Nirmala UI" w:hAnsi="Nirmala UI" w:eastAsia="Nirmala UI" w:cs="Nirmala UI"/>
        </w:rPr>
        <w:t>जायफोरनि</w:t>
      </w:r>
      <w:r>
        <w:rPr>
          <w:rFonts w:ascii="Times New Roman" w:hAnsi="Times New Roman" w:eastAsia="Times New Roman" w:cs="Times New Roman"/>
        </w:rPr>
        <w:t xml:space="preserve"> </w:t>
      </w:r>
      <w:r>
        <w:rPr>
          <w:rFonts w:ascii="Nirmala UI" w:hAnsi="Nirmala UI" w:eastAsia="Nirmala UI" w:cs="Nirmala UI"/>
        </w:rPr>
        <w:t>मोनजोंआव</w:t>
      </w:r>
      <w:r>
        <w:rPr>
          <w:rFonts w:ascii="Times New Roman" w:hAnsi="Times New Roman" w:eastAsia="Times New Roman" w:cs="Times New Roman"/>
        </w:rPr>
        <w:t xml:space="preserve"> </w:t>
      </w:r>
      <w:r>
        <w:rPr>
          <w:rFonts w:ascii="Nirmala UI" w:hAnsi="Nirmala UI" w:eastAsia="Nirmala UI" w:cs="Nirmala UI"/>
        </w:rPr>
        <w:t>ख्रिस्तानि</w:t>
      </w:r>
      <w:r>
        <w:rPr>
          <w:rFonts w:ascii="Times New Roman" w:hAnsi="Times New Roman" w:eastAsia="Times New Roman" w:cs="Times New Roman"/>
        </w:rPr>
        <w:t xml:space="preserve"> </w:t>
      </w:r>
      <w:r>
        <w:rPr>
          <w:rFonts w:ascii="Nirmala UI" w:hAnsi="Nirmala UI" w:eastAsia="Nirmala UI" w:cs="Nirmala UI"/>
        </w:rPr>
        <w:t>अनुग्रहखौ</w:t>
      </w:r>
      <w:r>
        <w:rPr>
          <w:rFonts w:ascii="Times New Roman" w:hAnsi="Times New Roman" w:eastAsia="Times New Roman" w:cs="Times New Roman"/>
        </w:rPr>
        <w:t xml:space="preserve"> </w:t>
      </w:r>
      <w:r>
        <w:rPr>
          <w:rFonts w:ascii="Nirmala UI" w:hAnsi="Nirmala UI" w:eastAsia="Nirmala UI" w:cs="Nirmala UI"/>
        </w:rPr>
        <w:t>बोसोरनाय</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बुद्धिहीन</w:t>
      </w:r>
      <w:r>
        <w:rPr>
          <w:rFonts w:ascii="Times New Roman" w:hAnsi="Times New Roman" w:eastAsia="Times New Roman" w:cs="Times New Roman"/>
        </w:rPr>
        <w:t xml:space="preserve"> </w:t>
      </w:r>
      <w:r>
        <w:rPr>
          <w:rFonts w:ascii="Nirmala UI" w:hAnsi="Nirmala UI" w:eastAsia="Nirmala UI" w:cs="Nirmala UI"/>
        </w:rPr>
        <w:t>कुमारिफोरनिख्रुइ</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बुङोफोरखौ</w:t>
      </w:r>
      <w:r>
        <w:rPr>
          <w:rFonts w:ascii="Times New Roman" w:hAnsi="Times New Roman" w:eastAsia="Times New Roman" w:cs="Times New Roman"/>
        </w:rPr>
        <w:t xml:space="preserve"> </w:t>
      </w:r>
      <w:r>
        <w:rPr>
          <w:rFonts w:ascii="Nirmala UI" w:hAnsi="Nirmala UI" w:eastAsia="Nirmala UI" w:cs="Nirmala UI"/>
        </w:rPr>
        <w:t>नायनो</w:t>
      </w:r>
      <w:r>
        <w:rPr>
          <w:rFonts w:ascii="Times New Roman" w:hAnsi="Times New Roman" w:eastAsia="Times New Roman" w:cs="Times New Roman"/>
        </w:rPr>
        <w:t xml:space="preserve"> </w:t>
      </w:r>
      <w:r>
        <w:rPr>
          <w:rFonts w:ascii="Nirmala UI" w:hAnsi="Nirmala UI" w:eastAsia="Nirmala UI" w:cs="Nirmala UI"/>
        </w:rPr>
        <w:t>सजायाव</w:t>
      </w:r>
      <w:r>
        <w:rPr>
          <w:rFonts w:ascii="Times New Roman" w:hAnsi="Times New Roman" w:eastAsia="Times New Roman" w:cs="Times New Roman"/>
        </w:rPr>
        <w:t xml:space="preserve"> </w:t>
      </w:r>
      <w:r>
        <w:rPr>
          <w:rFonts w:ascii="Nirmala UI" w:hAnsi="Nirmala UI" w:eastAsia="Nirmala UI" w:cs="Nirmala UI"/>
        </w:rPr>
        <w:t>नायाखै</w:t>
      </w:r>
      <w:r>
        <w:rPr>
          <w:rFonts w:ascii="Times New Roman" w:hAnsi="Times New Roman" w:eastAsia="Times New Roman" w:cs="Times New Roman"/>
        </w:rPr>
        <w:t xml:space="preserve"> </w:t>
      </w:r>
      <w:r>
        <w:rPr>
          <w:rFonts w:ascii="Nirmala UI" w:hAnsi="Nirmala UI" w:eastAsia="Nirmala UI" w:cs="Nirmala UI"/>
        </w:rPr>
        <w:t>मिखोलोंदों।</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निजोरआव</w:t>
      </w:r>
      <w:r>
        <w:rPr>
          <w:rFonts w:ascii="Times New Roman" w:hAnsi="Times New Roman" w:eastAsia="Times New Roman" w:cs="Times New Roman"/>
        </w:rPr>
        <w:t xml:space="preserve"> </w:t>
      </w:r>
      <w:r>
        <w:rPr>
          <w:rFonts w:ascii="Nirmala UI" w:hAnsi="Nirmala UI" w:eastAsia="Nirmala UI" w:cs="Nirmala UI"/>
        </w:rPr>
        <w:t>तेलखौ</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खामानिनि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जिउनायफोर</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आत्माखौ</w:t>
      </w:r>
      <w:r>
        <w:rPr>
          <w:rFonts w:ascii="Times New Roman" w:hAnsi="Times New Roman" w:eastAsia="Times New Roman" w:cs="Times New Roman"/>
        </w:rPr>
        <w:t xml:space="preserve"> </w:t>
      </w:r>
      <w:r>
        <w:rPr>
          <w:rFonts w:ascii="Nirmala UI" w:hAnsi="Nirmala UI" w:eastAsia="Nirmala UI" w:cs="Nirmala UI"/>
        </w:rPr>
        <w:t>जिज्ञासानाय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मावदोंमोनबायख्रुइ</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गोहारनाय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महिमाखौ</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दिन्थि</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मोनजोंआव</w:t>
      </w:r>
      <w:r>
        <w:rPr>
          <w:rFonts w:ascii="Times New Roman" w:hAnsi="Times New Roman" w:eastAsia="Times New Roman" w:cs="Times New Roman"/>
        </w:rPr>
        <w:t xml:space="preserve"> </w:t>
      </w:r>
      <w:r>
        <w:rPr>
          <w:rFonts w:ascii="Nirmala UI" w:hAnsi="Nirmala UI" w:eastAsia="Nirmala UI" w:cs="Nirmala UI"/>
        </w:rPr>
        <w:t>थुलुंगै</w:t>
      </w:r>
      <w:r>
        <w:rPr>
          <w:rFonts w:ascii="Times New Roman" w:hAnsi="Times New Roman" w:eastAsia="Times New Roman" w:cs="Times New Roman"/>
        </w:rPr>
        <w:t xml:space="preserve"> </w:t>
      </w:r>
      <w:r>
        <w:rPr>
          <w:rFonts w:ascii="Nirmala UI" w:hAnsi="Nirmala UI" w:eastAsia="Nirmala UI" w:cs="Nirmala UI"/>
        </w:rPr>
        <w:t>सान्द्रितनाय</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w:t>
      </w:r>
      <w:r>
        <w:rPr>
          <w:rFonts w:ascii="Nirmala UI" w:hAnsi="Nirmala UI" w:eastAsia="Nirmala UI" w:cs="Nirmala UI"/>
        </w:rPr>
        <w:t>नालिफोरनि</w:t>
      </w:r>
      <w:r>
        <w:rPr>
          <w:rFonts w:ascii="Times New Roman" w:hAnsi="Times New Roman" w:eastAsia="Times New Roman" w:cs="Times New Roman"/>
        </w:rPr>
        <w:t xml:space="preserve"> </w:t>
      </w:r>
      <w:r>
        <w:rPr>
          <w:rFonts w:ascii="Nirmala UI" w:hAnsi="Nirmala UI" w:eastAsia="Nirmala UI" w:cs="Nirmala UI"/>
        </w:rPr>
        <w:t>जरियाय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गुदुंनाय</w:t>
      </w:r>
      <w:r>
        <w:rPr>
          <w:rFonts w:ascii="Times New Roman" w:hAnsi="Times New Roman" w:eastAsia="Times New Roman" w:cs="Times New Roman"/>
        </w:rPr>
        <w:t xml:space="preserve"> </w:t>
      </w:r>
      <w:r>
        <w:rPr>
          <w:rFonts w:ascii="Nirmala UI" w:hAnsi="Nirmala UI" w:eastAsia="Nirmala UI" w:cs="Nirmala UI"/>
        </w:rPr>
        <w:t>जाथायो।</w:t>
      </w:r>
      <w:r>
        <w:rPr>
          <w:rFonts w:ascii="Times New Roman" w:hAnsi="Times New Roman" w:eastAsia="Times New Roman" w:cs="Times New Roman"/>
        </w:rPr>
        <w:t xml:space="preserve"> ‘</w:t>
      </w:r>
      <w:r>
        <w:rPr>
          <w:rFonts w:ascii="Nirmala UI" w:hAnsi="Nirmala UI" w:eastAsia="Nirmala UI" w:cs="Nirmala UI"/>
        </w:rPr>
        <w:t>बोरायनि</w:t>
      </w:r>
      <w:r>
        <w:rPr>
          <w:rFonts w:ascii="Times New Roman" w:hAnsi="Times New Roman" w:eastAsia="Times New Roman" w:cs="Times New Roman"/>
        </w:rPr>
        <w:t xml:space="preserve"> </w:t>
      </w:r>
      <w:r>
        <w:rPr>
          <w:rFonts w:ascii="Nirmala UI" w:hAnsi="Nirmala UI" w:eastAsia="Nirmala UI" w:cs="Nirmala UI"/>
        </w:rPr>
        <w:t>जरियाय</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जोरनि</w:t>
      </w:r>
      <w:r>
        <w:rPr>
          <w:rFonts w:ascii="Times New Roman" w:hAnsi="Times New Roman" w:eastAsia="Times New Roman" w:cs="Times New Roman"/>
        </w:rPr>
        <w:t xml:space="preserve"> </w:t>
      </w:r>
      <w:r>
        <w:rPr>
          <w:rFonts w:ascii="Nirmala UI" w:hAnsi="Nirmala UI" w:eastAsia="Nirmala UI" w:cs="Nirmala UI"/>
        </w:rPr>
        <w:t>जरियाय</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आत्मानि</w:t>
      </w:r>
      <w:r>
        <w:rPr>
          <w:rFonts w:ascii="Times New Roman" w:hAnsi="Times New Roman" w:eastAsia="Times New Roman" w:cs="Times New Roman"/>
        </w:rPr>
        <w:t xml:space="preserve"> </w:t>
      </w:r>
      <w:r>
        <w:rPr>
          <w:rFonts w:ascii="Nirmala UI" w:hAnsi="Nirmala UI" w:eastAsia="Nirmala UI" w:cs="Nirmala UI"/>
        </w:rPr>
        <w:t>जरियाय</w:t>
      </w:r>
      <w:r>
        <w:rPr>
          <w:rFonts w:ascii="Times New Roman" w:hAnsi="Times New Roman" w:eastAsia="Times New Roman" w:cs="Times New Roman"/>
        </w:rPr>
        <w:t xml:space="preserve">,’ </w:t>
      </w:r>
      <w:r>
        <w:rPr>
          <w:rFonts w:ascii="Nirmala UI" w:hAnsi="Nirmala UI" w:eastAsia="Nirmala UI" w:cs="Nirmala UI"/>
        </w:rPr>
        <w:t>होस्ट्सनि</w:t>
      </w:r>
      <w:r>
        <w:rPr>
          <w:rFonts w:ascii="Times New Roman" w:hAnsi="Times New Roman" w:eastAsia="Times New Roman" w:cs="Times New Roman"/>
        </w:rPr>
        <w:t xml:space="preserve"> </w:t>
      </w:r>
      <w:r>
        <w:rPr>
          <w:rFonts w:ascii="Nirmala UI" w:hAnsi="Nirmala UI" w:eastAsia="Nirmala UI" w:cs="Nirmala UI"/>
        </w:rPr>
        <w:t>प्रुभुयाव</w:t>
      </w:r>
      <w:r>
        <w:rPr>
          <w:rFonts w:ascii="Times New Roman" w:hAnsi="Times New Roman" w:eastAsia="Times New Roman" w:cs="Times New Roman"/>
        </w:rPr>
        <w:t xml:space="preserve"> </w:t>
      </w:r>
      <w:r>
        <w:rPr>
          <w:rFonts w:ascii="Nirmala UI" w:hAnsi="Nirmala UI" w:eastAsia="Nirmala UI" w:cs="Nirmala UI"/>
        </w:rPr>
        <w:t>रावखांदों।</w:t>
      </w:r>
      <w:r>
        <w:rPr>
          <w:rFonts w:ascii="Times New Roman" w:hAnsi="Times New Roman" w:eastAsia="Times New Roman" w:cs="Times New Roman"/>
        </w:rPr>
        <w:t xml:space="preserve"> </w:t>
      </w:r>
      <w:r>
        <w:rPr>
          <w:rFonts w:ascii="Nirmala UI" w:hAnsi="Nirmala UI" w:eastAsia="Nirmala UI" w:cs="Nirmala UI"/>
        </w:rPr>
        <w:t>धर्मनि</w:t>
      </w:r>
      <w:r>
        <w:rPr>
          <w:rFonts w:ascii="Times New Roman" w:hAnsi="Times New Roman" w:eastAsia="Times New Roman" w:cs="Times New Roman"/>
        </w:rPr>
        <w:t xml:space="preserve"> </w:t>
      </w:r>
      <w:r>
        <w:rPr>
          <w:rFonts w:ascii="Nirmala UI" w:hAnsi="Nirmala UI" w:eastAsia="Nirmala UI" w:cs="Nirmala UI"/>
        </w:rPr>
        <w:t>सुर्युजोंनि</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रश्मिफोरखौ</w:t>
      </w:r>
      <w:r>
        <w:rPr>
          <w:rFonts w:ascii="Times New Roman" w:hAnsi="Times New Roman" w:eastAsia="Times New Roman" w:cs="Times New Roman"/>
        </w:rPr>
        <w:t xml:space="preserve"> </w:t>
      </w:r>
      <w:r>
        <w:rPr>
          <w:rFonts w:ascii="Nirmala UI" w:hAnsi="Nirmala UI" w:eastAsia="Nirmala UI" w:cs="Nirmala UI"/>
        </w:rPr>
        <w:t>लाबायनानै</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सन्तानफोर</w:t>
      </w:r>
      <w:r>
        <w:rPr>
          <w:rFonts w:ascii="Times New Roman" w:hAnsi="Times New Roman" w:eastAsia="Times New Roman" w:cs="Times New Roman"/>
        </w:rPr>
        <w:t xml:space="preserve"> </w:t>
      </w:r>
      <w:r>
        <w:rPr>
          <w:rFonts w:ascii="Nirmala UI" w:hAnsi="Nirmala UI" w:eastAsia="Nirmala UI" w:cs="Nirmala UI"/>
        </w:rPr>
        <w:t>फोजोबफोरनिख्रुइ</w:t>
      </w:r>
      <w:r>
        <w:rPr>
          <w:rFonts w:ascii="Times New Roman" w:hAnsi="Times New Roman" w:eastAsia="Times New Roman" w:cs="Times New Roman"/>
        </w:rPr>
        <w:t xml:space="preserve"> </w:t>
      </w:r>
      <w:r>
        <w:rPr>
          <w:rFonts w:ascii="Nirmala UI" w:hAnsi="Nirmala UI" w:eastAsia="Nirmala UI" w:cs="Nirmala UI"/>
        </w:rPr>
        <w:t>फोर्थाइदों।</w:t>
      </w:r>
      <w:r>
        <w:rPr>
          <w:rFonts w:ascii="Times New Roman" w:hAnsi="Times New Roman" w:eastAsia="Times New Roman" w:cs="Times New Roman"/>
        </w:rPr>
        <w:t>”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ဝိညာဏ်တော် ဒန်ယေလ ကျမ်း - အမှတ်တစ်ရာရှစ်ဆယ့်တစ်</dc:title>
  <dc:subject>Yán ukha paya aruman arsüwi ukat Roma markan yatiyäwipan profetico luräwipa: Danielan libropan qhipa urunaka qhanstayaña</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