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Himalaya" w:hAnsi="Microsoft Himalaya" w:eastAsia="Microsoft Himalaya" w:cs="Microsoft Himalaya"/>
        </w:rPr>
        <w:t>དཱན་ནེལ་གྱི་དེབ་</w:t>
      </w:r>
      <w:r>
        <w:rPr>
          <w:rFonts w:ascii="Arial" w:hAnsi="Arial" w:eastAsia="Arial" w:cs="Arial"/>
        </w:rPr>
        <w:t>—</w:t>
      </w:r>
      <w:r>
        <w:rPr>
          <w:rFonts w:ascii="Microsoft Himalaya" w:hAnsi="Microsoft Himalaya" w:eastAsia="Microsoft Himalaya" w:cs="Microsoft Himalaya"/>
        </w:rPr>
        <w:t>བརྒྱ་དང་བརྒྱད་ཅུ་གསུམ་པ།</w:t>
      </w:r>
    </w:p>
    <w:p>
      <w:pPr>
        <w:pStyle w:val="ArticleSubtitle"/>
        <w:jc w:val="left"/>
      </w:pPr>
      <w:r>
        <w:rPr>
          <w:rFonts w:ascii="Arial" w:hAnsi="Arial" w:eastAsia="Arial" w:cs="Arial"/>
        </w:rPr>
        <w:t>Die Ewige Grundlage: Christus in der prophetischen Geschichte und im Glauben des Gläubigen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ᎤᏃᎮᎸᎯ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ᎤᏙᎯᏳᎯᏯ</w:t>
      </w:r>
      <w:r>
        <w:rPr>
          <w:rFonts w:ascii="Times New Roman" w:hAnsi="Times New Roman" w:eastAsia="Times New Roman" w:cs="Times New Roman"/>
        </w:rPr>
        <w:t xml:space="preserve"> </w:t>
      </w:r>
      <w:r>
        <w:rPr>
          <w:rFonts w:ascii="Gadugi" w:hAnsi="Gadugi" w:eastAsia="Gadugi" w:cs="Gadugi"/>
        </w:rPr>
        <w:t>ᎠᏛᎦᏃᎯᏍᏗ</w:t>
      </w:r>
      <w:r>
        <w:rPr>
          <w:rFonts w:ascii="Times New Roman" w:hAnsi="Times New Roman" w:eastAsia="Times New Roman" w:cs="Times New Roman"/>
        </w:rPr>
        <w:t xml:space="preserve"> </w:t>
      </w:r>
      <w:r>
        <w:rPr>
          <w:rFonts w:ascii="Gadugi" w:hAnsi="Gadugi" w:eastAsia="Gadugi" w:cs="Gadugi"/>
        </w:rPr>
        <w:t>ᎤᏚᎵᏍᎬ</w:t>
      </w:r>
      <w:r>
        <w:rPr>
          <w:rFonts w:ascii="Times New Roman" w:hAnsi="Times New Roman" w:eastAsia="Times New Roman" w:cs="Times New Roman"/>
        </w:rPr>
        <w:t xml:space="preserve"> </w:t>
      </w:r>
      <w:r>
        <w:rPr>
          <w:rFonts w:ascii="Gadugi" w:hAnsi="Gadugi" w:eastAsia="Gadugi" w:cs="Gadugi"/>
        </w:rPr>
        <w:t>ᎠᏍᏓᏩᏛᏍᏗᏍᎩ</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ᏗᎦᎫᏍᏛ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ᎦᎬᏩᎵᏍᎨ</w:t>
      </w:r>
      <w:r>
        <w:rPr>
          <w:rFonts w:ascii="Times New Roman" w:hAnsi="Times New Roman" w:eastAsia="Times New Roman" w:cs="Times New Roman"/>
        </w:rPr>
        <w:t xml:space="preserve"> </w:t>
      </w:r>
      <w:r>
        <w:rPr>
          <w:rFonts w:ascii="Gadugi" w:hAnsi="Gadugi" w:eastAsia="Gadugi" w:cs="Gadugi"/>
        </w:rPr>
        <w:t>ᎢᏳᎵᎬᎩ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ᎦᏰᎯᏛ</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ᎤᏁᎬᎯ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ᏧᏁᎶᏗ</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ᎬᏩᏛᏂᏗ</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ᎢᏳᎵᎬᎩ</w:t>
      </w:r>
      <w:r>
        <w:rPr>
          <w:rFonts w:ascii="Times New Roman" w:hAnsi="Times New Roman" w:eastAsia="Times New Roman" w:cs="Times New Roman"/>
        </w:rPr>
        <w:t xml:space="preserve"> </w:t>
      </w:r>
      <w:r>
        <w:rPr>
          <w:rFonts w:ascii="Gadugi" w:hAnsi="Gadugi" w:eastAsia="Gadugi" w:cs="Gadugi"/>
        </w:rPr>
        <w:t>ᎦᎬᏩᎵᏍᎨ</w:t>
      </w:r>
      <w:r>
        <w:rPr>
          <w:rFonts w:ascii="Times New Roman" w:hAnsi="Times New Roman" w:eastAsia="Times New Roman" w:cs="Times New Roman"/>
        </w:rPr>
        <w:t xml:space="preserve"> </w:t>
      </w:r>
      <w:r>
        <w:rPr>
          <w:rFonts w:ascii="Gadugi" w:hAnsi="Gadugi" w:eastAsia="Gadugi" w:cs="Gadugi"/>
        </w:rPr>
        <w:t>ᎦᏰᎯᏛ</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ᎭᏫᏂᏏ</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ᏂᎦᏰᎯᏛ</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ᏓᏙᎴᎰᎯᏍᏗ</w:t>
      </w:r>
      <w:r>
        <w:rPr>
          <w:rFonts w:ascii="Times New Roman" w:hAnsi="Times New Roman" w:eastAsia="Times New Roman" w:cs="Times New Roman"/>
        </w:rPr>
        <w:t xml:space="preserve"> </w:t>
      </w:r>
      <w:r>
        <w:rPr>
          <w:rFonts w:ascii="Gadugi" w:hAnsi="Gadugi" w:eastAsia="Gadugi" w:cs="Gadugi"/>
        </w:rPr>
        <w:t>ᏧᏓᎴᎢᏍᏗ</w:t>
      </w:r>
      <w:r>
        <w:rPr>
          <w:rFonts w:ascii="Times New Roman" w:hAnsi="Times New Roman" w:eastAsia="Times New Roman" w:cs="Times New Roman"/>
        </w:rPr>
        <w:t xml:space="preserve"> </w:t>
      </w:r>
      <w:r>
        <w:rPr>
          <w:rFonts w:ascii="Gadugi" w:hAnsi="Gadugi" w:eastAsia="Gadugi" w:cs="Gadugi"/>
        </w:rPr>
        <w:t>ᏣᎦᏃᎮᎭ</w:t>
      </w:r>
      <w:r>
        <w:rPr>
          <w:rFonts w:ascii="Times New Roman" w:hAnsi="Times New Roman" w:eastAsia="Times New Roman" w:cs="Times New Roman"/>
        </w:rPr>
        <w:t xml:space="preserve"> </w:t>
      </w:r>
      <w:r>
        <w:rPr>
          <w:rFonts w:ascii="Gadugi" w:hAnsi="Gadugi" w:eastAsia="Gadugi" w:cs="Gadugi"/>
        </w:rPr>
        <w:t>ᏗᎧᏃᎮᎭ</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ᏧᏕᎳᏆᏍᏗ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ᏓᏟᎶᏍᏗ</w:t>
      </w:r>
      <w:r>
        <w:rPr>
          <w:rFonts w:ascii="Times New Roman" w:hAnsi="Times New Roman" w:eastAsia="Times New Roman" w:cs="Times New Roman"/>
        </w:rPr>
        <w:t xml:space="preserve"> </w:t>
      </w:r>
      <w:r>
        <w:rPr>
          <w:rFonts w:ascii="Gadugi" w:hAnsi="Gadugi" w:eastAsia="Gadugi" w:cs="Gadugi"/>
        </w:rPr>
        <w:t>ᏧᎵᏰᎢ</w:t>
      </w:r>
      <w:r>
        <w:rPr>
          <w:rFonts w:ascii="Times New Roman" w:hAnsi="Times New Roman" w:eastAsia="Times New Roman" w:cs="Times New Roman"/>
        </w:rPr>
        <w:t xml:space="preserve"> </w:t>
      </w:r>
      <w:r>
        <w:rPr>
          <w:rFonts w:ascii="Gadugi" w:hAnsi="Gadugi" w:eastAsia="Gadugi" w:cs="Gadugi"/>
        </w:rPr>
        <w:t>ᏗᏓᎴᎢᏍᏗ</w:t>
      </w:r>
      <w:r>
        <w:rPr>
          <w:rFonts w:ascii="Times New Roman" w:hAnsi="Times New Roman" w:eastAsia="Times New Roman" w:cs="Times New Roman"/>
        </w:rPr>
        <w:t xml:space="preserve"> </w:t>
      </w:r>
      <w:r>
        <w:rPr>
          <w:rFonts w:ascii="Gadugi" w:hAnsi="Gadugi" w:eastAsia="Gadugi" w:cs="Gadugi"/>
        </w:rPr>
        <w:t>ᎧᏃᎮᎭ</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ᏂᎦᏰᎯᏛ</w:t>
      </w:r>
      <w:r>
        <w:rPr>
          <w:rFonts w:ascii="Times New Roman" w:hAnsi="Times New Roman" w:eastAsia="Times New Roman" w:cs="Times New Roman"/>
        </w:rPr>
        <w:t xml:space="preserve"> </w:t>
      </w:r>
      <w:r>
        <w:rPr>
          <w:rFonts w:ascii="Gadugi" w:hAnsi="Gadugi" w:eastAsia="Gadugi" w:cs="Gadugi"/>
        </w:rPr>
        <w:t>ᏓᏟᎶᏍᏗ</w:t>
      </w:r>
      <w:r>
        <w:rPr>
          <w:rFonts w:ascii="Times New Roman" w:hAnsi="Times New Roman" w:eastAsia="Times New Roman" w:cs="Times New Roman"/>
        </w:rPr>
        <w:t xml:space="preserve"> </w:t>
      </w:r>
      <w:r>
        <w:rPr>
          <w:rFonts w:ascii="Gadugi" w:hAnsi="Gadugi" w:eastAsia="Gadugi" w:cs="Gadugi"/>
        </w:rPr>
        <w:t>ᎭᏫᏂᏏ</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ᎤᎵᎪᏁᎸ</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ᏗᎦᎵᏍᏓᏁᎯ</w:t>
      </w:r>
      <w:r>
        <w:rPr>
          <w:rFonts w:ascii="Times New Roman" w:hAnsi="Times New Roman" w:eastAsia="Times New Roman" w:cs="Times New Roman"/>
        </w:rPr>
        <w:t xml:space="preserve"> </w:t>
      </w:r>
      <w:r>
        <w:rPr>
          <w:rFonts w:ascii="Gadugi" w:hAnsi="Gadugi" w:eastAsia="Gadugi" w:cs="Gadugi"/>
        </w:rPr>
        <w:t>ᎠᎬᏱᎶᏗ</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ᏗᏕᎳᏆᏍᏗ</w:t>
      </w:r>
      <w:r>
        <w:rPr>
          <w:rFonts w:ascii="Times New Roman" w:hAnsi="Times New Roman" w:eastAsia="Times New Roman" w:cs="Times New Roman"/>
        </w:rPr>
        <w:t xml:space="preserve"> </w:t>
      </w:r>
      <w:r>
        <w:rPr>
          <w:rFonts w:ascii="Gadugi" w:hAnsi="Gadugi" w:eastAsia="Gadugi" w:cs="Gadugi"/>
        </w:rPr>
        <w:t>ᏚᏙᎯᏳᎯᎲ</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ᎦᎬᏩᏁᎯ</w:t>
      </w:r>
      <w:r>
        <w:rPr>
          <w:rFonts w:ascii="Times New Roman" w:hAnsi="Times New Roman" w:eastAsia="Times New Roman" w:cs="Times New Roman"/>
        </w:rPr>
        <w:t xml:space="preserve"> </w:t>
      </w:r>
      <w:r>
        <w:rPr>
          <w:rFonts w:ascii="Gadugi" w:hAnsi="Gadugi" w:eastAsia="Gadugi" w:cs="Gadugi"/>
        </w:rPr>
        <w:t>ᏚᎩᏍᏙᏗ</w:t>
      </w:r>
      <w:r>
        <w:rPr>
          <w:rFonts w:ascii="Times New Roman" w:hAnsi="Times New Roman" w:eastAsia="Times New Roman" w:cs="Times New Roman"/>
        </w:rPr>
        <w:t xml:space="preserve"> </w:t>
      </w:r>
      <w:r>
        <w:rPr>
          <w:rFonts w:ascii="Gadugi" w:hAnsi="Gadugi" w:eastAsia="Gadugi" w:cs="Gadugi"/>
        </w:rPr>
        <w:t>ᏒᏓᏭᎵᏍᎪ</w:t>
      </w:r>
      <w:r>
        <w:rPr>
          <w:rFonts w:ascii="Times New Roman" w:hAnsi="Times New Roman" w:eastAsia="Times New Roman" w:cs="Times New Roman"/>
        </w:rPr>
        <w:t xml:space="preserve"> </w:t>
      </w:r>
      <w:r>
        <w:rPr>
          <w:rFonts w:ascii="Gadugi" w:hAnsi="Gadugi" w:eastAsia="Gadugi" w:cs="Gadugi"/>
        </w:rPr>
        <w:t>ᏄᏪᏍᎬ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ᎢᏗᏯᏙᎲᎢ</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ᎦᏰᎯᏛ</w:t>
      </w:r>
      <w:r>
        <w:rPr>
          <w:rFonts w:ascii="Times New Roman" w:hAnsi="Times New Roman" w:eastAsia="Times New Roman" w:cs="Times New Roman"/>
        </w:rPr>
        <w:t xml:space="preserve"> </w:t>
      </w:r>
      <w:r>
        <w:rPr>
          <w:rFonts w:ascii="Gadugi" w:hAnsi="Gadugi" w:eastAsia="Gadugi" w:cs="Gadugi"/>
        </w:rPr>
        <w:t>ᏓᏟᎶᏍᏗ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ᎤᏙᎴᎰᎯᏍᏗ</w:t>
      </w:r>
      <w:r>
        <w:rPr>
          <w:rFonts w:ascii="Times New Roman" w:hAnsi="Times New Roman" w:eastAsia="Times New Roman" w:cs="Times New Roman"/>
        </w:rPr>
        <w:t xml:space="preserve"> </w:t>
      </w:r>
      <w:r>
        <w:rPr>
          <w:rFonts w:ascii="Gadugi" w:hAnsi="Gadugi" w:eastAsia="Gadugi" w:cs="Gadugi"/>
        </w:rPr>
        <w:t>ᎤᏓᏛᎬ</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ᏉᏓ</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ᏚᏖᎸᏅ</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ᏚᏃᎮᎸ</w:t>
      </w:r>
      <w:r>
        <w:rPr>
          <w:rFonts w:ascii="Times New Roman" w:hAnsi="Times New Roman" w:eastAsia="Times New Roman" w:cs="Times New Roman"/>
        </w:rPr>
        <w:t xml:space="preserve"> </w:t>
      </w:r>
      <w:r>
        <w:rPr>
          <w:rFonts w:ascii="Gadugi" w:hAnsi="Gadugi" w:eastAsia="Gadugi" w:cs="Gadugi"/>
        </w:rPr>
        <w:t>ᏗᎧᎿᎭᎢ</w:t>
      </w:r>
      <w:r>
        <w:rPr>
          <w:rFonts w:ascii="Times New Roman" w:hAnsi="Times New Roman" w:eastAsia="Times New Roman" w:cs="Times New Roman"/>
        </w:rPr>
        <w:t xml:space="preserve"> </w:t>
      </w:r>
      <w:r>
        <w:rPr>
          <w:rFonts w:ascii="Gadugi" w:hAnsi="Gadugi" w:eastAsia="Gadugi" w:cs="Gadugi"/>
        </w:rPr>
        <w:t>ᏗᏂᏅᏗ</w:t>
      </w:r>
      <w:r>
        <w:rPr>
          <w:rFonts w:ascii="Times New Roman" w:hAnsi="Times New Roman" w:eastAsia="Times New Roman" w:cs="Times New Roman"/>
        </w:rPr>
        <w:t xml:space="preserve"> </w:t>
      </w:r>
      <w:r>
        <w:rPr>
          <w:rFonts w:ascii="Gadugi" w:hAnsi="Gadugi" w:eastAsia="Gadugi" w:cs="Gadugi"/>
        </w:rPr>
        <w:t>ᎩᎶᏁᎸᎯ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ᎤᏪᏟᎶᏛ</w:t>
      </w:r>
      <w:r>
        <w:rPr>
          <w:rFonts w:ascii="Times New Roman" w:hAnsi="Times New Roman" w:eastAsia="Times New Roman" w:cs="Times New Roman"/>
        </w:rPr>
        <w:t xml:space="preserve"> </w:t>
      </w:r>
      <w:r>
        <w:rPr>
          <w:rFonts w:ascii="Gadugi" w:hAnsi="Gadugi" w:eastAsia="Gadugi" w:cs="Gadugi"/>
        </w:rPr>
        <w:t>ᏧᏃᎯᏳᎯ</w:t>
      </w:r>
      <w:r>
        <w:rPr>
          <w:rFonts w:ascii="Times New Roman" w:hAnsi="Times New Roman" w:eastAsia="Times New Roman" w:cs="Times New Roman"/>
        </w:rPr>
        <w:t xml:space="preserve"> </w:t>
      </w:r>
      <w:r>
        <w:rPr>
          <w:rFonts w:ascii="Gadugi" w:hAnsi="Gadugi" w:eastAsia="Gadugi" w:cs="Gadugi"/>
        </w:rPr>
        <w:t>ᎤᏬᎳᏅᎯ</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Moses-in reforma línian, Divinidad uraykamusqanmi kanchariq sach’api tiyaran, kamachiqwan kamasqawan hukllachasqa kasqanta rikuchiq unancha. Qanchis chunka watakuna tukukuyninpi reforma línianpita, Miguel uraykamurqan Cirota kallpachananpaq, ñawpaq kamachiyta ñawpaqman apananpaq, chay pachallapitaq Danielpas Cristopa rikchayninman tukusqa karqan. Cristopa reforma línianpi, Santo Espíritu uraykamurqan urpi hina rikurispan Diospa Churinman llusisqa kananpaq, Divinidadwan runa kay hukllachasqa kasqanta rikuchiq unancha hina. Millerita historiapi, 1840 watapi agosto killapa 11 p’unchayninpi uraykamuq angelqa “manam Jesuscristo mantachu aswan pisi allin runaqa karqan,” hinaspan huk huch’uy librowan uraykamurqan chay mikhunapaq kaqta, paymi chay huch’uy libro karqan. Chaypin rikuchirqan Divinidadwan runa kay hukllachasqa kasqanqa hanaq p’apaq T’antapa aychanta, yawarninta mikhuspa upyaspa hunt’akuywanmi ruwasqa kanan.</w:t>
      </w:r>
    </w:p>
    <w:p>
      <w:pPr>
        <w:pStyle w:val="ArticleBody"/>
        <w:jc w:val="left"/>
      </w:pPr>
      <w:r>
        <w:rPr>
          <w:rFonts w:ascii="Myanmar Text" w:hAnsi="Myanmar Text" w:eastAsia="Myanmar Text" w:cs="Myanmar Text"/>
        </w:rPr>
        <w:t>သန့်ရှင်းသောသမိုင်းသည်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ရှိနေမှုအားဖြင့်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ပုံသဏ္ဍာန်ယူထားသောကြောင့်</w:t>
      </w:r>
      <w:r>
        <w:rPr>
          <w:rFonts w:ascii="Times New Roman" w:hAnsi="Times New Roman" w:eastAsia="Times New Roman" w:cs="Times New Roman"/>
        </w:rPr>
        <w:t xml:space="preserve"> </w:t>
      </w:r>
      <w:r>
        <w:rPr>
          <w:rFonts w:ascii="Myanmar Text" w:hAnsi="Myanmar Text" w:eastAsia="Myanmar Text" w:cs="Myanmar Text"/>
        </w:rPr>
        <w:t>သန့်ရှင်းလျက်ရှိသည်။</w:t>
      </w:r>
      <w:r>
        <w:rPr>
          <w:rFonts w:ascii="Times New Roman" w:hAnsi="Times New Roman" w:eastAsia="Times New Roman" w:cs="Times New Roman"/>
        </w:rPr>
        <w:t xml:space="preserve"> </w:t>
      </w:r>
      <w:r>
        <w:rPr>
          <w:rFonts w:ascii="Myanmar Text" w:hAnsi="Myanmar Text" w:eastAsia="Myanmar Text" w:cs="Myanmar Text"/>
        </w:rPr>
        <w:t>အနာဂတ်ဖြစ်ရပ်များကို</w:t>
      </w:r>
      <w:r>
        <w:rPr>
          <w:rFonts w:ascii="Times New Roman" w:hAnsi="Times New Roman" w:eastAsia="Times New Roman" w:cs="Times New Roman"/>
        </w:rPr>
        <w:t xml:space="preserve"> </w:t>
      </w:r>
      <w:r>
        <w:rPr>
          <w:rFonts w:ascii="Myanmar Text" w:hAnsi="Myanmar Text" w:eastAsia="Myanmar Text" w:cs="Myanmar Text"/>
        </w:rPr>
        <w:t>သတ်မှတ်ဖော်ပြသော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ပါရှိသည့်</w:t>
      </w:r>
      <w:r>
        <w:rPr>
          <w:rFonts w:ascii="Times New Roman" w:hAnsi="Times New Roman" w:eastAsia="Times New Roman" w:cs="Times New Roman"/>
        </w:rPr>
        <w:t xml:space="preserve"> </w:t>
      </w:r>
      <w:r>
        <w:rPr>
          <w:rFonts w:ascii="Myanmar Text" w:hAnsi="Myanmar Text" w:eastAsia="Myanmar Text" w:cs="Myanmar Text"/>
        </w:rPr>
        <w:t>ကြိုတင်ဟောကိန်းများသည်</w:t>
      </w:r>
      <w:r>
        <w:rPr>
          <w:rFonts w:ascii="Times New Roman" w:hAnsi="Times New Roman" w:eastAsia="Times New Roman" w:cs="Times New Roman"/>
        </w:rPr>
        <w:t xml:space="preserve"> </w:t>
      </w:r>
      <w:r>
        <w:rPr>
          <w:rFonts w:ascii="Myanmar Text" w:hAnsi="Myanmar Text" w:eastAsia="Myanmar Text" w:cs="Myanmar Text"/>
        </w:rPr>
        <w:t>ယေရှုခရစ်တော်ပင်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ဖြစ်တော်မူ၏။</w:t>
      </w:r>
      <w:r>
        <w:rPr>
          <w:rFonts w:ascii="Times New Roman" w:hAnsi="Times New Roman" w:eastAsia="Times New Roman" w:cs="Times New Roman"/>
        </w:rPr>
        <w:t xml:space="preserve"> </w:t>
      </w:r>
      <w:r>
        <w:rPr>
          <w:rFonts w:ascii="Myanmar Text" w:hAnsi="Myanmar Text" w:eastAsia="Myanmar Text" w:cs="Myanmar Text"/>
        </w:rPr>
        <w:t>ထိုကြိုတင်ဟောကိန်းများသည်</w:t>
      </w:r>
      <w:r>
        <w:rPr>
          <w:rFonts w:ascii="Times New Roman" w:hAnsi="Times New Roman" w:eastAsia="Times New Roman" w:cs="Times New Roman"/>
        </w:rPr>
        <w:t xml:space="preserve"> </w:t>
      </w:r>
      <w:r>
        <w:rPr>
          <w:rFonts w:ascii="Myanmar Text" w:hAnsi="Myanmar Text" w:eastAsia="Myanmar Text" w:cs="Myanmar Text"/>
        </w:rPr>
        <w:t>သမိုင်းအတွင်း</w:t>
      </w:r>
      <w:r>
        <w:rPr>
          <w:rFonts w:ascii="Times New Roman" w:hAnsi="Times New Roman" w:eastAsia="Times New Roman" w:cs="Times New Roman"/>
        </w:rPr>
        <w:t xml:space="preserve"> </w:t>
      </w:r>
      <w:r>
        <w:rPr>
          <w:rFonts w:ascii="Myanmar Text" w:hAnsi="Myanmar Text" w:eastAsia="Myanmar Text" w:cs="Myanmar Text"/>
        </w:rPr>
        <w:t>ပြည့်စုံလာသောအခါ၊</w:t>
      </w:r>
      <w:r>
        <w:rPr>
          <w:rFonts w:ascii="Times New Roman" w:hAnsi="Times New Roman" w:eastAsia="Times New Roman" w:cs="Times New Roman"/>
        </w:rPr>
        <w:t xml:space="preserve"> </w:t>
      </w:r>
      <w:r>
        <w:rPr>
          <w:rFonts w:ascii="Myanmar Text" w:hAnsi="Myanmar Text" w:eastAsia="Myanmar Text" w:cs="Myanmar Text"/>
        </w:rPr>
        <w:t>ထိုဖြစ်ရပ်များသည်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ပြည့်စုံခြင်းကို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ထိုနှုတ်ကပတ်တော်သည်</w:t>
      </w:r>
      <w:r>
        <w:rPr>
          <w:rFonts w:ascii="Times New Roman" w:hAnsi="Times New Roman" w:eastAsia="Times New Roman" w:cs="Times New Roman"/>
        </w:rPr>
        <w:t xml:space="preserve"> </w:t>
      </w:r>
      <w:r>
        <w:rPr>
          <w:rFonts w:ascii="Myanmar Text" w:hAnsi="Myanmar Text" w:eastAsia="Myanmar Text" w:cs="Myanmar Text"/>
        </w:rPr>
        <w:t>သမ္မာတရားဖြစ်၏။</w:t>
      </w:r>
      <w:r>
        <w:rPr>
          <w:rFonts w:ascii="Times New Roman" w:hAnsi="Times New Roman" w:eastAsia="Times New Roman" w:cs="Times New Roman"/>
        </w:rPr>
        <w:t xml:space="preserve"> </w:t>
      </w:r>
      <w:r>
        <w:rPr>
          <w:rFonts w:ascii="Myanmar Text" w:hAnsi="Myanmar Text" w:eastAsia="Myanmar Text" w:cs="Myanmar Text"/>
        </w:rPr>
        <w:t>ကြိုတင်ဟောကိန်းကို</w:t>
      </w:r>
      <w:r>
        <w:rPr>
          <w:rFonts w:ascii="Times New Roman" w:hAnsi="Times New Roman" w:eastAsia="Times New Roman" w:cs="Times New Roman"/>
        </w:rPr>
        <w:t xml:space="preserve"> </w:t>
      </w:r>
      <w:r>
        <w:rPr>
          <w:rFonts w:ascii="Myanmar Text" w:hAnsi="Myanmar Text" w:eastAsia="Myanmar Text" w:cs="Myanmar Text"/>
        </w:rPr>
        <w:t>ထုတ်ဖော်တင်ပြသောအရာမှာ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နှုတ်ကပတ်တော်ပင်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ဖြစ်ရပ်ရောက်ရှိလာသောအခါ</w:t>
      </w:r>
      <w:r>
        <w:rPr>
          <w:rFonts w:ascii="Times New Roman" w:hAnsi="Times New Roman" w:eastAsia="Times New Roman" w:cs="Times New Roman"/>
        </w:rPr>
        <w:t xml:space="preserve"> </w:t>
      </w:r>
      <w:r>
        <w:rPr>
          <w:rFonts w:ascii="Myanmar Text" w:hAnsi="Myanmar Text" w:eastAsia="Myanmar Text" w:cs="Myanmar Text"/>
        </w:rPr>
        <w:t>ပြည့်စုံလာသောအရာမှာလည်း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နှုတ်ကပတ်တော်ပင်</w:t>
      </w:r>
      <w:r>
        <w:rPr>
          <w:rFonts w:ascii="Times New Roman" w:hAnsi="Times New Roman" w:eastAsia="Times New Roman" w:cs="Times New Roman"/>
        </w:rPr>
        <w:t xml:space="preserve"> </w:t>
      </w:r>
      <w:r>
        <w:rPr>
          <w:rFonts w:ascii="Myanmar Text" w:hAnsi="Myanmar Text" w:eastAsia="Myanmar Text" w:cs="Myanmar Text"/>
        </w:rPr>
        <w:t>ဖြစ်သဖြင့်၊</w:t>
      </w:r>
      <w:r>
        <w:rPr>
          <w:rFonts w:ascii="Times New Roman" w:hAnsi="Times New Roman" w:eastAsia="Times New Roman" w:cs="Times New Roman"/>
        </w:rPr>
        <w:t xml:space="preserve"> </w:t>
      </w:r>
      <w:r>
        <w:rPr>
          <w:rFonts w:ascii="Myanmar Text" w:hAnsi="Myanmar Text" w:eastAsia="Myanmar Text" w:cs="Myanmar Text"/>
        </w:rPr>
        <w:t>အစအဦး၌လည်းကောင်း</w:t>
      </w:r>
      <w:r>
        <w:rPr>
          <w:rFonts w:ascii="Times New Roman" w:hAnsi="Times New Roman" w:eastAsia="Times New Roman" w:cs="Times New Roman"/>
        </w:rPr>
        <w:t xml:space="preserve"> </w:t>
      </w:r>
      <w:r>
        <w:rPr>
          <w:rFonts w:ascii="Myanmar Text" w:hAnsi="Myanmar Text" w:eastAsia="Myanmar Text" w:cs="Myanmar Text"/>
        </w:rPr>
        <w:t>အဆုံး၌လည်းကောင်း</w:t>
      </w:r>
      <w:r>
        <w:rPr>
          <w:rFonts w:ascii="Times New Roman" w:hAnsi="Times New Roman" w:eastAsia="Times New Roman" w:cs="Times New Roman"/>
        </w:rPr>
        <w:t xml:space="preserve"> </w:t>
      </w:r>
      <w:r>
        <w:rPr>
          <w:rFonts w:ascii="Myanmar Text" w:hAnsi="Myanmar Text" w:eastAsia="Myanmar Text" w:cs="Myanmar Text"/>
        </w:rPr>
        <w:t>ယေရှုခရစ်တော်ပင်</w:t>
      </w:r>
      <w:r>
        <w:rPr>
          <w:rFonts w:ascii="Times New Roman" w:hAnsi="Times New Roman" w:eastAsia="Times New Roman" w:cs="Times New Roman"/>
        </w:rPr>
        <w:t xml:space="preserve"> </w:t>
      </w:r>
      <w:r>
        <w:rPr>
          <w:rFonts w:ascii="Myanmar Text" w:hAnsi="Myanmar Text" w:eastAsia="Myanmar Text" w:cs="Myanmar Text"/>
        </w:rPr>
        <w:t>ဖြစ်တော်မူ၏။</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ဖြစ်တော်မူ၏။</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ပေတရုက</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ခရစ်တော်ဖြစ်၍</w:t>
      </w:r>
      <w:r>
        <w:rPr>
          <w:rFonts w:ascii="Times New Roman" w:hAnsi="Times New Roman" w:eastAsia="Times New Roman" w:cs="Times New Roman"/>
        </w:rPr>
        <w:t xml:space="preserve"> </w:t>
      </w:r>
      <w:r>
        <w:rPr>
          <w:rFonts w:ascii="Myanmar Text" w:hAnsi="Myanmar Text" w:eastAsia="Myanmar Text" w:cs="Myanmar Text"/>
        </w:rPr>
        <w:t>အသက်ရှင်တော်မူသော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သားတော်ဖြစ်ကြောင်း</w:t>
      </w:r>
      <w:r>
        <w:rPr>
          <w:rFonts w:ascii="Times New Roman" w:hAnsi="Times New Roman" w:eastAsia="Times New Roman" w:cs="Times New Roman"/>
        </w:rPr>
        <w:t xml:space="preserve"> </w:t>
      </w:r>
      <w:r>
        <w:rPr>
          <w:rFonts w:ascii="Myanmar Text" w:hAnsi="Myanmar Text" w:eastAsia="Myanmar Text" w:cs="Myanmar Text"/>
        </w:rPr>
        <w:t>ကြေညာခဲ့သည့်အခါ၊</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ယေရှုခရစ်တော်ပင်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လမ်းမှတ်တစ်ခုနှင့်</w:t>
      </w:r>
      <w:r>
        <w:rPr>
          <w:rFonts w:ascii="Times New Roman" w:hAnsi="Times New Roman" w:eastAsia="Times New Roman" w:cs="Times New Roman"/>
        </w:rPr>
        <w:t xml:space="preserve"> </w:t>
      </w:r>
      <w:r>
        <w:rPr>
          <w:rFonts w:ascii="Myanmar Text" w:hAnsi="Myanmar Text" w:eastAsia="Myanmar Text" w:cs="Myanmar Text"/>
        </w:rPr>
        <w:t>နောက်ဆုံးသောကာလ၌</w:t>
      </w:r>
      <w:r>
        <w:rPr>
          <w:rFonts w:ascii="Times New Roman" w:hAnsi="Times New Roman" w:eastAsia="Times New Roman" w:cs="Times New Roman"/>
        </w:rPr>
        <w:t xml:space="preserve"> </w:t>
      </w:r>
      <w:r>
        <w:rPr>
          <w:rFonts w:ascii="Myanmar Text" w:hAnsi="Myanmar Text" w:eastAsia="Myanmar Text" w:cs="Myanmar Text"/>
        </w:rPr>
        <w:t>စုံလင်ပြည့်စုံခြင်းသို့</w:t>
      </w:r>
      <w:r>
        <w:rPr>
          <w:rFonts w:ascii="Times New Roman" w:hAnsi="Times New Roman" w:eastAsia="Times New Roman" w:cs="Times New Roman"/>
        </w:rPr>
        <w:t xml:space="preserve"> </w:t>
      </w:r>
      <w:r>
        <w:rPr>
          <w:rFonts w:ascii="Myanmar Text" w:hAnsi="Myanmar Text" w:eastAsia="Myanmar Text" w:cs="Myanmar Text"/>
        </w:rPr>
        <w:t>ရောက်ရှိသော</w:t>
      </w:r>
      <w:r>
        <w:rPr>
          <w:rFonts w:ascii="Times New Roman" w:hAnsi="Times New Roman" w:eastAsia="Times New Roman" w:cs="Times New Roman"/>
        </w:rPr>
        <w:t xml:space="preserve"> </w:t>
      </w:r>
      <w:r>
        <w:rPr>
          <w:rFonts w:ascii="Myanmar Text" w:hAnsi="Myanmar Text" w:eastAsia="Myanmar Text" w:cs="Myanmar Text"/>
        </w:rPr>
        <w:t>လမ်းမှတ်တစ်ခုကို</w:t>
      </w:r>
      <w:r>
        <w:rPr>
          <w:rFonts w:ascii="Times New Roman" w:hAnsi="Times New Roman" w:eastAsia="Times New Roman" w:cs="Times New Roman"/>
        </w:rPr>
        <w:t xml:space="preserve"> </w:t>
      </w:r>
      <w:r>
        <w:rPr>
          <w:rFonts w:ascii="Myanmar Text" w:hAnsi="Myanmar Text" w:eastAsia="Myanmar Text" w:cs="Myanmar Text"/>
        </w:rPr>
        <w:t>သတ်မှတ်ဖော်ထုတ်နေခြင်း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စုံလင်ပြည့်စုံခြင်း</w:t>
      </w:r>
      <w:r>
        <w:rPr>
          <w:rFonts w:ascii="Times New Roman" w:hAnsi="Times New Roman" w:eastAsia="Times New Roman" w:cs="Times New Roman"/>
        </w:rPr>
        <w:t xml:space="preserve"> </w:t>
      </w:r>
      <w:r>
        <w:rPr>
          <w:rFonts w:ascii="Myanmar Text" w:hAnsi="Myanmar Text" w:eastAsia="Myanmar Text" w:cs="Myanmar Text"/>
        </w:rPr>
        <w:t>ဖြစ်ခဲ့သည်။</w:t>
      </w:r>
    </w:p>
    <w:p>
      <w:pPr>
        <w:pStyle w:val="ArticleBody"/>
        <w:jc w:val="left"/>
      </w:pPr>
      <w:r>
        <w:rPr>
          <w:rFonts w:ascii="Times New Roman" w:hAnsi="Times New Roman" w:eastAsia="Times New Roman" w:cs="Times New Roman"/>
        </w:rPr>
        <w:t>‎برای ردّ تحقق نبوتیِ یازدهم سپتامبر ۲۰۰۱، یعنی ردّ مسیح، پسرِ خدای زنده. آن حقیقت که پطرس آن را بیان کرد، «بنیادِ ایمانِ ایماندار» بود، و در یازدهم سپتامبر ۲۰۰۱ مسیح قومِ ایامِ آخرِ خود را به «راه‌های قدیم» ارمیا بازگردانید؛ راه‌هایی که «بنیادها»ی نهضتِ پیام‌های فرشتهٔ اول و سوم را نمایندگی می‌کنند. پطرس نمایندهٔ یکصد و چهل و چهار هزار نفر بود که در دوره‌ای که چهار فرشته چهار باد را بازمی‌دارند، مُهر می‌شوند. زمانِ مُهرگذاری دوره‌ای نبوتیِ مشخص است که از یازدهم سپتامبر ۲۰۰۱ آغاز می‌شود و با قانونِ یکشنبه‌ای که به‌زودی خواهد آمد پایان می‌یابد. عیسی همواره پایانِ یک چیز را با آغازِ یک چیز به تصویر می‌کشد.</w:t>
      </w:r>
    </w:p>
    <w:p>
      <w:pPr>
        <w:pStyle w:val="ArticleBody"/>
        <w:jc w:val="left"/>
      </w:pPr>
      <w:r>
        <w:rPr>
          <w:rFonts w:ascii="Times New Roman" w:hAnsi="Times New Roman" w:eastAsia="Times New Roman" w:cs="Times New Roman"/>
        </w:rPr>
        <w:t>ختم زمانىسىنىڭ بېشىدا ۋەھىينىڭ ئون سەككىزىنچى بابىدىكى پەرىشتە، چۆمۈلدۈرۈلۈش ۋاقتىدا مۇقەددەس روھ چۈشۈپ كەلگەندەك، چۈشۈپ كەلدى؛ ۋە ئۇ پەرىشتە «ئەيسا مەسىھتىن باشقا ھېچكىم ئەمەس ئىدى»، چۈنكى مىللىرچىلار تارىخىدا يەرنى ئۆز شان-شەرىپى بىلەن يورۇتۇش ئۈچۈن چۈشۈپ كەلگەن پەرىشتە «ئەيسا مەسىھتىن باشقا ھېچكىم ئەمەس ئىدى». يېقىندا كېلىدىغان يەكشەنبە قانۇنى ۋاقتىدا «ئەيسا مەسىھتىن باشقا ھېچكىم ئەمەس» بولغان زات يەنە چۈشۈپ كېلىدۇ ۋە ۋەھىينىڭ ئون سەككىزىنچى بابىدىكى ئىككى ئۇچۇرنىڭ ئىككىنچىسىنى تەقدىم قىلىدۇ، چۈنكى ئۇ ئۆزىنىڭ باشقا قويلىرىنى بابىلوندىن چىقىشقا چاقىرىدۇ. ختم زمانىسى مەزگىلىنىڭ ئوتتۇرىسىدا بىر پەرىشتە چۈشۈپ كەلدى، خۇددى مىللىرچىلار ھەرىكىتىنىڭ بىرىنچى ئۈمىدسىزلىنىشىدە، 1844-يىلى 19-ئاپرېل كۈنى، ئىككىنچى پەرىشتە چۈشۈپ كەلگەندەك.</w:t>
      </w:r>
    </w:p>
    <w:p>
      <w:pPr>
        <w:pStyle w:val="ArticleBody"/>
        <w:jc w:val="left"/>
      </w:pPr>
      <w:r>
        <w:rPr>
          <w:rFonts w:ascii="Times New Roman" w:hAnsi="Times New Roman" w:eastAsia="Times New Roman" w:cs="Times New Roman"/>
        </w:rPr>
        <w:t>ان دوسرے فرشتے کی آمد اور 22 اکتوبر 1844 کو تیسرے فرشتے کی آمد کے درمیان، بہت سے فرشتے بھیجے گئے تاکہ جب نصفُ اللیل کی صدا کا پیغام پہنچا تو دوسرے فرشتے کو مزید قوت دی جائے۔ اُس تاریخ کا ذکر کرتے ہوئے جب یہ فرشتے میلری تحریک کی تاریخ میں آئے، سسٹر وائٹ ہمیں مطلع کرتی ہیں کہ جنہوں نے ان پیغامات کو رد کیا، انہوں نے مسیح کو اسی یقین کے ساتھ مصلوب کیا جس طرح یہودیوں نے مسیح کو مصلوب کیا تھا۔</w:t>
      </w:r>
    </w:p>
    <w:p>
      <w:pPr>
        <w:pStyle w:val="ArticleScripture"/>
        <w:jc w:val="left"/>
      </w:pPr>
      <w:r>
        <w:rPr>
          <w:rFonts w:ascii="Times New Roman" w:hAnsi="Times New Roman" w:eastAsia="Times New Roman" w:cs="Times New Roman"/>
        </w:rPr>
        <w:t>“Yahudiler İsa’yı çarmıha gerdikleri gibi, isimde kalan kiliselerin de bu mesajları çarmıha gerdiklerini gördüm; bu nedenle en kutsal yere giden yol hakkında hiçbir bilgileri yoktur ve İsa’nın oradaki şefaatinden yararlanamazlar.” Early Writings, 261.</w:t>
      </w:r>
    </w:p>
    <w:p>
      <w:pPr>
        <w:pStyle w:val="ArticleBody"/>
        <w:jc w:val="left"/>
      </w:pPr>
      <w:r>
        <w:rPr>
          <w:rFonts w:ascii="Times New Roman" w:hAnsi="Times New Roman" w:eastAsia="Times New Roman" w:cs="Times New Roman"/>
        </w:rPr>
        <w:t>پیام‌هایی که به‌وسیلهٔ فرشتگان نمود یافته‌اند، هنگامی که رد می‌شوند، مصلوب شدنِ مسیح را مجسّم می‌سازند، زیرا او خود تجسّمِ این پیام‌ها و تحقق تاریخیِ آن‌هاست. در ۱۸ ژوئیهٔ ۲۰۲۰، «نه کسی کمتر از خودِ عیسی مسیح» فرود آمد، و بدین‌سان نخستین یأس را رقم زد و آغازِ زمانِ تأخیر را نشان نهاد. کشته‌شده در کوچه‌ها، استخوان‌های خشکِ مردهٔ قومِ آخرالزمانیِ او می‌بایست با شنیدنِ تنها آوازی که می‌تواند مردم را به حیات بازگرداند، بیدار شوند.</w:t>
      </w:r>
    </w:p>
    <w:p>
      <w:pPr>
        <w:pStyle w:val="ArticleScripture"/>
        <w:jc w:val="left"/>
      </w:pPr>
      <w:r>
        <w:rPr>
          <w:rFonts w:ascii="Times New Roman" w:hAnsi="Times New Roman" w:eastAsia="Times New Roman" w:cs="Times New Roman"/>
        </w:rPr>
        <w:t>Əminəm, əminəm, sizə deyirəm: elə bir saat gəlir və artıq gəlib çatmışdır ki, ölülər Allah Oğlunun səsini eşidəcəklər; və eşidənlər yaşayacaqlar. Çünki Ata Özündə həyata malik olduğu kimi, Oğula da Özündə həyata malik olmağı vermişdir; və Ona hökm icra etmək səlahiyyəti də vermişdir, çünki O, Bəşər Oğludur. Buna təəccüb etməyin; çünki elə bir saat gəlir ki, qəbirlərdə olanların hamısı Onun səsini eşidəcəklər və çıxıb gələcəklər: yaxşılıq etmiş olanlar həyat dirilməsinə, pislik etmiş olanlar isə məhkumiyyət dirilməsinə. Yəhya 5:25–29.</w:t>
      </w:r>
    </w:p>
    <w:p>
      <w:pPr>
        <w:pStyle w:val="ArticleBody"/>
        <w:jc w:val="left"/>
      </w:pPr>
      <w:r>
        <w:rPr>
          <w:rFonts w:ascii="Times New Roman" w:hAnsi="Times New Roman" w:eastAsia="Times New Roman" w:cs="Times New Roman"/>
        </w:rPr>
        <w:t>ىوڵای 2023-ژ دا، ئەو دێنگەی مردوو و هەستووە وشکەکان بۆ ژیان بانگ کرد، و ئەلفا و ئۆمێگا پاشان سەرەتای کاتی مۆرکردن دووبارە کردەوە، چونکە ىوڵای 2023 نیشانەی ماوەی کۆتایی کاتی مۆرکردنە. گەلی ئەو ئەوسا دووبارە بانگهێشت کران بۆ ڕێگا کۆنەکانی یەرەمیایەوە، بۆ بنەماکانی مێژووی میلێرایتی. پەیامی بنەڕەتیی سەرەتاو کۆتایی میلێرایتییەکان یەکەم و دوا پەیامەکانی مێژووی میلێرایتی بوون، کە ئەوانە «حەوت کات»ی لاویان، بەشی بیست و شەش بوو.</w:t>
      </w:r>
    </w:p>
    <w:p>
      <w:pPr>
        <w:pStyle w:val="ArticleBody"/>
        <w:jc w:val="left"/>
      </w:pPr>
      <w:r>
        <w:rPr>
          <w:rFonts w:ascii="Times New Roman" w:hAnsi="Times New Roman" w:eastAsia="Times New Roman" w:cs="Times New Roman"/>
        </w:rPr>
        <w:t>En julio de 2023, al pueblo de Dios del tiempo del fin se le mandó una vez más tomar el librito y comerlo. Al comer el librito, entonces son probados para ver si reconocerán el mensaje del tercer Ay de Apocalipsis capítulo nueve (las nuevas del oriente) y el mensaje de Daniel capítulo once (las nuevas del norte). El proceso de prueba los conduce a los versículos trece al quince de Daniel capítulo once, que es la Batalla de Panio, que es Cesarea de Filipo y que es el mensaje del Clamor de Medianoche, donde se manifiestan las dos clases que han oído Su voz: una clase, “los que hicieron lo bueno saldrán a resurrección de vida; mas los que hicieron lo malo, a resurrección de condenación.”</w:t>
      </w:r>
    </w:p>
    <w:p>
      <w:pPr>
        <w:pStyle w:val="ArticleBody"/>
        <w:jc w:val="left"/>
      </w:pPr>
      <w:r>
        <w:rPr>
          <w:rFonts w:ascii="Leelawadee UI" w:hAnsi="Leelawadee UI" w:eastAsia="Leelawadee UI" w:cs="Leelawadee UI"/>
        </w:rPr>
        <w:t>มีพระสุรเสียงสามประการในช่วงเวลาแห่งการประทับตราคนหนึ่งแสนสี่หมื่นสี่พัน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และพระสุรเสียงทั้งปวงนั้นล้วนเป็นพระสุรเสียงของ</w:t>
      </w:r>
      <w:r>
        <w:rPr>
          <w:rFonts w:ascii="Times New Roman" w:hAnsi="Times New Roman" w:eastAsia="Times New Roman" w:cs="Times New Roman"/>
        </w:rPr>
        <w:t xml:space="preserve"> “</w:t>
      </w:r>
      <w:r>
        <w:rPr>
          <w:rFonts w:ascii="Leelawadee UI" w:hAnsi="Leelawadee UI" w:eastAsia="Leelawadee UI" w:cs="Leelawadee UI"/>
        </w:rPr>
        <w:t>บุคคลผู้ไม่ต่ำต้อยไปกว่าพระเยซูคริสต์</w:t>
      </w:r>
      <w:r>
        <w:rPr>
          <w:rFonts w:ascii="Times New Roman" w:hAnsi="Times New Roman" w:eastAsia="Times New Roman" w:cs="Times New Roman"/>
        </w:rPr>
        <w:t xml:space="preserve">” </w:t>
      </w:r>
      <w:r>
        <w:rPr>
          <w:rFonts w:ascii="Leelawadee UI" w:hAnsi="Leelawadee UI" w:eastAsia="Leelawadee UI" w:cs="Leelawadee UI"/>
        </w:rPr>
        <w:t>พระสุรเสียงแรกแห่งวิวรณ์บทที่สิบแปดได้ดังขึ้นเมื่ออาคารใหญ่ทั้งหลายในนครนิวยอร์กถูกทำให้พังทลายลงด้วยการแตะต้องจากพระเจ้า</w:t>
      </w:r>
      <w:r>
        <w:rPr>
          <w:rFonts w:ascii="Times New Roman" w:hAnsi="Times New Roman" w:eastAsia="Times New Roman" w:cs="Times New Roman"/>
        </w:rPr>
        <w:t xml:space="preserve"> </w:t>
      </w:r>
      <w:r>
        <w:rPr>
          <w:rFonts w:ascii="Leelawadee UI" w:hAnsi="Leelawadee UI" w:eastAsia="Leelawadee UI" w:cs="Leelawadee UI"/>
        </w:rPr>
        <w:t>พระสุรเสียงที่สองคือพระสุรเสียงของมีคาเอลอัครทูตสวรรค์</w:t>
      </w:r>
      <w:r>
        <w:rPr>
          <w:rFonts w:ascii="Times New Roman" w:hAnsi="Times New Roman" w:eastAsia="Times New Roman" w:cs="Times New Roman"/>
        </w:rPr>
        <w:t xml:space="preserve"> </w:t>
      </w:r>
      <w:r>
        <w:rPr>
          <w:rFonts w:ascii="Leelawadee UI" w:hAnsi="Leelawadee UI" w:eastAsia="Leelawadee UI" w:cs="Leelawadee UI"/>
        </w:rPr>
        <w:t>ผู้ทรงเรียกคนตายให้ออกมาจากอุโมงค์ฝังศพของพวกเขา</w:t>
      </w:r>
      <w:r>
        <w:rPr>
          <w:rFonts w:ascii="Times New Roman" w:hAnsi="Times New Roman" w:eastAsia="Times New Roman" w:cs="Times New Roman"/>
        </w:rPr>
        <w:t xml:space="preserve"> </w:t>
      </w:r>
      <w:r>
        <w:rPr>
          <w:rFonts w:ascii="Leelawadee UI" w:hAnsi="Leelawadee UI" w:eastAsia="Leelawadee UI" w:cs="Leelawadee UI"/>
        </w:rPr>
        <w:t>พระสุรเสียงที่สามคือพระสุรเสียงที่สองแห่งวิวรณ์บทที่สิบแปด</w:t>
      </w:r>
      <w:r>
        <w:rPr>
          <w:rFonts w:ascii="Times New Roman" w:hAnsi="Times New Roman" w:eastAsia="Times New Roman" w:cs="Times New Roman"/>
        </w:rPr>
        <w:t xml:space="preserve"> </w:t>
      </w:r>
      <w:r>
        <w:rPr>
          <w:rFonts w:ascii="Leelawadee UI" w:hAnsi="Leelawadee UI" w:eastAsia="Leelawadee UI" w:cs="Leelawadee UI"/>
        </w:rPr>
        <w:t>ซึ่งทรงเรียกแกะฝูงอื่นของพระองค์ให้ออกจากบาบิโลนในโมงยามแห่ง</w:t>
      </w:r>
      <w:r>
        <w:rPr>
          <w:rFonts w:ascii="Times New Roman" w:hAnsi="Times New Roman" w:eastAsia="Times New Roman" w:cs="Times New Roman"/>
        </w:rPr>
        <w:t xml:space="preserve"> “</w:t>
      </w:r>
      <w:r>
        <w:rPr>
          <w:rFonts w:ascii="Leelawadee UI" w:hAnsi="Leelawadee UI" w:eastAsia="Leelawadee UI" w:cs="Leelawadee UI"/>
        </w:rPr>
        <w:t>แผ่นดินไหวใหญ่</w:t>
      </w:r>
      <w:r>
        <w:rPr>
          <w:rFonts w:ascii="Times New Roman" w:hAnsi="Times New Roman" w:eastAsia="Times New Roman" w:cs="Times New Roman"/>
        </w:rPr>
        <w:t xml:space="preserve">” </w:t>
      </w:r>
      <w:r>
        <w:rPr>
          <w:rFonts w:ascii="Leelawadee UI" w:hAnsi="Leelawadee UI" w:eastAsia="Leelawadee UI" w:cs="Leelawadee UI"/>
        </w:rPr>
        <w:t>ตามวิวรณ์บทที่สิบเอ็ด</w:t>
      </w:r>
      <w:r>
        <w:rPr>
          <w:rFonts w:ascii="Times New Roman" w:hAnsi="Times New Roman" w:eastAsia="Times New Roman" w:cs="Times New Roman"/>
        </w:rPr>
        <w:t xml:space="preserve"> </w:t>
      </w:r>
      <w:r>
        <w:rPr>
          <w:rFonts w:ascii="Leelawadee UI" w:hAnsi="Leelawadee UI" w:eastAsia="Leelawadee UI" w:cs="Leelawadee UI"/>
        </w:rPr>
        <w:t>ความสำเร็จครบถ้วนสมบูรณ์แห่งคำสารภาพของเปโตรที่ซีซารียาฟีลิปปีบังเกิดขึ้นเมื่อพระคริสต์ทรงนำประชากรของพระองค์ในวาระสุดท้ายไปสู่</w:t>
      </w:r>
      <w:r>
        <w:rPr>
          <w:rFonts w:ascii="Times New Roman" w:hAnsi="Times New Roman" w:eastAsia="Times New Roman" w:cs="Times New Roman"/>
        </w:rPr>
        <w:t xml:space="preserve"> “</w:t>
      </w:r>
      <w:r>
        <w:rPr>
          <w:rFonts w:ascii="Leelawadee UI" w:hAnsi="Leelawadee UI" w:eastAsia="Leelawadee UI" w:cs="Leelawadee UI"/>
        </w:rPr>
        <w:t>ส่วนแห่งคำพยากรณ์ของดาเนียลที่เกี่ยวข้องกับวาระสุดท้าย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دانیال یازدەهەم آیەتی سێزدەهەمو چواردەهەمو پانزدەهەمەکانی «پانیۆم» ئەو «بەشە»ی پێشبینیی دانیالە کە مُهر لێدرا بوو، و پەیامی بانگەوازی نیوەشەو دەناسێنێت. پانیۆم هەمان کۆبوونەوەی چادریی ئێکسیتەرە لە مانگی ئابی ساڵی 1844دا؛ مێژوویەکە کە لە دووەمین ماوەی سەرۆکایەتیی دۆناڵد ترامپدا تەواو دەبێت، و ئەو پەیامی پێشبینییەیە کە مُهری خودا لەسەر ناوچەوانیی سەد و چل و چوار هەزاردا جێگیر دەکات. ئەو ئایاتانەی ئێستا لەسەر دەخوێنین، زەوییەکی زۆر پیرۆزن.</w:t>
      </w:r>
    </w:p>
    <w:p>
      <w:pPr>
        <w:pStyle w:val="ArticleScripture"/>
        <w:jc w:val="left"/>
      </w:pPr>
      <w:r>
        <w:rPr>
          <w:rFonts w:ascii="Times New Roman" w:hAnsi="Times New Roman" w:eastAsia="Times New Roman" w:cs="Times New Roman"/>
        </w:rPr>
        <w:t>«Тэр Йешуа-ага итген адамныӊ иманыныӊ негизи — Петр мойнуна алган ҳақыйқаттыр. Бул — Мәсиҳ Өзи мәңгилик өмир деп жарялаған нерсе. Бирақ бул билиўге ийе болыў өзин-өзи дәріплеўге ҳеш бир негиз емес еди. Ол Петрге өзиниң ҳеш қандай даналығы ямаса жақсылығы арқалы ашылмаған еди. Адамзат өз алдына илаһийни билиўге ҳеш қашан жете алмайды. “Ол көктен де бийик; сен не қыла аласаң? Тамұқтан да терең; сен не биле аласаң?” Аюп 11:8. Тек фарзентлик рухы ғана бизге Қудайдыӊ терең сырларын ашып бере алады; бұларды “көз көрмеген, қулақ еситпеген, адамныӊ көңлине де келмеген.” “Ал Қудай буларды бизге Өз Рухы арқалы ашты; себеби Рух ҳәр нәрсени, ҳәтта Қудайдыӊ терең сырларын да тексереди.” 1 Коринфликлерге 2:9, 10. “Жаратқан Иениӊ сыры Одан қорққанлар менен бирге”; ал Петрдиӊ Мәсиҳтиӊ шан-шәрепин танығаны, оныӊ “Қудайдан тәлим алғаныныӊ” дәлили еди. Забур 25:14; Юханна 6:45. Аҳ, ҳақыйқаттан да, “бақытлысаң сен, Симон Бар-Ёна; себеби мұны саған тән менен қан ашпаған.”»</w:t>
      </w:r>
    </w:p>
    <w:p>
      <w:pPr>
        <w:pStyle w:val="ArticleScripture"/>
        <w:jc w:val="left"/>
      </w:pPr>
      <w:r>
        <w:rPr>
          <w:rFonts w:ascii="Times New Roman" w:hAnsi="Times New Roman" w:eastAsia="Times New Roman" w:cs="Times New Roman"/>
        </w:rPr>
        <w:t>“Jisas akyendelea: ‘Nakwambia nawe pia, ya kuwa wewe ndiwe Petro, na juu ya mwamba huu nitalijenga kanisa Langu; wala malango ya kuzimu hayatashinda juu yake.’ Neno Petro humaanisha jiwe,—jiwe linaloviringika. Petro hakuwa ule mwamba ambao juu yake kanisa lilijengwa. Malango ya kuzimu yalimshinda yeye alipomkana Bwana wake kwa laana na kuapa. Kanisa lilijengwa juu ya Mmoja ambaye malango ya kuzimu yasingeweza kumshinda.” The Desire of Ages, 413</w:t>
      </w:r>
    </w:p>
    <w:p>
      <w:pPr>
        <w:pStyle w:val="ArticleBody"/>
        <w:jc w:val="left"/>
      </w:pPr>
      <w:r>
        <w:rPr>
          <w:rFonts w:ascii="Times New Roman" w:hAnsi="Times New Roman" w:eastAsia="Times New Roman" w:cs="Times New Roman"/>
        </w:rPr>
        <w:t>Ɔdeɛ Kristo reka kyerɛɛ n’asuafoɔ wɔ Kaesarea Filipi no na ɛyɛ, na ɛda so ara yɛ, Anadwo Mframa no nkra; na wɔde asi honhom fam akodie bi mu, a ɛda Hela anyame Pan—ne asɔredan a na wɔfrɛ no “amanehunu apono”—ne asase aboa no mmɛn abien a wɔasɛe wɔn gyidi no ntam. Makkabifoɔ no yɛɛ Onyankopɔn nkurɔfoɔ a wɔasɛe wɔn gyidi no, a wɔkae sɛ wɔyɛ Onyankopɔn asafo no banbɔfoɔ, ɛfiri sɛ na wɔne Helafoɔ som no reko. Wɔde wɔn ho kyerɛɛ sɛ wɔyɛ nyamesom ne amammuisɛm mu akannifoɔ nyinaa. Wɔgyina hɔ ma Protestantfoɔ a wɔasɛe wɔn gyidi no wɔ asafo ahodoɔ a wɔahwe ase no mu, a seesei, wɔne United States aban no rekɔ bom ayɛ aboa no suban, na wɔne wiase nyinaafoɔ nyamesom a ɛyɛ woke-ism ne Asaase Maame no reko. Saa mmɛn a wɔasɛe wɔn gyidi no di nkonim wɔ wɔn mmɔdemmɔ mu tia wiase nyinaafoɔ nyamesom ne amammuisɛm mu nneɛma no; na bere koro no ara mu no, wɔrehwira Protestant mmɛn ankasa no mu denam nkwasea mmabaa no nkaeɛ a atwa toɔ no yi fi hɔ ansa na wɔama so sɛ frankaa wɔ “asaasewosow kɛseɛ” a ɛbɛn no, a ɛne Kwasida mmara a ɛrebɛba ntɛm no.</w:t>
      </w:r>
    </w:p>
    <w:p>
      <w:pPr>
        <w:pStyle w:val="ArticleBody"/>
        <w:jc w:val="left"/>
      </w:pPr>
      <w:r>
        <w:rPr>
          <w:rFonts w:ascii="Javanese Text" w:hAnsi="Javanese Text" w:eastAsia="Javanese Text" w:cs="Javanese Text"/>
        </w:rPr>
        <w:t>꧋ꦥꦱꦭꦺꦴꦠ꧀ꦤ꧀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ꦥꦿꦤꦸꦁꦏꦭꦶꦁ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ꦢꦤꦶꦪꦺꦭ꧀</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ꦒꦼꦒꦼꦤꦺꦁꦒꦺ</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ꦲꦺꦴꦫꦶꦥ꧀</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ꦧꦸꦛ꧀ꦏꦱ꧀</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ꦒꦸꦒꦺ</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ꦮꦲꦪꦸꦤ꧀ꦢꦭꦼꦩ꧀</w:t>
      </w:r>
      <w:r>
        <w:rPr>
          <w:rFonts w:ascii="Times New Roman" w:hAnsi="Times New Roman" w:eastAsia="Times New Roman" w:cs="Times New Roman"/>
        </w:rPr>
        <w:t xml:space="preserve"> </w:t>
      </w:r>
      <w:r>
        <w:rPr>
          <w:rFonts w:ascii="Javanese Text" w:hAnsi="Javanese Text" w:eastAsia="Javanese Text" w:cs="Javanese Text"/>
        </w:rPr>
        <w:t>ꦪꦺꦱꦸ</w:t>
      </w:r>
      <w:r>
        <w:rPr>
          <w:rFonts w:ascii="Times New Roman" w:hAnsi="Times New Roman" w:eastAsia="Times New Roman" w:cs="Times New Roman"/>
        </w:rPr>
        <w:t xml:space="preserve"> </w:t>
      </w:r>
      <w:r>
        <w:rPr>
          <w:rFonts w:ascii="Javanese Text" w:hAnsi="Javanese Text" w:eastAsia="Javanese Text" w:cs="Javanese Text"/>
        </w:rPr>
        <w:t>ꦏꦿꦶꦱ꧀ꦠꦸꦱ꧀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ꦆꦱꦶ</w:t>
      </w:r>
      <w:r>
        <w:rPr>
          <w:rFonts w:ascii="Times New Roman" w:hAnsi="Times New Roman" w:eastAsia="Times New Roman" w:cs="Times New Roman"/>
        </w:rPr>
        <w:t xml:space="preserve"> </w:t>
      </w:r>
      <w:r>
        <w:rPr>
          <w:rFonts w:ascii="Javanese Text" w:hAnsi="Javanese Text" w:eastAsia="Javanese Text" w:cs="Javanese Text"/>
        </w:rPr>
        <w:t>ꦥꦼꦱꦼꦤ꧀</w:t>
      </w:r>
      <w:r>
        <w:rPr>
          <w:rFonts w:ascii="Times New Roman" w:hAnsi="Times New Roman" w:eastAsia="Times New Roman" w:cs="Times New Roman"/>
        </w:rPr>
        <w:t xml:space="preserve"> </w:t>
      </w:r>
      <w:r>
        <w:rPr>
          <w:rFonts w:ascii="Javanese Text" w:hAnsi="Javanese Text" w:eastAsia="Javanese Text" w:cs="Javanese Text"/>
        </w:rPr>
        <w:t>ꦥꦁꦱꦼꦫꦸ</w:t>
      </w:r>
      <w:r>
        <w:rPr>
          <w:rFonts w:ascii="Times New Roman" w:hAnsi="Times New Roman" w:eastAsia="Times New Roman" w:cs="Times New Roman"/>
        </w:rPr>
        <w:t xml:space="preserve"> </w:t>
      </w:r>
      <w:r>
        <w:rPr>
          <w:rFonts w:ascii="Javanese Text" w:hAnsi="Javanese Text" w:eastAsia="Javanese Text" w:cs="Javanese Text"/>
        </w:rPr>
        <w:t>ꦠꦼꦔꦲ꧀</w:t>
      </w:r>
      <w:r>
        <w:rPr>
          <w:rFonts w:ascii="Times New Roman" w:hAnsi="Times New Roman" w:eastAsia="Times New Roman" w:cs="Times New Roman"/>
        </w:rPr>
        <w:t xml:space="preserve"> </w:t>
      </w:r>
      <w:r>
        <w:rPr>
          <w:rFonts w:ascii="Javanese Text" w:hAnsi="Javanese Text" w:eastAsia="Javanese Text" w:cs="Javanese Text"/>
        </w:rPr>
        <w:t>ꦮꦼꦔꦶ</w:t>
      </w:r>
      <w:r>
        <w:rPr>
          <w:rFonts w:ascii="Times New Roman" w:hAnsi="Times New Roman" w:eastAsia="Times New Roman" w:cs="Times New Roman"/>
        </w:rPr>
        <w:t xml:space="preserve">, </w:t>
      </w:r>
      <w:r>
        <w:rPr>
          <w:rFonts w:ascii="Javanese Text" w:hAnsi="Javanese Text" w:eastAsia="Javanese Text" w:cs="Javanese Text"/>
        </w:rPr>
        <w:t>ꦏꦠꦸꦏ꧀ꦏꦲꦏꦺꦤ꧀</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ꦺꦴꦭꦺꦃ</w:t>
      </w:r>
      <w:r>
        <w:rPr>
          <w:rFonts w:ascii="Times New Roman" w:hAnsi="Times New Roman" w:eastAsia="Times New Roman" w:cs="Times New Roman"/>
        </w:rPr>
        <w:t xml:space="preserve"> </w:t>
      </w:r>
      <w:r>
        <w:rPr>
          <w:rFonts w:ascii="Javanese Text" w:hAnsi="Javanese Text" w:eastAsia="Javanese Text" w:cs="Javanese Text"/>
        </w:rPr>
        <w:t>ꦱꦶꦁꦲ</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ꦪꦲꦸꦢ</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ꦏꦺꦱꦫꦶꦪ</w:t>
      </w:r>
      <w:r>
        <w:rPr>
          <w:rFonts w:ascii="Times New Roman" w:hAnsi="Times New Roman" w:eastAsia="Times New Roman" w:cs="Times New Roman"/>
        </w:rPr>
        <w:t xml:space="preserve"> </w:t>
      </w:r>
      <w:r>
        <w:rPr>
          <w:rFonts w:ascii="Javanese Text" w:hAnsi="Javanese Text" w:eastAsia="Javanese Text" w:cs="Javanese Text"/>
        </w:rPr>
        <w:t>ꦥꦶꦭꦶꦥꦶ</w:t>
      </w:r>
      <w:r>
        <w:rPr>
          <w:rFonts w:ascii="Times New Roman" w:hAnsi="Times New Roman" w:eastAsia="Times New Roman" w:cs="Times New Roman"/>
        </w:rPr>
        <w:t xml:space="preserve">, </w:t>
      </w:r>
      <w:r>
        <w:rPr>
          <w:rFonts w:ascii="Javanese Text" w:hAnsi="Javanese Text" w:eastAsia="Javanese Text" w:cs="Javanese Text"/>
        </w:rPr>
        <w:t>ꦪꦻꦏꦸ</w:t>
      </w:r>
      <w:r>
        <w:rPr>
          <w:rFonts w:ascii="Times New Roman" w:hAnsi="Times New Roman" w:eastAsia="Times New Roman" w:cs="Times New Roman"/>
        </w:rPr>
        <w:t xml:space="preserve"> </w:t>
      </w:r>
      <w:r>
        <w:rPr>
          <w:rFonts w:ascii="Javanese Text" w:hAnsi="Javanese Text" w:eastAsia="Javanese Text" w:cs="Javanese Text"/>
        </w:rPr>
        <w:t>ꦥꦤꦶꦪꦸꦩ꧀</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ꦏꦠꦸꦏ꧀ꦏꦲꦏꦺꦤ꧀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ꦠꦼꦔꦃꦠꦼꦔꦃ</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ꦮꦶꦭꦸꦗꦼꦔꦤ꧀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ꦱꦠ꧀ꦮ</w:t>
      </w:r>
      <w:r>
        <w:rPr>
          <w:rFonts w:ascii="Times New Roman" w:hAnsi="Times New Roman" w:eastAsia="Times New Roman" w:cs="Times New Roman"/>
        </w:rPr>
        <w:t xml:space="preserve"> </w:t>
      </w:r>
      <w:r>
        <w:rPr>
          <w:rFonts w:ascii="Javanese Text" w:hAnsi="Javanese Text" w:eastAsia="Javanese Text" w:cs="Javanese Text"/>
        </w:rPr>
        <w:t>ꦲꦠꦺꦲꦶꦱ꧀</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ꦥꦠꦭ</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ꦧꦺꦗꦶꦁꦤꦺ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ꦠꦁꦏꦭ</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ꦠꦼꦫꦏ꧀</w:t>
      </w:r>
      <w:r>
        <w:rPr>
          <w:rFonts w:ascii="Times New Roman" w:hAnsi="Times New Roman" w:eastAsia="Times New Roman" w:cs="Times New Roman"/>
        </w:rPr>
        <w:t xml:space="preserve"> </w:t>
      </w:r>
      <w:r>
        <w:rPr>
          <w:rFonts w:ascii="Javanese Text" w:hAnsi="Javanese Text" w:eastAsia="Javanese Text" w:cs="Javanese Text"/>
        </w:rPr>
        <w:t>ꦢꦫꦶ</w:t>
      </w:r>
      <w:r>
        <w:rPr>
          <w:rFonts w:ascii="Times New Roman" w:hAnsi="Times New Roman" w:eastAsia="Times New Roman" w:cs="Times New Roman"/>
        </w:rPr>
        <w:t xml:space="preserve"> </w:t>
      </w:r>
      <w:r>
        <w:rPr>
          <w:rFonts w:ascii="Javanese Text" w:hAnsi="Javanese Text" w:eastAsia="Javanese Text" w:cs="Javanese Text"/>
        </w:rPr>
        <w:t>ꦫꦺꦥꦸꦧ꧀ꦭꦶꦏꦤꦶꦱ꧀ꦩꦺ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ꦒꦺꦒꦿꦏ꧀ꦏꦺ</w:t>
      </w:r>
      <w:r>
        <w:rPr>
          <w:rFonts w:ascii="Times New Roman" w:hAnsi="Times New Roman" w:eastAsia="Times New Roman" w:cs="Times New Roman"/>
        </w:rPr>
        <w:t xml:space="preserve"> </w:t>
      </w:r>
      <w:r>
        <w:rPr>
          <w:rFonts w:ascii="Javanese Text" w:hAnsi="Javanese Text" w:eastAsia="Javanese Text" w:cs="Javanese Text"/>
        </w:rPr>
        <w:t>ꦱꦠ꧀ꦮ</w:t>
      </w:r>
      <w:r>
        <w:rPr>
          <w:rFonts w:ascii="Times New Roman" w:hAnsi="Times New Roman" w:eastAsia="Times New Roman" w:cs="Times New Roman"/>
        </w:rPr>
        <w:t xml:space="preserve"> </w:t>
      </w:r>
      <w:r>
        <w:rPr>
          <w:rFonts w:ascii="Javanese Text" w:hAnsi="Javanese Text" w:eastAsia="Javanese Text" w:cs="Javanese Text"/>
        </w:rPr>
        <w:t>ꦏꦁꦏꦺꦴ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taun 2015,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ꦠꦁꦏꦭ</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ꦠꦼꦫꦏ꧀</w:t>
      </w:r>
      <w:r>
        <w:rPr>
          <w:rFonts w:ascii="Times New Roman" w:hAnsi="Times New Roman" w:eastAsia="Times New Roman" w:cs="Times New Roman"/>
        </w:rPr>
        <w:t xml:space="preserve"> </w:t>
      </w:r>
      <w:r>
        <w:rPr>
          <w:rFonts w:ascii="Javanese Text" w:hAnsi="Javanese Text" w:eastAsia="Javanese Text" w:cs="Javanese Text"/>
        </w:rPr>
        <w:t>ꦥꦫꦤ꧀</w:t>
      </w:r>
      <w:r>
        <w:rPr>
          <w:rFonts w:ascii="Times New Roman" w:hAnsi="Times New Roman" w:eastAsia="Times New Roman" w:cs="Times New Roman"/>
        </w:rPr>
        <w:t xml:space="preserve"> </w:t>
      </w:r>
      <w:r>
        <w:rPr>
          <w:rFonts w:ascii="Javanese Text" w:hAnsi="Javanese Text" w:eastAsia="Javanese Text" w:cs="Javanese Text"/>
        </w:rPr>
        <w:t>ꦥꦿꦺꦴꦠꦺꦱ꧀ꦠꦤ꧀ꦠꦶꦱ꧀ꦩꦺ</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ꦱꦶꦤꦠꦺꦴꦱ꧀</w:t>
      </w:r>
      <w:r>
        <w:rPr>
          <w:rFonts w:ascii="Times New Roman" w:hAnsi="Times New Roman" w:eastAsia="Times New Roman" w:cs="Times New Roman"/>
        </w:rPr>
        <w:t xml:space="preserve"> </w:t>
      </w:r>
      <w:r>
        <w:rPr>
          <w:rFonts w:ascii="Javanese Text" w:hAnsi="Javanese Text" w:eastAsia="Javanese Text" w:cs="Javanese Text"/>
        </w:rPr>
        <w:t>ꦱꦏꦶꦤꦶ</w:t>
      </w:r>
      <w:r>
        <w:rPr>
          <w:rFonts w:ascii="Times New Roman" w:hAnsi="Times New Roman" w:eastAsia="Times New Roman" w:cs="Times New Roman"/>
        </w:rPr>
        <w:t xml:space="preserve"> </w:t>
      </w:r>
      <w:r>
        <w:rPr>
          <w:rFonts w:ascii="Javanese Text" w:hAnsi="Javanese Text" w:eastAsia="Javanese Text" w:cs="Javanese Text"/>
        </w:rPr>
        <w:t>ꦏꦮꦸꦁꦏꦶꦁ</w:t>
      </w:r>
      <w:r>
        <w:rPr>
          <w:rFonts w:ascii="Times New Roman" w:hAnsi="Times New Roman" w:eastAsia="Times New Roman" w:cs="Times New Roman"/>
        </w:rPr>
        <w:t xml:space="preserve"> </w:t>
      </w:r>
      <w:r>
        <w:rPr>
          <w:rFonts w:ascii="Javanese Text" w:hAnsi="Javanese Text" w:eastAsia="Javanese Text" w:cs="Javanese Text"/>
        </w:rPr>
        <w:t>ꦏꦠꦁꦏꦶꦠꦏ꧀ꦏꦺꦤ꧀</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ꦲꦤ꧀ꦢꦭꦺꦩ꧀</w:t>
      </w:r>
      <w:r>
        <w:rPr>
          <w:rFonts w:ascii="Times New Roman" w:hAnsi="Times New Roman" w:eastAsia="Times New Roman" w:cs="Times New Roman"/>
        </w:rPr>
        <w:t xml:space="preserve"> </w:t>
      </w:r>
      <w:r>
        <w:rPr>
          <w:rFonts w:ascii="Javanese Text" w:hAnsi="Javanese Text" w:eastAsia="Javanese Text" w:cs="Javanese Text"/>
        </w:rPr>
        <w:t>ꦥꦱꦸꦏꦤ꧀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ꦒꦒꦃ</w:t>
      </w:r>
      <w:r>
        <w:rPr>
          <w:rFonts w:ascii="Times New Roman" w:hAnsi="Times New Roman" w:eastAsia="Times New Roman" w:cs="Times New Roman"/>
        </w:rPr>
        <w:t>.</w:t>
      </w:r>
    </w:p>
    <w:p>
      <w:pPr>
        <w:pStyle w:val="ArticleBody"/>
        <w:jc w:val="left"/>
      </w:pPr>
      <w:r>
        <w:rPr>
          <w:rFonts w:ascii="MS Gothic" w:hAnsi="MS Gothic" w:eastAsia="MS Gothic" w:cs="MS Gothic"/>
        </w:rPr>
        <w:t>ㇼ</w:t>
      </w:r>
      <w:r>
        <w:rPr>
          <w:rFonts w:ascii="Microsoft YaHei" w:hAnsi="Microsoft YaHei" w:eastAsia="Microsoft YaHei" w:cs="Microsoft YaHei"/>
        </w:rPr>
        <w:t>『</w:t>
      </w:r>
      <w:r>
        <w:rPr>
          <w:rFonts w:ascii="Times New Roman" w:hAnsi="Times New Roman" w:eastAsia="Times New Roman" w:cs="Times New Roman"/>
        </w:rPr>
        <w:t>Betero ya abezaki emoniselaki, etali elembo ya nzela ya mokolo mwa libwa ya sanza ya libwa, mobu 2001, mpe lisusu ete Kristo azali Mwana wa Nzambe na bomoi. Solo ya oyo emonisami na likambo ya Yesu kozala Mwana wa Nzambe, ezali solo ya komekama, kaka ndenge ezalaki solo ya soki Yesu azalaki Masiya to te na mikolo ya Betero. Bosakoli ete Yesu azali Mwana wa Nzambe emonisi nyonso oyo esilaki kobimisama mpo na koyebisa nani Mwana azali. Emonisi kaka te ete Azali Mwana wa Nzambe, kasi mpe ete Azali lisusu mwana wa moto. Ezali solo ya kozwa nzoto ya bomoto na kati ya bonzambe, oyo ezali mpenza mosala oyo ekokisami na ntango ya bokangami na elembo ya bato nkama moko na ntuku minei na minei. Solo ya “kozwa nzoto,” ezali solo na nsuka oyo emonisamaki liboso na lolenge ya ndakisa na solo ya “Saba” na ebandeli.</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1844 gu października 22-luy reik’u, kinü angelün kintuyi. Angel müleychi küyen mew, Lion of the tribe of Judah müleychi pünon zugu ta ñi rakizuam mew wirintukun tüfachi tripantu mew ñi nütram zugu ngelu lladkülelu müten chi antü mew, ka chi zugu mütenchi antü mew pichikeche ngenolu ta testintukun. 1844 gu października 22-luy, Cristo ñi küdaw müleychi zugu ta afiñtukun, fei Cristo mütenchi temple mew pünon akuy, chi temple ta fey mülelu epu mari kayu tripantu mew 1798 müten 1844 pechi. Cristo ñi juicio küdaw, Dios ñi ley, ñi High Priest ngen, mark of the beast ñi dungu ka one hundred and forty-four thousand ñi sello tukulngechi dungu, kom ta afiñtukun. Sister White pefuy ta feichi zugu küme trokiñ mew, müley kiñe zugu ta Alpha and Omega müten küme üyüm mew wirintukufi.</w:t>
      </w:r>
    </w:p>
    <w:p>
      <w:pPr>
        <w:pStyle w:val="ArticleScripture"/>
        <w:jc w:val="left"/>
      </w:pPr>
      <w:r>
        <w:rPr>
          <w:rFonts w:ascii="Times New Roman" w:hAnsi="Times New Roman" w:eastAsia="Times New Roman" w:cs="Times New Roman"/>
        </w:rPr>
        <w:t>«Ndzi hlamarile loko ndzi vona nawu wa vumune exikarhi-hle ka swileriso swa khume, wu rhendzeriwe hi ku vonakala ko olova loku fanaka ni xirhendzevutana xa ku vonakala. Ntsumi yi te: ‘Hi wona ntsena exikarhi ka lava khume lowu hlamuselaka Xikwembu lexi hanyaka lexi tumbuluxeke matilo ni misava ni hinkwaswo leswi nga eka swona. Loko masungulo ya misava ma vekiwa, hi kona laha masungulo ya Savata na wona ma vekiweke kona.’» Testimonies, volume 1, 75.</w:t>
      </w:r>
    </w:p>
    <w:p>
      <w:pPr>
        <w:pStyle w:val="ArticleBody"/>
        <w:jc w:val="left"/>
      </w:pPr>
      <w:r>
        <w:rPr>
          <w:rFonts w:ascii="Times New Roman" w:hAnsi="Times New Roman" w:eastAsia="Times New Roman" w:cs="Times New Roman"/>
        </w:rPr>
        <w:t>Tiempu di sellamentu di e ciento kuarenta i kuater mil a yega, pero mester a keda retrasá pa motibu di e rebelion di 1863. Riba 11 di september di 2001 e proseso di sellamentu a kuminsá ora Kristu, representá komo e ángel poderoso di Revelashon kapítulu diesocho, a baha ku un buki skondí den Su man ku e pueblo di Dios di e último dianan mester a kome. E Alfa i Omega semper ta ilustra e fin ku e kuminsamentu, asina ku den e último dianan tabatin otro berdat ku a ser poni den un lus speshal, i esaki tabata direktamente konektá ku e berdat di e Sábadu ku a ser resaltá e promé biaha ku Kristu a purba di sellá e ciento kuarenta i kuater mil.</w:t>
      </w:r>
    </w:p>
    <w:p>
      <w:pPr>
        <w:pStyle w:val="ArticleScripture"/>
        <w:jc w:val="left"/>
      </w:pPr>
      <w:r>
        <w:rPr>
          <w:rFonts w:ascii="Times New Roman" w:hAnsi="Times New Roman" w:eastAsia="Times New Roman" w:cs="Times New Roman"/>
        </w:rPr>
        <w:t>“Vaqt keldi — Doniyor o‘z qismatida turadigan vaqt. Vaqt keldi — unga berilgan nur olamga ilgari hech qachon bo‘lmagan darajada yoyiladigan vaqt. Agar Rabbiy shuncha ko‘p ish qilgan kishilar nurda yursalar, yer tarixining nihoyasiga yaqinlashgan sari, ularning Masih va U haqidagi bashoratlar to‘g‘risidagi bilimi nihoyatda ortadi.</w:t>
      </w:r>
    </w:p>
    <w:p>
      <w:pPr>
        <w:pStyle w:val="ArticleScripture"/>
        <w:jc w:val="left"/>
      </w:pPr>
      <w:r>
        <w:rPr>
          <w:rFonts w:ascii="Times New Roman" w:hAnsi="Times New Roman" w:eastAsia="Times New Roman" w:cs="Times New Roman"/>
        </w:rPr>
        <w:t>«Nanumpa Diyoswan mayliisda a kasinawan ti Init ti Kinalinteg. Dida babainanda ti Mannubbotda babaen ti panangdadael iti dalanda iti sangoanan ti Diyos. Ti nailangitan a lawag agsilnag kadakuada. Addada iti awan patinggana a pateg iti imatang ti Diyos, ta maymaysada ken Cristo. Kadakuada, ti sao ti Diyos ket addaan iti nangatngato unay a kinapintas ken kinagayat. Makitada ti kinapategna. Ti kinapudno maiparangarang kadakuada. Ti sursuro maipapan iti panaglasag ket naikkannan iti naalumamay a kinarraniag. Makitada a ti Nasantoan a Surat ket isu ti tulbek a manglukat kadagiti amin a palimed ken mangrisolbar kadagiti amin a riribuk. Dagidiay saan a nagayat a mangawat iti lawag ken magna iti lawag danto koma makaawat iti palimed ti kinaagpudnoman a panagdaydayaw iti Dios, ngem dagidiay saan a nagduadua a nangala iti kruz ken simmurot ken Jesus ket makakita iti lawag iti lawag ti Diyos.» Manuscript Releases, numero 21, 406, 407.</w:t>
      </w:r>
    </w:p>
    <w:p>
      <w:pPr>
        <w:pStyle w:val="ArticleBody"/>
        <w:jc w:val="left"/>
      </w:pPr>
      <w:r>
        <w:rPr>
          <w:rFonts w:ascii="Times New Roman" w:hAnsi="Times New Roman" w:eastAsia="Times New Roman" w:cs="Times New Roman"/>
        </w:rPr>
        <w:t>Pangaturugan ti panaglasag ket isu ti kinapudno a ti Kinadios a nakikaykaysa iti kinatao ket saan nga agbasol, ket ti pagilasinan dagidiay nakaammo iti dayta a kapadasan kadagiti maudi nga aldaw ket isu ti Aldaw ti Panaginana.</w:t>
      </w:r>
    </w:p>
    <w:p>
      <w:pPr>
        <w:pStyle w:val="ArticleScripture"/>
        <w:jc w:val="left"/>
      </w:pPr>
      <w:r>
        <w:rPr>
          <w:rFonts w:ascii="Times New Roman" w:hAnsi="Times New Roman" w:eastAsia="Times New Roman" w:cs="Times New Roman"/>
        </w:rPr>
        <w:t>زيد أيضًا أعطيتهم سُبوتي لتكون علامةً بيني وبينهم، لكي يعلموا أني أنا الرب الذي يقدّسهم. حزقيال 20:12.</w:t>
      </w:r>
    </w:p>
    <w:p>
      <w:pPr>
        <w:pStyle w:val="ArticleBody"/>
        <w:jc w:val="left"/>
      </w:pPr>
      <w:r>
        <w:rPr>
          <w:rFonts w:ascii="Microsoft YaHei" w:hAnsi="Microsoft YaHei" w:eastAsia="Microsoft YaHei" w:cs="Microsoft YaHei"/>
        </w:rPr>
        <w:t>一十四万四千人是受了印直到永远</w:t>
      </w:r>
      <w:r>
        <w:rPr>
          <w:rFonts w:ascii="Times New Roman" w:hAnsi="Times New Roman" w:eastAsia="Times New Roman" w:cs="Times New Roman"/>
        </w:rPr>
        <w:t>,</w:t>
      </w:r>
      <w:r>
        <w:rPr>
          <w:rFonts w:ascii="Microsoft YaHei" w:hAnsi="Microsoft YaHei" w:eastAsia="Microsoft YaHei" w:cs="Microsoft YaHei"/>
        </w:rPr>
        <w:t>而这受印的过程指出</w:t>
      </w:r>
      <w:r>
        <w:rPr>
          <w:rFonts w:ascii="Times New Roman" w:hAnsi="Times New Roman" w:eastAsia="Times New Roman" w:cs="Times New Roman"/>
        </w:rPr>
        <w:t>,</w:t>
      </w:r>
      <w:r>
        <w:rPr>
          <w:rFonts w:ascii="Microsoft YaHei" w:hAnsi="Microsoft YaHei" w:eastAsia="Microsoft YaHei" w:cs="Microsoft YaHei"/>
        </w:rPr>
        <w:t>在受印过程结束之际、就在星期日法令颁布之前</w:t>
      </w:r>
      <w:r>
        <w:rPr>
          <w:rFonts w:ascii="Times New Roman" w:hAnsi="Times New Roman" w:eastAsia="Times New Roman" w:cs="Times New Roman"/>
        </w:rPr>
        <w:t>,</w:t>
      </w:r>
      <w:r>
        <w:rPr>
          <w:rFonts w:ascii="Microsoft YaHei" w:hAnsi="Microsoft YaHei" w:eastAsia="Microsoft YaHei" w:cs="Microsoft YaHei"/>
        </w:rPr>
        <w:t>有一段短暂时期</w:t>
      </w:r>
      <w:r>
        <w:rPr>
          <w:rFonts w:ascii="Times New Roman" w:hAnsi="Times New Roman" w:eastAsia="Times New Roman" w:cs="Times New Roman"/>
        </w:rPr>
        <w:t>,</w:t>
      </w:r>
      <w:r>
        <w:rPr>
          <w:rFonts w:ascii="Microsoft YaHei" w:hAnsi="Microsoft YaHei" w:eastAsia="Microsoft YaHei" w:cs="Microsoft YaHei"/>
        </w:rPr>
        <w:t>那时印记被盖上</w:t>
      </w:r>
      <w:r>
        <w:rPr>
          <w:rFonts w:ascii="Times New Roman" w:hAnsi="Times New Roman" w:eastAsia="Times New Roman" w:cs="Times New Roman"/>
        </w:rPr>
        <w:t>.</w:t>
      </w:r>
      <w:r>
        <w:rPr>
          <w:rFonts w:ascii="Microsoft YaHei" w:hAnsi="Microsoft YaHei" w:eastAsia="Microsoft YaHei" w:cs="Microsoft YaHei"/>
        </w:rPr>
        <w:t>在那短暂时期之内</w:t>
      </w:r>
      <w:r>
        <w:rPr>
          <w:rFonts w:ascii="Times New Roman" w:hAnsi="Times New Roman" w:eastAsia="Times New Roman" w:cs="Times New Roman"/>
        </w:rPr>
        <w:t>,</w:t>
      </w:r>
      <w:r>
        <w:rPr>
          <w:rFonts w:ascii="Microsoft YaHei" w:hAnsi="Microsoft YaHei" w:eastAsia="Microsoft YaHei" w:cs="Microsoft YaHei"/>
        </w:rPr>
        <w:t>神性与人性永久地结合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«بھائیو، تم تیاری کے عظیم کام میں کیا کر رہے ہو؟ جو لوگ دنیا کے ساتھ متحد ہو رہے ہیں، وہ دنیاوی سانچہ اختیار کر رہے ہیں اور حیوان کے نشان کے لیے تیار ہو رہے ہیں۔ اور جو اپنے آپ پر بے اعتماد ہیں، جو خدا کے حضور فروتنی اختیار کر رہے ہیں اور حق کی فرمانبرداری کے ذریعے اپنی جانوں کو پاک کر رہے ہیں، وہ آسمانی سانچہ قبول کر رہے ہیں اور اپنی پیشانیوں پر خدا کی مُہر کے لیے تیار ہو رہے ہیں۔ جب فرمان صادر ہو جائے گا اور چھاپ لگا دی جائے گی، تو اُن کا کردار ابد تک پاک اور بے داغ قائم رہے گا۔»</w:t>
      </w:r>
    </w:p>
    <w:p>
      <w:pPr>
        <w:pStyle w:val="ArticleScripture"/>
        <w:jc w:val="left"/>
      </w:pPr>
      <w:r>
        <w:rPr>
          <w:rFonts w:ascii="Times New Roman" w:hAnsi="Times New Roman" w:eastAsia="Times New Roman" w:cs="Times New Roman"/>
        </w:rPr>
        <w:t>«Хәзер әҙерләнеү ваҡыты. Алланың мөһөрө бер ҡасан да нәжес ирҙең йәки ҡатындың маңлайына ҡуйылмаясаҡ. Ул бер ҡасан да данһөйәр, донъяны һөйгән ирҙең йәки ҡатындың маңлайына ҡуйылмаясаҡ. Ул бер ҡасан да ялған телле йәки мәкерле йөрәкле ирҙәрҙең йә ҡатындарҙың маңлайына ҡуйылмаясаҡ. Мөһөрҙө ҡабул иткәндәрҙең барыһы ла Алла алдында тапһыҙ булырға тейеш — күк өсөн лайыҡлы булырға тейеш. Алға барығыҙ, ҡәрҙәштәрем һәм апай-һеңлеләрем. Әлеге ваҡытта мин был нөктәләр хаҡында ҡыҫҡаса ғына яҙа алам, тик һеҙҙең иғтибарығыҙҙы әҙерләнеүҙең зарурлығына ғына йүнәлтәм. Изге Яҙмаларҙы үҙегеҙ тикшерегеҙ, шулай итеп хәҙерге сәғәттең ҡурҡыныс тантаналылығын аңларһығыҙ». Testimonies, volume 5, 216.</w:t>
      </w:r>
    </w:p>
    <w:p>
      <w:pPr>
        <w:pStyle w:val="ArticleBody"/>
        <w:jc w:val="left"/>
      </w:pPr>
      <w:r>
        <w:rPr>
          <w:rFonts w:ascii="Times New Roman" w:hAnsi="Times New Roman" w:eastAsia="Times New Roman" w:cs="Times New Roman"/>
        </w:rPr>
        <w:t>El pasaje anterior podría sugerir que el sello es impreso en la ley dominical, pero no es así. La hermana White deja en claro que la ley dominical es una gran crisis, y también enseña claramente que el carácter se manifiesta en una crisis, pero nunca se desarrolla en una crisis. El sello es impreso en la ley dominical en el sentido de que entonces llega a ser visible, pues los que entonces tienen el sello son alzados como estandarte. El sello es impreso en un corto período de tiempo, justamente antes de que se cierre el tiempo de gracia, y para los guardadores del sábado, el tiempo de gracia se cierra en la ley dominical. El sellamiento comenzó el 11 de septiembre de 2001, y entonces nadie recibió el sello de Dios, porque, como se ilustra en el período de tiempo posterior al 22 de octubre de 1844, primero debía haber un proceso de prueba.</w:t>
      </w:r>
    </w:p>
    <w:p>
      <w:pPr>
        <w:pStyle w:val="ArticleBody"/>
        <w:jc w:val="left"/>
      </w:pPr>
      <w:r>
        <w:rPr>
          <w:rFonts w:ascii="Times New Roman" w:hAnsi="Times New Roman" w:eastAsia="Times New Roman" w:cs="Times New Roman"/>
        </w:rPr>
        <w:t>Һәрбир ислаһат һәрикитидә, ахир заман вақтида мөһри ечилған хәвирни қувәтләндүрүш үчүн илаһий символ чүшкәндә, синақ җәряни башлиниду. Микаил биринчи пәрманни иҗра қилиш үчүн Курушни алға сүрүшкә қувәтләндүрүш үчүн чүшкәндә, йәһудийлар шу чағда өзлириниң өткән йәтмиш йил мабайнида яшап кәлгән өй-нишанлиридин чиқип, вәйран қилинған бир шәһәргә қайтип берип, уни қайта бена қилидиған-йоқ дегән мәсилә бойичә синақтин өткүзүлди. Муқәддәс Роһ Мәсиһниң чөмүлдүрүшидә чүшкәндә, йәһудийлар Мәсиһ тоғрисидики мәсилә бойичә синақ қилинди. Вәһий китави он-баптики қудрәтлик пәриштә 1840-жили 11-авғустта чүшкәндә, шу әвлад кичик китапни вә кичик китап ипадиләйдиған барлиқ нәрсиләрни йәйдиған-йоқ дегән мәсилә бойичә синақ қилинди.</w:t>
      </w:r>
    </w:p>
    <w:p>
      <w:pPr>
        <w:pStyle w:val="ArticleBody"/>
        <w:jc w:val="left"/>
      </w:pPr>
      <w:r>
        <w:rPr>
          <w:rFonts w:ascii="Times New Roman" w:hAnsi="Times New Roman" w:eastAsia="Times New Roman" w:cs="Times New Roman"/>
        </w:rPr>
        <w:t>1840 նիւթ. Օգոստոսի 11-ին սկսաւ փորձութեան մէկ ընթացք, որ ծնաւ երկու դաս պաշտօնեաներ, եւ այն դասը, որ Գառնուկին հետեւեցաւ մինչեւ Ամենասուրբ Տեղը, թեկնածուներ էին հարիւր քառասունչորս հազարին մէջ ըլլալու։ Այդ սերունդին համար վերջնական փորձութիւնը, որոնք ձախողեցան փորձութեան ընթացքին մէջ, սկսաւ Ղեւտացւոց քսանվեցերորդ գլխու «եօթը ժամանակներ»-ուն վրայ աւելցած լոյսի գալուստով։ 1856-էն մինչեւ 1863, Լաւոդիկէական պատգամը նշանաւորեց վերջին ժամանակաշրջան մը այն ժամանակահատուածին մէջ, որ սկսած էր երրորդ հրեշտակին գալուստով՝ 1844 նիւթ. Հոկտեմբեր 22-ին։ Այդ ժամանակահատուածը ներկայացուած է Դանիէլի տասնմէկերորդ գլխու տասներեքէն մինչեւ տասնհինգ համարներով։</w:t>
      </w:r>
    </w:p>
    <w:p>
      <w:pPr>
        <w:pStyle w:val="ArticleBody"/>
        <w:jc w:val="left"/>
      </w:pPr>
      <w:r>
        <w:rPr>
          <w:rFonts w:ascii="Times New Roman" w:hAnsi="Times New Roman" w:eastAsia="Times New Roman" w:cs="Times New Roman"/>
        </w:rPr>
        <w:t>Ñuqanchik kay yachayta qatiqsunchik hamuq qillqapi.</w:t>
      </w:r>
    </w:p>
    <w:p>
      <w:pPr>
        <w:pStyle w:val="ArticleScripture"/>
        <w:jc w:val="left"/>
      </w:pPr>
      <w:r>
        <w:rPr>
          <w:rFonts w:ascii="Times New Roman" w:hAnsi="Times New Roman" w:eastAsia="Times New Roman" w:cs="Times New Roman"/>
        </w:rPr>
        <w:t>“‘Al principio era la Palabra, y la Palabra estaba con Dios, y la Palabra era Dios. Ésta estaba en el principio con Dios. Todas las cosas por medio de ella fueron hechas; y sin ella nada de lo que ha sido hecho, fue hecho. En ella estaba la vida; y la vida era la luz de los hombres. Y la luz resplandece en las tinieblas; y las tinieblas no la comprendieron.’ ‘Y la Palabra se hizo carne, y habitó entre nosotros, (y contemplamos su gloria, gloria como del unigénito del Padre,) lleno de gracia y de verdad’ (Juan 1:1–5, 14).”</w:t>
      </w:r>
    </w:p>
    <w:p>
      <w:pPr>
        <w:pStyle w:val="ArticleScripture"/>
        <w:jc w:val="left"/>
      </w:pPr>
      <w:r>
        <w:rPr>
          <w:rFonts w:ascii="Times New Roman" w:hAnsi="Times New Roman" w:eastAsia="Times New Roman" w:cs="Times New Roman"/>
        </w:rPr>
        <w:t>«Этот раздел очерчивает характер и значение дела Христа. Как человек, понимающий свой предмет, Иоанн приписывает Христу всякую власть и говорит о Его величии и славе. Он изливает божественные лучи драгоценной истины, как свет от солнца. Он представляет Христа как единственного Посредника между Богом и человечеством.</w:t>
      </w:r>
    </w:p>
    <w:p>
      <w:pPr>
        <w:pStyle w:val="ArticleScripture"/>
        <w:jc w:val="left"/>
      </w:pPr>
      <w:r>
        <w:rPr>
          <w:rFonts w:ascii="Times New Roman" w:hAnsi="Times New Roman" w:eastAsia="Times New Roman" w:cs="Times New Roman"/>
        </w:rPr>
        <w:t>"</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अवतार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पीढ़ियों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कुलुस्सियों</w:t>
      </w:r>
      <w:r>
        <w:rPr>
          <w:rFonts w:ascii="Times New Roman" w:hAnsi="Times New Roman" w:eastAsia="Times New Roman" w:cs="Times New Roman"/>
        </w:rPr>
        <w:t xml:space="preserve"> 1:26)</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भक्तिभाव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देहधारी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w:t>
      </w:r>
      <w:r>
        <w:rPr>
          <w:rFonts w:ascii="Nirmala UI" w:hAnsi="Nirmala UI" w:eastAsia="Nirmala UI" w:cs="Nirmala UI"/>
        </w:rPr>
        <w:t>यूहन्ना</w:t>
      </w:r>
      <w:r>
        <w:rPr>
          <w:rFonts w:ascii="Times New Roman" w:hAnsi="Times New Roman" w:eastAsia="Times New Roman" w:cs="Times New Roman"/>
        </w:rPr>
        <w:t xml:space="preserve"> 1:14)</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दीनता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एकलौता</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w:t>
      </w:r>
      <w:r>
        <w:rPr>
          <w:rFonts w:ascii="Nirmala UI" w:hAnsi="Nirmala UI" w:eastAsia="Nirmala UI" w:cs="Nirmala UI"/>
        </w:rPr>
        <w:t>यूहन्ना</w:t>
      </w:r>
      <w:r>
        <w:rPr>
          <w:rFonts w:ascii="Times New Roman" w:hAnsi="Times New Roman" w:eastAsia="Times New Roman" w:cs="Times New Roman"/>
        </w:rPr>
        <w:t xml:space="preserve"> 3:16)</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सरलता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प्रतिपादित</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ज्योतिर्मय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«Քրիստոսը մարդկային բնությունը ձևացնելով չվերցրեց. Նա ճշմարտապես վերցրեց այն։ Նա իրականում ուներ մարդկային բնություն։ «Քանի որ զավակները մարմնի և արյան մասնակիցներ են, Նա ևս նույնպես դրանց մասնակցեց» (Եբրայեցիներին 2:14)։ Նա Մարիամի Որդին էր. մարդկային ծագումով Նա Դավթի սերնդից էր։ Նա հայտարարվում է մարդ, այսինքն՝ Մարդը՝ Քրիստոս Հիսուսը։ «Այս մարդը,— գրում է Պողոսը,— Մովսեսից առավել փառքի արժանի համարվեց, որքան որ տունը շինողը տնից ավելի պատիվ ունի» (Եբրայեցիներին 3:3)։»</w:t>
      </w:r>
    </w:p>
    <w:p>
      <w:pPr>
        <w:pStyle w:val="ArticleScripture"/>
        <w:jc w:val="left"/>
      </w:pPr>
      <w:r>
        <w:rPr>
          <w:rFonts w:ascii="Times New Roman" w:hAnsi="Times New Roman" w:eastAsia="Times New Roman" w:cs="Times New Roman"/>
        </w:rPr>
        <w:t>“</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ᎦᏰᎯᏍᏗ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ᎤᏬᏢᏒ</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ᎦᏬᏂᏍᎬᎢ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ᎦᏬᏂᏍᎪ</w:t>
      </w:r>
      <w:r>
        <w:rPr>
          <w:rFonts w:ascii="Times New Roman" w:hAnsi="Times New Roman" w:eastAsia="Times New Roman" w:cs="Times New Roman"/>
        </w:rPr>
        <w:t xml:space="preserve"> </w:t>
      </w:r>
      <w:r>
        <w:rPr>
          <w:rFonts w:ascii="Gadugi" w:hAnsi="Gadugi" w:eastAsia="Gadugi" w:cs="Gadugi"/>
        </w:rPr>
        <w:t>ᎦᏔᎲᎢ</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ᎤᎮᎲ</w:t>
      </w:r>
      <w:r>
        <w:rPr>
          <w:rFonts w:ascii="Times New Roman" w:hAnsi="Times New Roman" w:eastAsia="Times New Roman" w:cs="Times New Roman"/>
        </w:rPr>
        <w:t xml:space="preserve"> </w:t>
      </w:r>
      <w:r>
        <w:rPr>
          <w:rFonts w:ascii="Gadugi" w:hAnsi="Gadugi" w:eastAsia="Gadugi" w:cs="Gadugi"/>
        </w:rPr>
        <w:t>ᎢᏳᏩᏂᏌᏛᎢ</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ᎤᎮᏎ</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ᎢᏳᎩ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ᏧᏓᏙᎵᏛ</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ᎢᏳᎩ</w:t>
      </w:r>
      <w:r>
        <w:rPr>
          <w:rFonts w:ascii="Times New Roman" w:hAnsi="Times New Roman" w:eastAsia="Times New Roman" w:cs="Times New Roman"/>
        </w:rPr>
        <w:t xml:space="preserve">, </w:t>
      </w:r>
      <w:r>
        <w:rPr>
          <w:rFonts w:ascii="Gadugi" w:hAnsi="Gadugi" w:eastAsia="Gadugi" w:cs="Gadugi"/>
        </w:rPr>
        <w:t>ᎤᎵᎪᎯᏳ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ᎠᏏᏴᏫᏯ</w:t>
      </w:r>
      <w:r>
        <w:rPr>
          <w:rFonts w:ascii="Times New Roman" w:hAnsi="Times New Roman" w:eastAsia="Times New Roman" w:cs="Times New Roman"/>
        </w:rPr>
        <w:t xml:space="preserve"> </w:t>
      </w:r>
      <w:r>
        <w:rPr>
          <w:rFonts w:ascii="Gadugi" w:hAnsi="Gadugi" w:eastAsia="Gadugi" w:cs="Gadugi"/>
        </w:rPr>
        <w:t>ᎤᎾᏓᏛᏁᎲ</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ᎤᏙᏓ</w:t>
      </w:r>
      <w:r>
        <w:rPr>
          <w:rFonts w:ascii="Times New Roman" w:hAnsi="Times New Roman" w:eastAsia="Times New Roman" w:cs="Times New Roman"/>
        </w:rPr>
        <w:t xml:space="preserve">. </w:t>
      </w:r>
      <w:r>
        <w:rPr>
          <w:rFonts w:ascii="Gadugi" w:hAnsi="Gadugi" w:eastAsia="Gadugi" w:cs="Gadugi"/>
        </w:rPr>
        <w:t>ᎤᏓᎴᎲᎾ</w:t>
      </w:r>
      <w:r>
        <w:rPr>
          <w:rFonts w:ascii="Times New Roman" w:hAnsi="Times New Roman" w:eastAsia="Times New Roman" w:cs="Times New Roman"/>
        </w:rPr>
        <w:t xml:space="preserve"> </w:t>
      </w:r>
      <w:r>
        <w:rPr>
          <w:rFonts w:ascii="Gadugi" w:hAnsi="Gadugi" w:eastAsia="Gadugi" w:cs="Gadugi"/>
        </w:rPr>
        <w:t>ᎤᏓᏅᏘᏴᎢ</w:t>
      </w:r>
      <w:r>
        <w:rPr>
          <w:rFonts w:ascii="Times New Roman" w:hAnsi="Times New Roman" w:eastAsia="Times New Roman" w:cs="Times New Roman"/>
        </w:rPr>
        <w:t xml:space="preserve"> </w:t>
      </w:r>
      <w:r>
        <w:rPr>
          <w:rFonts w:ascii="Gadugi" w:hAnsi="Gadugi" w:eastAsia="Gadugi" w:cs="Gadugi"/>
        </w:rPr>
        <w:t>ᎤᏍᏕᎸᏗ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ᎤᏚᎢᏍᏛ</w:t>
      </w:r>
      <w:r>
        <w:rPr>
          <w:rFonts w:ascii="Times New Roman" w:hAnsi="Times New Roman" w:eastAsia="Times New Roman" w:cs="Times New Roman"/>
        </w:rPr>
        <w:t xml:space="preserve"> </w:t>
      </w:r>
      <w:r>
        <w:rPr>
          <w:rFonts w:ascii="Gadugi" w:hAnsi="Gadugi" w:eastAsia="Gadugi" w:cs="Gadugi"/>
        </w:rPr>
        <w:t>ᎧᏃᎪᎢ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ᏂᎦᏗᏳ</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ᎠᏂᏧᏏ</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ᎢᎬᏁᎯ</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ᎬᏩᏓᏂᎸᏨᎭ</w:t>
      </w:r>
      <w:r>
        <w:rPr>
          <w:rFonts w:ascii="Times New Roman" w:hAnsi="Times New Roman" w:eastAsia="Times New Roman" w:cs="Times New Roman"/>
        </w:rPr>
        <w:t xml:space="preserve">, </w:t>
      </w:r>
      <w:r>
        <w:rPr>
          <w:rFonts w:ascii="Gadugi" w:hAnsi="Gadugi" w:eastAsia="Gadugi" w:cs="Gadugi"/>
        </w:rPr>
        <w:t>ᎬᏗᏍᎬᏍᎩ</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(John 1:1).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ᎠᏂᏅᏏᏓᏍᏗ</w:t>
      </w:r>
      <w:r>
        <w:rPr>
          <w:rFonts w:ascii="Times New Roman" w:hAnsi="Times New Roman" w:eastAsia="Times New Roman" w:cs="Times New Roman"/>
        </w:rPr>
        <w:t xml:space="preserve"> </w:t>
      </w:r>
      <w:r>
        <w:rPr>
          <w:rFonts w:ascii="Gadugi" w:hAnsi="Gadugi" w:eastAsia="Gadugi" w:cs="Gadugi"/>
        </w:rPr>
        <w:t>ᏂᎨᎬᏁᎸᎾ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Dünýä Onuň arkaly ýaradyldy, «we Onuňsuz ýaradylan hiç zat ýaradylmady» (Ýahýa 1:3). Eger Mesih ähli zatlary ýaradan bolsa, onda Ol ähli zatlardan öň bardy. Bu barada aýdylan sözler şeýle bir anyk hem kesgitleýjidir welin, hiç kim şübhede galdyrylmaly däldir. Mesih öz mahýetinde Hudaýdy, hem-de iň ýokary manyda Hudaýdy. Ol ähli bakyýetden bäri Hudaý bilen bile bolup, hemmäniň üstünden Hudaý, ebedilik mübärek Olandyr.</w:t>
      </w:r>
    </w:p>
    <w:p>
      <w:pPr>
        <w:pStyle w:val="ArticleScripture"/>
        <w:jc w:val="left"/>
      </w:pPr>
      <w:r>
        <w:rPr>
          <w:rFonts w:ascii="Times New Roman" w:hAnsi="Times New Roman" w:eastAsia="Times New Roman" w:cs="Times New Roman"/>
        </w:rPr>
        <w:t>“Rabbi Iyesu Kiristo, Mwana wa Mungu wa kimungu, yabagaho kuva mu byanda byona, omuntu owatandukanireho, kwonka omu bumwe na Tata. Niwe yabaire omurabyo ogusingura ogw’omu iguru. Niwe yabaire omukuru w’amagezi g’omu iguru, kandi okuramya okw’okwegaya okw’abamalaika bakumuherezaga nk’obugabe bwe obw’obugabe bwe. Eki tikyali kwiba ku Katonda. ‘Mukama yankwata omu ntandikiro y’omuhanda gwe,’ nikwo arangirira, ‘atanga emirimo ye ey’edda. Nteirwaho kuva ibara lyona, kuva ku ntandikiro, ensi etakabaho. Obwo obuziba butariho, niho nazaarwa; obwo ensulo ezijwire amaizi zitariho. Ensozi zitakatebenkerezibwa, n’imisozi etakabaho, niho nazaarwa: obwo akaba atakakora nsi, n’ebyalo, n’obufo bw’omucucu obw’ensi. Obwo yateekateeka eiguru, naabaire ndiho: obwo yateekaho ekizingo aha maisho g’obuziba’ (Enfumo 8:22–27).”</w:t>
      </w:r>
    </w:p>
    <w:p>
      <w:pPr>
        <w:pStyle w:val="ArticleScripture"/>
        <w:jc w:val="left"/>
      </w:pPr>
      <w:r>
        <w:rPr>
          <w:rFonts w:ascii="Times New Roman" w:hAnsi="Times New Roman" w:eastAsia="Times New Roman" w:cs="Times New Roman"/>
        </w:rPr>
        <w:t>«Әлемнің негізі қаланбай тұрып-ақ Мәсіхтің Әкемен бір болғаны туралы ақиқатта нұр мен ұлылық бар. Бұл — қараңғы жерде жарқырап тұрған нұр, оны Құдайлық, әуелгі ұлылықпен сәулелендіріп тұрған нұр. Өзінде шексіз құпия болып табылатын осы ақиқат, жарықта, қол жетпес әрі ақыл жетпес күйде сақтала отырып, өзге де құпия және басқаша түсіндіруге келмейтін ақиқаттарды түсіндіреді».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དཱན་ནེལ་གྱི་དེབ་—བརྒྱ་དང་བརྒྱད་ཅུ་གསུམ་པ།</dc:title>
  <dc:subject>Die Ewige Grundlage: Christus in der prophetischen Geschichte und im Glauben des Gläubigen</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