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کتاوی دانیال - ژمارە یەک سەد و نەوەتەم</w:t>
      </w:r>
    </w:p>
    <w:p>
      <w:pPr>
        <w:pStyle w:val="ArticleSubtitle"/>
        <w:jc w:val="left"/>
      </w:pPr>
      <w:r>
        <w:rPr>
          <w:rFonts w:ascii="Segoe UI" w:hAnsi="Segoe UI" w:eastAsia="Segoe UI" w:cs="Segoe UI"/>
        </w:rPr>
        <w:t>العَمودَةُ</w:t>
      </w:r>
      <w:r>
        <w:rPr>
          <w:rFonts w:ascii="Arial" w:hAnsi="Arial" w:eastAsia="Arial" w:cs="Arial"/>
        </w:rPr>
        <w:t xml:space="preserve"> </w:t>
      </w:r>
      <w:r>
        <w:rPr>
          <w:rFonts w:ascii="Segoe UI" w:hAnsi="Segoe UI" w:eastAsia="Segoe UI" w:cs="Segoe UI"/>
        </w:rPr>
        <w:t>النبوية</w:t>
      </w:r>
      <w:r>
        <w:rPr>
          <w:rFonts w:ascii="Arial" w:hAnsi="Arial" w:eastAsia="Arial" w:cs="Arial"/>
        </w:rPr>
        <w:t xml:space="preserve">: </w:t>
      </w:r>
      <w:r>
        <w:rPr>
          <w:rFonts w:ascii="Segoe UI" w:hAnsi="Segoe UI" w:eastAsia="Segoe UI" w:cs="Segoe UI"/>
        </w:rPr>
        <w:t>كشفُ</w:t>
      </w:r>
      <w:r>
        <w:rPr>
          <w:rFonts w:ascii="Arial" w:hAnsi="Arial" w:eastAsia="Arial" w:cs="Arial"/>
        </w:rPr>
        <w:t xml:space="preserve"> </w:t>
      </w:r>
      <w:r>
        <w:rPr>
          <w:rFonts w:ascii="Segoe UI" w:hAnsi="Segoe UI" w:eastAsia="Segoe UI" w:cs="Segoe UI"/>
        </w:rPr>
        <w:t>معركةِ</w:t>
      </w:r>
      <w:r>
        <w:rPr>
          <w:rFonts w:ascii="Arial" w:hAnsi="Arial" w:eastAsia="Arial" w:cs="Arial"/>
        </w:rPr>
        <w:t xml:space="preserve"> </w:t>
      </w:r>
      <w:r>
        <w:rPr>
          <w:rFonts w:ascii="Segoe UI" w:hAnsi="Segoe UI" w:eastAsia="Segoe UI" w:cs="Segoe UI"/>
        </w:rPr>
        <w:t>بانيوم</w:t>
      </w:r>
      <w:r>
        <w:rPr>
          <w:rFonts w:ascii="Arial" w:hAnsi="Arial" w:eastAsia="Arial" w:cs="Arial"/>
        </w:rPr>
        <w:t xml:space="preserve"> </w:t>
      </w:r>
      <w:r>
        <w:rPr>
          <w:rFonts w:ascii="Segoe UI" w:hAnsi="Segoe UI" w:eastAsia="Segoe UI" w:cs="Segoe UI"/>
        </w:rPr>
        <w:t>والتمهيدُ</w:t>
      </w:r>
      <w:r>
        <w:rPr>
          <w:rFonts w:ascii="Arial" w:hAnsi="Arial" w:eastAsia="Arial" w:cs="Arial"/>
        </w:rPr>
        <w:t xml:space="preserve"> </w:t>
      </w:r>
      <w:r>
        <w:rPr>
          <w:rFonts w:ascii="Segoe UI" w:hAnsi="Segoe UI" w:eastAsia="Segoe UI" w:cs="Segoe UI"/>
        </w:rPr>
        <w:t>لِقانونِ</w:t>
      </w:r>
      <w:r>
        <w:rPr>
          <w:rFonts w:ascii="Arial" w:hAnsi="Arial" w:eastAsia="Arial" w:cs="Arial"/>
        </w:rPr>
        <w:t xml:space="preserve"> </w:t>
      </w:r>
      <w:r>
        <w:rPr>
          <w:rFonts w:ascii="Segoe UI" w:hAnsi="Segoe UI" w:eastAsia="Segoe UI" w:cs="Segoe UI"/>
        </w:rPr>
        <w:t>الأحد</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مقاله‌ی پیشین با بخشی پایان یافت که شامل این بند بود: «تجاوزِ گناه تقریباً به حدّ نهایی خود رسیده است. آشفتگی جهان را فرا گرفته است، و به‌زودی وحشتی عظیم بر انسان‌ها خواهد آمد. پایان بسیار نزدیک است. ما که حقیقت را می‌شناسیم باید خود را برای آنچه به‌زودی همچون شگفتی‌ای سهمگین بر جهان فرود خواهد آمد، آماده سازیم.» «تجاوزِ گناه» آنگاه به حدّ نهایی خود می‌رسد که جامِ زمانِ آزمون لبریز شود، و این حدّ برای ایالات متحده در هنگام قانونِ یکشنبه فرا می‌رسد.</w:t>
      </w:r>
    </w:p>
    <w:p>
      <w:pPr>
        <w:pStyle w:val="ArticleScripture"/>
        <w:jc w:val="left"/>
      </w:pPr>
      <w:r>
        <w:rPr>
          <w:rFonts w:ascii="Times New Roman" w:hAnsi="Times New Roman" w:eastAsia="Times New Roman" w:cs="Times New Roman"/>
        </w:rPr>
        <w:t>"Pero Cristo declaró que ni una jota ni una tilde de la ley dejaría de cumplirse hasta que pasaran el cielo y la tierra. La misma obra que vino a realizar fue exaltar la ley, y mostrar a los mundos creados y al cielo que Dios es justo, y que su ley no necesita ser cambiada. Pero aquí está el hombre de la diestra de Satanás, dispuesto a continuar la obra que Satanás comenzó en el cielo, a saber, la de intentar enmendar la ley de Dios. Y el mundo cristiano ha sancionado sus esfuerzos al adoptar a este hijo del papado: la institución del domingo. Lo han nutrido, y continuarán nutriéndolo, hasta que el protestantismo dé la mano de confraternidad al poder romano. Entonces habrá una ley contra el sábado de la creación de Dios, y entonces será cuando Dios ‘hará una obra extraña en la tierra’. Él ha soportado largo tiempo la perversidad de la raza; ha procurado atraerlos a sí. Pero llegará el tiempo cuando habrán colmado la medida de su iniquidad; y entonces será cuando Dios obrará. Ese tiempo casi ha llegado. Dios lleva un registro de las naciones: las cifras aumentan contra ellas en los libros del cielo; y cuando llegue a ser ley que la transgresión del primer día de la semana sea castigada, entonces su copa estará llena". Review and Herald, 9 de marzo de 1886.</w:t>
      </w:r>
    </w:p>
    <w:p>
      <w:pPr>
        <w:pStyle w:val="ArticleBody"/>
        <w:jc w:val="left"/>
      </w:pPr>
      <w:r>
        <w:rPr>
          <w:rFonts w:ascii="Times New Roman" w:hAnsi="Times New Roman" w:eastAsia="Times New Roman" w:cs="Times New Roman"/>
        </w:rPr>
        <w:t>Пов Божьим сонукәмидә Америка қошма иштатлири өз қәдәһини толуқ толдурған болиду, вә миллий муртәтликниң арқисидин миллий вәйранчилиқ келиду. Биз қараватқан бу параграф мундақ дәйду: «гунаһ-мәъсийәт дегүдәк өз чәк-чегрисигә йәтти», «вә инсанлар үстигә йеқин арида зор вәһимә чүшиду.» Аян китавиниң он биринчи бабидики «улуқ йәр тәврәш саити» болған Пов Божьим сонукәмидә, «шәһәрниң ондин бири ғулап чүшти», «мана, үчинчи вай тез келиватиду», вә «йәттинчи пәриштә карнай чалди.» Үчинчи вай — йәттинчи карнайдур, вә у Пов Божьим сонукәмисидә келип, «зор вәһимә» елип келиду. Шу пәйттә «ахири интайин йеқин» болиду, вә у «һәддидин ташқири күтүлмигән бир һәйранлиқ» сүпитидә келиду. Пов Божьим сонукәмисидә сынақ мәзгилиниң қәдәһи папилиқ үчүнму толуп кетиду, чүнки шу вақитта Аян китавиниң он сәккизинчи бабидики иккинчи сада: «Униң гуналириға шерик болуп қалмаслиқиңлар вә униң балалириға учримаслиқиңлар үчүн униң ичидин чиқиңлар, әй Мениң хәлқим. Чүнки униң гуналири асманға йәтти, вә Худа униң қәбиһликлирини әсләп қалди. У силәргә қандақ қайтурған болса, униңға шундақ қайтуруңлар; униң әмәллиригә мувапиқ униңға икки һәссә қилиңлар: у толдурған қәдәһидә униңға икки һәссә толдуруңлар,» дәп җакарлайду.</w:t>
      </w:r>
    </w:p>
    <w:p>
      <w:pPr>
        <w:pStyle w:val="ArticleBody"/>
        <w:jc w:val="left"/>
      </w:pPr>
      <w:r>
        <w:rPr>
          <w:rFonts w:ascii="Times New Roman" w:hAnsi="Times New Roman" w:eastAsia="Times New Roman" w:cs="Times New Roman"/>
        </w:rPr>
        <w:t>Tariikhdaasi waxay furmaysaa marka la gaaro sharciga Axadda, waxayna calaamadisaa muddo waqtiyeed oo astaameed ah oo papacy-gu “si cadho weyn leh u soo bixi doono inuu baabbi’iyo, oo uu dad badan gebi ahaanba u tirtiro,” waayo “maalmaha ugu dambeeya waxaa jiri doona shuhado badan.” Waxa ka cadhaysiiya papacy-ga waa “wararka bari ka imanaya iyo kuwa woqooyi ka imanaya” oo “dhibi doona isaga,” laakiin “isagu dhammaadkiisa buu iman doonaa, oo ninna ma caawin doono.” Laga bilaabo sharciga Axadda ilaa dhammaadka papacy-ga, waxaa bilaabmaya wejiga koowaad ee xukunka fulineed ee Ilaah. Waxaa ku xiga wejiga labaad oo ah toddobada belaayo ee ugu dambaysa, ugu dambayna halaagga weligeed ah ee kuwa sharka leh marka la gaaro dhammaadka kunka sano ee millenium-ka. Taariikhda xukunka fulineed ee Ilaah waxaa lagu meeleeyey duruufaha dagaalka.</w:t>
      </w:r>
    </w:p>
    <w:p>
      <w:pPr>
        <w:pStyle w:val="ArticleScripture"/>
        <w:jc w:val="left"/>
      </w:pPr>
      <w:r>
        <w:rPr>
          <w:rFonts w:ascii="Times New Roman" w:hAnsi="Times New Roman" w:eastAsia="Times New Roman" w:cs="Times New Roman"/>
        </w:rPr>
        <w:t>“Ñuqanchikqa jatun, llakikuywan hunt’asqa ruwaykunaq punkupin sayashanchik. Willakuykunaqa hunt’akuchkanku. Mana riqsisqa, achka imaymana ruwasqa historiataqa hanaq pachaq qillqasqan librokunapin qillqashachkanku. Kay pachaqpi llapa ima kaqpas ch’aqwaypi kachkan. Guerranakuykuna kan, guerranakuykunapa rimaykuna ima. Llaqtakunaqa phiñakusqakuna kanku, wañusqakunapa pacha chayamunña, paykuna juzgasqa kanankupaq. Ruwaykunaqa tikrakuchkanku Diospa p’unchayninman apamunankupaq, chay p’unchayqa ancha utqhayta qayllamuchkan. Hinallataq, huk pisi pachallam, hina hinaqa, puchunraq. Ichaqa kunanña llaqta llaqtapa contran hatarichkaptin, reinu reinupa contranpas, manaraqmi llapa hinantinpi jatun maqanakuyqa kanchu. Kunan-kamaqa tawa wayrakunaqa hap’isqa kachkanku, Diospa sirviqninkuna urqunankupi sellosqa kanankukama. Chaymantaqa kay pachapa atiyninkuna llapan kallpankuta huñunkaku qhepa qhipa jatun maqanakuypaq.” Christian Service, 50, 51.</w:t>
      </w:r>
    </w:p>
    <w:p>
      <w:pPr>
        <w:pStyle w:val="ArticleBody"/>
        <w:jc w:val="left"/>
      </w:pPr>
      <w:r>
        <w:rPr>
          <w:rFonts w:ascii="Times New Roman" w:hAnsi="Times New Roman" w:eastAsia="Times New Roman" w:cs="Times New Roman"/>
        </w:rPr>
        <w:t>Elohim ya sella ken chuuk iigwe ama-nnọ na anọ, mgbe ahụkwa Ọ na-akpọ ìgwè atụrụ Ya ọzọ ka ha si na Bábílọn pụta, ìgwè atụrụ ọzọ ahụkwa na-anata akara nke Elohim, ọ bụ ezie na e ji ha nọchie anya dị ka “ọtụtụ mmadụ ukwu” n’iche dị iche na ken chuuk iigwe ama-nnọ na anọ. Isi okwu dị oké mkpa ịhụ n’ihe e kwuru n’elu bụ na “a na-ejide ifufe anọ ahụ ruo mgbe a ga-ese ndị ohu Elohim akara n’egedege ihu ha.” N’oge iwu Ụka ụbọchị Sọnde, e seelala ken chuuk iigwe ama-nnọ na anọ, “ma lee, ahụhụ nke atọ na-abịa ngwa ngwa”; ma ọbụnadị otu a, ọ bụghị ruo mgbe onye ikpeazụ n’ime ìgwè atụrụ ọzọ nke Elohim natara akara ahụ ka a ga-ahapụ ifufe anọ ahụ kpamkpam.</w:t>
      </w:r>
    </w:p>
    <w:p>
      <w:pPr>
        <w:pStyle w:val="ArticleScripture"/>
        <w:jc w:val="left"/>
      </w:pPr>
      <w:r>
        <w:rPr>
          <w:rFonts w:ascii="Times New Roman" w:hAnsi="Times New Roman" w:eastAsia="Times New Roman" w:cs="Times New Roman"/>
        </w:rPr>
        <w:t>“مللتاکا kunan phiñasisipkiwa, ukampis Jach’a Sacerdotesasax Santuario taypin luräwip tukuyxani ukhaxa, sayt’aniwa, phuqhasiñ isinakampi isthapïniwa, ukatsti qhipa paqallqu jach’a t’aqhisiñanakax warantatapäniwa. Nayax uñjtawa pusi angelanakax pusi thayanak katxarapxaniñapataki, Jesúsan Santuario taypin luräwip tukuykañapkama; ukatsti qhipa paqallqu jach’a t’aqhisiñanakaw jutani.” Review and Herald, August 1, 1849.</w:t>
      </w:r>
    </w:p>
    <w:p>
      <w:pPr>
        <w:pStyle w:val="ArticleBody"/>
        <w:jc w:val="left"/>
      </w:pPr>
      <w:r>
        <w:rPr>
          <w:rFonts w:ascii="Times New Roman" w:hAnsi="Times New Roman" w:eastAsia="Times New Roman" w:cs="Times New Roman"/>
        </w:rPr>
        <w:t>“</w:t>
      </w:r>
      <w:r>
        <w:rPr>
          <w:rFonts w:ascii="Malgun Gothic" w:hAnsi="Malgun Gothic" w:eastAsia="Malgun Gothic" w:cs="Malgun Gothic"/>
        </w:rPr>
        <w:t>쟈딖</w:t>
      </w:r>
      <w:r>
        <w:rPr>
          <w:rFonts w:ascii="Times New Roman" w:hAnsi="Times New Roman" w:eastAsia="Times New Roman" w:cs="Times New Roman"/>
        </w:rPr>
        <w:t xml:space="preserve"> </w:t>
      </w:r>
      <w:r>
        <w:rPr>
          <w:rFonts w:ascii="Malgun Gothic" w:hAnsi="Malgun Gothic" w:eastAsia="Malgun Gothic" w:cs="Malgun Gothic"/>
        </w:rPr>
        <w:t>넓랒맅</w:t>
      </w:r>
      <w:r>
        <w:rPr>
          <w:rFonts w:ascii="Times New Roman" w:hAnsi="Times New Roman" w:eastAsia="Times New Roman" w:cs="Times New Roman"/>
        </w:rPr>
        <w:t xml:space="preserve"> </w:t>
      </w:r>
      <w:r>
        <w:rPr>
          <w:rFonts w:ascii="Malgun Gothic" w:hAnsi="Malgun Gothic" w:eastAsia="Malgun Gothic" w:cs="Malgun Gothic"/>
        </w:rPr>
        <w:t>츀한</w:t>
      </w:r>
      <w:r>
        <w:rPr>
          <w:rFonts w:ascii="Times New Roman" w:hAnsi="Times New Roman" w:eastAsia="Times New Roman" w:cs="Times New Roman"/>
        </w:rPr>
        <w:t xml:space="preserve"> </w:t>
      </w:r>
      <w:r>
        <w:rPr>
          <w:rFonts w:ascii="Gadugi" w:hAnsi="Gadugi" w:eastAsia="Gadugi" w:cs="Gadugi"/>
        </w:rPr>
        <w:t>Ꮅ</w:t>
      </w:r>
      <w:r>
        <w:rPr>
          <w:rFonts w:ascii="Malgun Gothic" w:hAnsi="Malgun Gothic" w:eastAsia="Malgun Gothic" w:cs="Malgun Gothic"/>
        </w:rPr>
        <w:t>값밎</w:t>
      </w:r>
      <w:r>
        <w:rPr>
          <w:rFonts w:ascii="Times New Roman" w:hAnsi="Times New Roman" w:eastAsia="Times New Roman" w:cs="Times New Roman"/>
        </w:rPr>
        <w:t xml:space="preserve"> </w:t>
      </w:r>
      <w:r>
        <w:rPr>
          <w:rFonts w:ascii="Malgun Gothic" w:hAnsi="Malgun Gothic" w:eastAsia="Malgun Gothic" w:cs="Malgun Gothic"/>
        </w:rPr>
        <w:t>퐉습</w:t>
      </w:r>
      <w:r>
        <w:rPr>
          <w:rFonts w:ascii="Times New Roman" w:hAnsi="Times New Roman" w:eastAsia="Times New Roman" w:cs="Times New Roman"/>
        </w:rPr>
        <w:t>”</w:t>
      </w:r>
      <w:r>
        <w:rPr>
          <w:rFonts w:ascii="Malgun Gothic" w:hAnsi="Malgun Gothic" w:eastAsia="Malgun Gothic" w:cs="Malgun Gothic"/>
        </w:rPr>
        <w:t>핆</w:t>
      </w:r>
      <w:r>
        <w:rPr>
          <w:rFonts w:ascii="Times New Roman" w:hAnsi="Times New Roman" w:eastAsia="Times New Roman" w:cs="Times New Roman"/>
        </w:rPr>
        <w:t xml:space="preserve"> </w:t>
      </w:r>
      <w:r>
        <w:rPr>
          <w:rFonts w:ascii="Malgun Gothic" w:hAnsi="Malgun Gothic" w:eastAsia="Malgun Gothic" w:cs="Malgun Gothic"/>
        </w:rPr>
        <w:t>묫읺</w:t>
      </w:r>
      <w:r>
        <w:rPr>
          <w:rFonts w:ascii="Times New Roman" w:hAnsi="Times New Roman" w:eastAsia="Times New Roman" w:cs="Times New Roman"/>
        </w:rPr>
        <w:t xml:space="preserve"> “</w:t>
      </w:r>
      <w:r>
        <w:rPr>
          <w:rFonts w:ascii="Malgun Gothic" w:hAnsi="Malgun Gothic" w:eastAsia="Malgun Gothic" w:cs="Malgun Gothic"/>
        </w:rPr>
        <w:t>욢랄</w:t>
      </w:r>
      <w:r>
        <w:rPr>
          <w:rFonts w:ascii="Times New Roman" w:hAnsi="Times New Roman" w:eastAsia="Times New Roman" w:cs="Times New Roman"/>
        </w:rPr>
        <w:t xml:space="preserve"> </w:t>
      </w:r>
      <w:r>
        <w:rPr>
          <w:rFonts w:ascii="Malgun Gothic" w:hAnsi="Malgun Gothic" w:eastAsia="Malgun Gothic" w:cs="Malgun Gothic"/>
        </w:rPr>
        <w:t>묷풂엫</w:t>
      </w:r>
      <w:r>
        <w:rPr>
          <w:rFonts w:ascii="Times New Roman" w:hAnsi="Times New Roman" w:eastAsia="Times New Roman" w:cs="Times New Roman"/>
        </w:rPr>
        <w:t xml:space="preserve"> </w:t>
      </w:r>
      <w:r>
        <w:rPr>
          <w:rFonts w:ascii="Malgun Gothic" w:hAnsi="Malgun Gothic" w:eastAsia="Malgun Gothic" w:cs="Malgun Gothic"/>
        </w:rPr>
        <w:t>섶</w:t>
      </w:r>
      <w:r>
        <w:rPr>
          <w:rFonts w:ascii="Times New Roman" w:hAnsi="Times New Roman" w:eastAsia="Times New Roman" w:cs="Times New Roman"/>
        </w:rPr>
        <w:t xml:space="preserve"> </w:t>
      </w:r>
      <w:r>
        <w:rPr>
          <w:rFonts w:ascii="Malgun Gothic" w:hAnsi="Malgun Gothic" w:eastAsia="Malgun Gothic" w:cs="Malgun Gothic"/>
        </w:rPr>
        <w:t>뫃엾</w:t>
      </w:r>
      <w:r>
        <w:rPr>
          <w:rFonts w:ascii="Times New Roman" w:hAnsi="Times New Roman" w:eastAsia="Times New Roman" w:cs="Times New Roman"/>
        </w:rPr>
        <w:t xml:space="preserve"> </w:t>
      </w:r>
      <w:r>
        <w:rPr>
          <w:rFonts w:ascii="Malgun Gothic" w:hAnsi="Malgun Gothic" w:eastAsia="Malgun Gothic" w:cs="Malgun Gothic"/>
        </w:rPr>
        <w:t>돩엳</w:t>
      </w:r>
      <w:r>
        <w:rPr>
          <w:rFonts w:ascii="Times New Roman" w:hAnsi="Times New Roman" w:eastAsia="Times New Roman" w:cs="Times New Roman"/>
        </w:rPr>
        <w:t xml:space="preserve">” </w:t>
      </w:r>
      <w:r>
        <w:rPr>
          <w:rFonts w:ascii="Malgun Gothic" w:hAnsi="Malgun Gothic" w:eastAsia="Malgun Gothic" w:cs="Malgun Gothic"/>
        </w:rPr>
        <w:t>있닶고</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일들은</w:t>
      </w:r>
      <w:r>
        <w:rPr>
          <w:rFonts w:ascii="Times New Roman" w:hAnsi="Times New Roman" w:eastAsia="Times New Roman" w:cs="Times New Roman"/>
        </w:rPr>
        <w:t>, “</w:t>
      </w:r>
      <w:r>
        <w:rPr>
          <w:rFonts w:ascii="Malgun Gothic" w:hAnsi="Malgun Gothic" w:eastAsia="Malgun Gothic" w:cs="Malgun Gothic"/>
        </w:rPr>
        <w:t>쟈눔돀</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쟈눔돀의</w:t>
      </w:r>
      <w:r>
        <w:rPr>
          <w:rFonts w:ascii="Times New Roman" w:hAnsi="Times New Roman" w:eastAsia="Times New Roman" w:cs="Times New Roman"/>
        </w:rPr>
        <w:t xml:space="preserve"> </w:t>
      </w:r>
      <w:r>
        <w:rPr>
          <w:rFonts w:ascii="Malgun Gothic" w:hAnsi="Malgun Gothic" w:eastAsia="Malgun Gothic" w:cs="Malgun Gothic"/>
        </w:rPr>
        <w:t>솧문들</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표상되어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세상의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동요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민족들이</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민족을</w:t>
      </w:r>
      <w:r>
        <w:rPr>
          <w:rFonts w:ascii="Times New Roman" w:hAnsi="Times New Roman" w:eastAsia="Times New Roman" w:cs="Times New Roman"/>
        </w:rPr>
        <w:t xml:space="preserve"> </w:t>
      </w:r>
      <w:r>
        <w:rPr>
          <w:rFonts w:ascii="Malgun Gothic" w:hAnsi="Malgun Gothic" w:eastAsia="Malgun Gothic" w:cs="Malgun Gothic"/>
        </w:rPr>
        <w:t>대적하여</w:t>
      </w:r>
      <w:r>
        <w:rPr>
          <w:rFonts w:ascii="Times New Roman" w:hAnsi="Times New Roman" w:eastAsia="Times New Roman" w:cs="Times New Roman"/>
        </w:rPr>
        <w:t xml:space="preserve"> </w:t>
      </w:r>
      <w:r>
        <w:rPr>
          <w:rFonts w:ascii="Malgun Gothic" w:hAnsi="Malgun Gothic" w:eastAsia="Malgun Gothic" w:cs="Malgun Gothic"/>
        </w:rPr>
        <w:t>일어나고</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일어나는</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제시되어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파니움은</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11</w:t>
      </w:r>
      <w:r>
        <w:rPr>
          <w:rFonts w:ascii="Malgun Gothic" w:hAnsi="Malgun Gothic" w:eastAsia="Malgun Gothic" w:cs="Malgun Gothic"/>
        </w:rPr>
        <w:t>장</w:t>
      </w:r>
      <w:r>
        <w:rPr>
          <w:rFonts w:ascii="Times New Roman" w:hAnsi="Times New Roman" w:eastAsia="Times New Roman" w:cs="Times New Roman"/>
        </w:rPr>
        <w:t xml:space="preserve"> 15</w:t>
      </w:r>
      <w:r>
        <w:rPr>
          <w:rFonts w:ascii="Malgun Gothic" w:hAnsi="Malgun Gothic" w:eastAsia="Malgun Gothic" w:cs="Malgun Gothic"/>
        </w:rPr>
        <w:t>절에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기이하고</w:t>
      </w:r>
      <w:r>
        <w:rPr>
          <w:rFonts w:ascii="Times New Roman" w:hAnsi="Times New Roman" w:eastAsia="Times New Roman" w:cs="Times New Roman"/>
        </w:rPr>
        <w:t xml:space="preserve"> </w:t>
      </w:r>
      <w:r>
        <w:rPr>
          <w:rFonts w:ascii="Malgun Gothic" w:hAnsi="Malgun Gothic" w:eastAsia="Malgun Gothic" w:cs="Malgun Gothic"/>
        </w:rPr>
        <w:t>다사다난한</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표상하는데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16</w:t>
      </w:r>
      <w:r>
        <w:rPr>
          <w:rFonts w:ascii="Malgun Gothic" w:hAnsi="Malgun Gothic" w:eastAsia="Malgun Gothic" w:cs="Malgun Gothic"/>
        </w:rPr>
        <w:t>절로</w:t>
      </w:r>
      <w:r>
        <w:rPr>
          <w:rFonts w:ascii="Times New Roman" w:hAnsi="Times New Roman" w:eastAsia="Times New Roman" w:cs="Times New Roman"/>
        </w:rPr>
        <w:t xml:space="preserve"> </w:t>
      </w:r>
      <w:r>
        <w:rPr>
          <w:rFonts w:ascii="Malgun Gothic" w:hAnsi="Malgun Gothic" w:eastAsia="Malgun Gothic" w:cs="Malgun Gothic"/>
        </w:rPr>
        <w:t>이어지고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절을</w:t>
      </w:r>
      <w:r>
        <w:rPr>
          <w:rFonts w:ascii="Times New Roman" w:hAnsi="Times New Roman" w:eastAsia="Times New Roman" w:cs="Times New Roman"/>
        </w:rPr>
        <w:t xml:space="preserve"> </w:t>
      </w:r>
      <w:r>
        <w:rPr>
          <w:rFonts w:ascii="Malgun Gothic" w:hAnsi="Malgun Gothic" w:eastAsia="Malgun Gothic" w:cs="Malgun Gothic"/>
        </w:rPr>
        <w:t>도입하며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16</w:t>
      </w:r>
      <w:r>
        <w:rPr>
          <w:rFonts w:ascii="Malgun Gothic" w:hAnsi="Malgun Gothic" w:eastAsia="Malgun Gothic" w:cs="Malgun Gothic"/>
        </w:rPr>
        <w:t>절은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법령으로서</w:t>
      </w:r>
      <w:r>
        <w:rPr>
          <w:rFonts w:ascii="Times New Roman" w:hAnsi="Times New Roman" w:eastAsia="Times New Roman" w:cs="Times New Roman"/>
        </w:rPr>
        <w:t xml:space="preserve">, </w:t>
      </w:r>
      <w:r>
        <w:rPr>
          <w:rFonts w:ascii="Malgun Gothic" w:hAnsi="Malgun Gothic" w:eastAsia="Malgun Gothic" w:cs="Malgun Gothic"/>
        </w:rPr>
        <w:t>거기서</w:t>
      </w:r>
      <w:r>
        <w:rPr>
          <w:rFonts w:ascii="Times New Roman" w:hAnsi="Times New Roman" w:eastAsia="Times New Roman" w:cs="Times New Roman"/>
        </w:rPr>
        <w:t xml:space="preserve"> “</w:t>
      </w:r>
      <w:r>
        <w:rPr>
          <w:rFonts w:ascii="Malgun Gothic" w:hAnsi="Malgun Gothic" w:eastAsia="Malgun Gothic" w:cs="Malgun Gothic"/>
        </w:rPr>
        <w:t>전면적</w:t>
      </w:r>
      <w:r>
        <w:rPr>
          <w:rFonts w:ascii="Times New Roman" w:hAnsi="Times New Roman" w:eastAsia="Times New Roman" w:cs="Times New Roman"/>
        </w:rPr>
        <w:t xml:space="preserve"> </w:t>
      </w:r>
      <w:r>
        <w:rPr>
          <w:rFonts w:ascii="Malgun Gothic" w:hAnsi="Malgun Gothic" w:eastAsia="Malgun Gothic" w:cs="Malgun Gothic"/>
        </w:rPr>
        <w:t>교전</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이루어지고</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세상의</w:t>
      </w:r>
      <w:r>
        <w:rPr>
          <w:rFonts w:ascii="Times New Roman" w:hAnsi="Times New Roman" w:eastAsia="Times New Roman" w:cs="Times New Roman"/>
        </w:rPr>
        <w:t xml:space="preserve"> </w:t>
      </w:r>
      <w:r>
        <w:rPr>
          <w:rFonts w:ascii="Malgun Gothic" w:hAnsi="Malgun Gothic" w:eastAsia="Malgun Gothic" w:cs="Malgun Gothic"/>
        </w:rPr>
        <w:t>권세들</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전투를</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군대를</w:t>
      </w:r>
      <w:r>
        <w:rPr>
          <w:rFonts w:ascii="Times New Roman" w:hAnsi="Times New Roman" w:eastAsia="Times New Roman" w:cs="Times New Roman"/>
        </w:rPr>
        <w:t xml:space="preserve"> </w:t>
      </w:r>
      <w:r>
        <w:rPr>
          <w:rFonts w:ascii="Malgun Gothic" w:hAnsi="Malgun Gothic" w:eastAsia="Malgun Gothic" w:cs="Malgun Gothic"/>
        </w:rPr>
        <w:t>정렬시킨다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전투</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3</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세계대전이며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주전</w:t>
      </w:r>
      <w:r>
        <w:rPr>
          <w:rFonts w:ascii="Times New Roman" w:hAnsi="Times New Roman" w:eastAsia="Times New Roman" w:cs="Times New Roman"/>
        </w:rPr>
        <w:t xml:space="preserve"> 31</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악티움</w:t>
      </w:r>
      <w:r>
        <w:rPr>
          <w:rFonts w:ascii="Times New Roman" w:hAnsi="Times New Roman" w:eastAsia="Times New Roman" w:cs="Times New Roman"/>
        </w:rPr>
        <w:t xml:space="preserve"> </w:t>
      </w:r>
      <w:r>
        <w:rPr>
          <w:rFonts w:ascii="Malgun Gothic" w:hAnsi="Malgun Gothic" w:eastAsia="Malgun Gothic" w:cs="Malgun Gothic"/>
        </w:rPr>
        <w:t>전투로</w:t>
      </w:r>
      <w:r>
        <w:rPr>
          <w:rFonts w:ascii="Times New Roman" w:hAnsi="Times New Roman" w:eastAsia="Times New Roman" w:cs="Times New Roman"/>
        </w:rPr>
        <w:t xml:space="preserve"> </w:t>
      </w:r>
      <w:r>
        <w:rPr>
          <w:rFonts w:ascii="Malgun Gothic" w:hAnsi="Malgun Gothic" w:eastAsia="Malgun Gothic" w:cs="Malgun Gothic"/>
        </w:rPr>
        <w:t>표상되어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ئايەتلەر بىرى ۋە ئىككىسى، ھەمدە ئوندىن ئون بەشىگىچە بولغان ئايەتلەر دانيال 11-بابتىكى قىرىقنچى ئايەتنىڭ يوشۇرۇن تارىخىنى ئىپادىلەيدۇ. قىرىقنچى ئايەت 1798-يىلدىن 1989-يىلغىچە بولغان ئامېرىكا قوشما ئىشتاتلىرى ۋە ئادۋېنتىزمنىڭ تارىخىنى كۆرسىتىدۇ. ئاندىن ئۇ، ئامېرىكا قوشما ئىشتاتلىرىنىڭ مۇقەددەس كىتاب نۇبۇۋەتلىرىدىكى ئالتىنچى پادىشاھلىق سۈپىتىدە ئاخىرلىشىشى ۋە لائودىكىيەلىك يەتتىنچى كۈنلۈك ئادۋېنتىست چېركاۋىنىڭ قىرىق بىرىنچى ئايەتتە قۇسۇپ چىقىرىلىشىغىچە سۈكۈت قىلىدۇ؛ بۇ يەكشەنبە قانۇنىدۇر، ۋە ئۇ ئون ئالتىنچى ئايەتتۇر. بىرىنچى ۋە ئىككىنچى ئايەتلەر 1989-يىلدىكى ئاخىر زاماننى، ۋە شۇ نۇقتىدىن باشلاپ، شەيتانىي يەرشارىۋىچىلەرنى قوزغايدىغان ئالتىنچى باي پرېزىدېنتقىچە بولغان ئامېرىكا قوشما ئىشتاتلىرىنىڭ پرېزىدېنتلىرىنى كۆرسىتىدۇ. ئىككىنچى ئايەت بۇ تارىخنى 2016-يىلى دونالد ترامپنىڭ سايلىنىشىغىچە ئېلىپ كېلىدۇ، ئاندىن ئۈچىنچى ئايەت، مۇقەددەس كىتاب نۇبۇۋەتلىرىدىكى يەتتىنچى پادىشاھلىق بولغان، ئالېكساندېر بۈيۈك بىلەن سىمۋوللانغان، يېقىندا كېلىدىغان يەكشەنبە قانۇنى كىرىزىسىدە ئۆز پادىشاھلىقىنى پاپالىققا تاپشۇرىدىغان ئون پادىشاھنىڭ تارىخىنى داۋاملاشتۇرىدۇ.</w:t>
      </w:r>
    </w:p>
    <w:p>
      <w:pPr>
        <w:pStyle w:val="ArticleBody"/>
        <w:jc w:val="left"/>
      </w:pPr>
      <w:r>
        <w:rPr>
          <w:rFonts w:ascii="Times New Roman" w:hAnsi="Times New Roman" w:eastAsia="Times New Roman" w:cs="Times New Roman"/>
        </w:rPr>
        <w:t>Тохсон вусьдас тархай 1989 оные төгсгөлийн цаг гэж тодорхойлон хаана; арван нэгдүгээр ба арван хоёрдугаар эшлэлүүд Украинд болох дайныг өгүүлж, Путин болон Орос улс уг дайнд ялна, гэвч тэр ялалтаасаа ашиг хүртэхгүй гэдгийг тодорхойлдог. Украины дайн 2014 онд, Трампын анхны сонгуулийн кампанит ажил эхлэхээс нэг жилийн өмнө эхэлсэн. Эдгээр эшлэлүүд нь долоогоос гарсан найм дахь ерөнхийлөгч болохын тулд гурав дахь кампанит ажлаа эхлүүлэх үедээ Дональд Трампын (улс төрийн утгаар) амилалт руу хөтөлнө. Арван гуравдугаар эшлэл нь арван тавдугаар эшлэл дэх Паниумд байгуулсан ялалтаас нь өмнөх Трампын улс төрийн тэмцлүүдийг тодорхойлж, арван дөрөвдүгээр эшлэл нь Паниумын тулалдааны үеэр, арван тавдугаар эшлэл дэх түүний ялалт хүртэл өрнөх түүхийг, өөрөөр хэлбэл нүглийн хүн улс төрийн түүхэнд ил тодгоор халдан орж эхлэх тэр түүхийг авч үздэг. Пап ламын засаглал эш үзүүллэгийн түүхэнд халдан ороход Тирийн янхан дуулж эхэлдэг бөгөөд үзэгдэл тогтоогдоно.</w:t>
      </w:r>
    </w:p>
    <w:p>
      <w:pPr>
        <w:pStyle w:val="ArticleBody"/>
        <w:jc w:val="left"/>
      </w:pPr>
      <w:r>
        <w:rPr>
          <w:rFonts w:ascii="Times New Roman" w:hAnsi="Times New Roman" w:eastAsia="Times New Roman" w:cs="Times New Roman"/>
        </w:rPr>
        <w:t>Paniumdə e.ə. 200-cü ildə qazanılan qələbədən sonra, e.ə. 167-ci ildə Modeində (mənası etiraz) Makkabilərin “üsyanı” adlı yol nişanı gəldi. E.ə. 164-cü ildə Makkabilər Məbədi yenidən təqdis etdilər və Antiox Epifanes öldü; bu, Makkabilərin yunan dini təsirinə qarşı mübarizəsində dönüş nöqtəsini qeyd etdi. E.ə. 161-ci ildən e.ə. 158-ci ilə qədər olan dövrdə ittifaqa girmək işi başlandı və tamamlandı. Peyğəmbərlik yol nişanları, on beşinci ayədən iyirmi üçüncü ayəyə qədər olan ayələrin tarixində Haşmonay sülaləsi daxilində təkrarlanır.</w:t>
      </w:r>
    </w:p>
    <w:p>
      <w:pPr>
        <w:pStyle w:val="ArticleBody"/>
        <w:jc w:val="left"/>
      </w:pPr>
      <w:r>
        <w:rPr>
          <w:rFonts w:ascii="Times New Roman" w:hAnsi="Times New Roman" w:eastAsia="Times New Roman" w:cs="Times New Roman"/>
        </w:rPr>
        <w:t>النص العربي غير متوفر في الرسالة. يرجى إرسال النص الإنجليزي المراد ترجمته إلى العربية، وسأعيد فقط الترجمة بصياغة عربية فصيحة وطبيعية صالحة للنشر.</w:t>
      </w:r>
    </w:p>
    <w:p>
      <w:pPr>
        <w:pStyle w:val="ArticleBody"/>
        <w:jc w:val="left"/>
      </w:pPr>
      <w:r>
        <w:rPr>
          <w:rFonts w:ascii="Times New Roman" w:hAnsi="Times New Roman" w:eastAsia="Times New Roman" w:cs="Times New Roman"/>
        </w:rPr>
        <w:t>Քսաներորդ համարը նույնացնում է Քրիստոսի ծնունդը, իսկ քսանմեկերորդ և քսաներկրորդ համարները նույնացնում են Քրիստոսի մահվան պատմությունը, ուստի այդ պատմությունն իր մեջ ունի Հասմոնյան տոհմի գիծը, որը ներկայացված է փարիսեցիներով։ Տասնհինգերորդից մինչև քսաներեքերորդ համարները նույնացնում են բառացի փառավոր երկիրը և Աստծո Հուդայական ուխտադրուժ ժողովրդին, որոնք դավանում էին, թե Իր ճշմարտությունների պաշտպաններն են, սակայն Աստծո ներկայացուցիչները չէին ոչ ավելի, քան ուխտադրուժ բողոքականությունն է։</w:t>
      </w:r>
    </w:p>
    <w:p>
      <w:pPr>
        <w:pStyle w:val="ArticleBody"/>
        <w:jc w:val="left"/>
      </w:pP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हस्मोनी</w:t>
      </w:r>
      <w:r>
        <w:rPr>
          <w:rFonts w:ascii="Times New Roman" w:hAnsi="Times New Roman" w:eastAsia="Times New Roman" w:cs="Times New Roman"/>
        </w:rPr>
        <w:t xml:space="preserve"> </w:t>
      </w:r>
      <w:r>
        <w:rPr>
          <w:rFonts w:ascii="Nirmala UI" w:hAnsi="Nirmala UI" w:eastAsia="Nirmala UI" w:cs="Nirmala UI"/>
        </w:rPr>
        <w:t>वंश</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राष्ट्रपतिीय</w:t>
      </w:r>
      <w:r>
        <w:rPr>
          <w:rFonts w:ascii="Times New Roman" w:hAnsi="Times New Roman" w:eastAsia="Times New Roman" w:cs="Times New Roman"/>
        </w:rPr>
        <w:t xml:space="preserve"> </w:t>
      </w:r>
      <w:r>
        <w:rPr>
          <w:rFonts w:ascii="Nirmala UI" w:hAnsi="Nirmala UI" w:eastAsia="Nirmala UI" w:cs="Nirmala UI"/>
        </w:rPr>
        <w:t>अभियान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दौड़ता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2020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चुनाव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2020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अंधा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रचना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ऐडवेंटिस्टों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«Үлэмжийн бэлтгэлүүд хэдийнээ урагшлан, араатанд дүр бүтээхэд хүргэх үйл явдлууд өрнөж байна. Эдгээр эцсийн өдрүүдийн тухай зөгнөлийн урьдчилан хэлсэн зүйлийг биелүүлэх үйл явдлууд дэлхийн түүхэнд тохиолдох болно.» Review and Herald, April 23, 1889.</w:t>
      </w:r>
    </w:p>
    <w:p>
      <w:pPr>
        <w:pStyle w:val="ArticleBody"/>
        <w:jc w:val="left"/>
      </w:pPr>
      <w:r>
        <w:rPr>
          <w:rFonts w:ascii="Times New Roman" w:hAnsi="Times New Roman" w:eastAsia="Times New Roman" w:cs="Times New Roman"/>
        </w:rPr>
        <w:t>“</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अगाड़ी</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w:t>
      </w:r>
      <w:r>
        <w:rPr>
          <w:rFonts w:ascii="Nirmala UI" w:hAnsi="Nirmala UI" w:eastAsia="Nirmala UI" w:cs="Nirmala UI"/>
        </w:rPr>
        <w:t>चालचलगतियाँ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हवे</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पशुनी</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बनाववामा</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लावशे</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दिवसो</w:t>
      </w:r>
      <w:r>
        <w:rPr>
          <w:rFonts w:ascii="Times New Roman" w:hAnsi="Times New Roman" w:eastAsia="Times New Roman" w:cs="Times New Roman"/>
        </w:rPr>
        <w:t xml:space="preserve"> </w:t>
      </w:r>
      <w:r>
        <w:rPr>
          <w:rFonts w:ascii="Nirmala UI" w:hAnsi="Nirmala UI" w:eastAsia="Nirmala UI" w:cs="Nirmala UI"/>
        </w:rPr>
        <w:t>माटेनी</w:t>
      </w:r>
      <w:r>
        <w:rPr>
          <w:rFonts w:ascii="Times New Roman" w:hAnsi="Times New Roman" w:eastAsia="Times New Roman" w:cs="Times New Roman"/>
        </w:rPr>
        <w:t xml:space="preserve"> </w:t>
      </w:r>
      <w:r>
        <w:rPr>
          <w:rFonts w:ascii="Nirmala UI" w:hAnsi="Nirmala UI" w:eastAsia="Nirmala UI" w:cs="Nirmala UI"/>
        </w:rPr>
        <w:t>भविष्यवाणीनी</w:t>
      </w:r>
      <w:r>
        <w:rPr>
          <w:rFonts w:ascii="Times New Roman" w:hAnsi="Times New Roman" w:eastAsia="Times New Roman" w:cs="Times New Roman"/>
        </w:rPr>
        <w:t xml:space="preserve"> </w:t>
      </w:r>
      <w:r>
        <w:rPr>
          <w:rFonts w:ascii="Nirmala UI" w:hAnsi="Nirmala UI" w:eastAsia="Nirmala UI" w:cs="Nirmala UI"/>
        </w:rPr>
        <w:t>आगाहियो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करशे</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अगियारना</w:t>
      </w:r>
      <w:r>
        <w:rPr>
          <w:rFonts w:ascii="Times New Roman" w:hAnsi="Times New Roman" w:eastAsia="Times New Roman" w:cs="Times New Roman"/>
        </w:rPr>
        <w:t xml:space="preserve"> </w:t>
      </w:r>
      <w:r>
        <w:rPr>
          <w:rFonts w:ascii="Nirmala UI" w:hAnsi="Nirmala UI" w:eastAsia="Nirmala UI" w:cs="Nirmala UI"/>
        </w:rPr>
        <w:t>पंदर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तेवीस</w:t>
      </w:r>
      <w:r>
        <w:rPr>
          <w:rFonts w:ascii="Times New Roman" w:hAnsi="Times New Roman" w:eastAsia="Times New Roman" w:cs="Times New Roman"/>
        </w:rPr>
        <w:t xml:space="preserve"> </w:t>
      </w:r>
      <w:r>
        <w:rPr>
          <w:rFonts w:ascii="Nirmala UI" w:hAnsi="Nirmala UI" w:eastAsia="Nirmala UI" w:cs="Nirmala UI"/>
        </w:rPr>
        <w:t>श्लोक</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हसमोनियन</w:t>
      </w:r>
      <w:r>
        <w:rPr>
          <w:rFonts w:ascii="Times New Roman" w:hAnsi="Times New Roman" w:eastAsia="Times New Roman" w:cs="Times New Roman"/>
        </w:rPr>
        <w:t xml:space="preserve"> </w:t>
      </w:r>
      <w:r>
        <w:rPr>
          <w:rFonts w:ascii="Nirmala UI" w:hAnsi="Nirmala UI" w:eastAsia="Nirmala UI" w:cs="Nirmala UI"/>
        </w:rPr>
        <w:t>वंशना</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सामेल</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हसमोनियन</w:t>
      </w:r>
      <w:r>
        <w:rPr>
          <w:rFonts w:ascii="Times New Roman" w:hAnsi="Times New Roman" w:eastAsia="Times New Roman" w:cs="Times New Roman"/>
        </w:rPr>
        <w:t xml:space="preserve"> </w:t>
      </w:r>
      <w:r>
        <w:rPr>
          <w:rFonts w:ascii="Nirmala UI" w:hAnsi="Nirmala UI" w:eastAsia="Nirmala UI" w:cs="Nirmala UI"/>
        </w:rPr>
        <w:t>वंश</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डोनाल्ड</w:t>
      </w:r>
      <w:r>
        <w:rPr>
          <w:rFonts w:ascii="Times New Roman" w:hAnsi="Times New Roman" w:eastAsia="Times New Roman" w:cs="Times New Roman"/>
        </w:rPr>
        <w:t xml:space="preserve"> </w:t>
      </w:r>
      <w:r>
        <w:rPr>
          <w:rFonts w:ascii="Nirmala UI" w:hAnsi="Nirmala UI" w:eastAsia="Nirmala UI" w:cs="Nirmala UI"/>
        </w:rPr>
        <w:t>ट्रम्पनी</w:t>
      </w:r>
      <w:r>
        <w:rPr>
          <w:rFonts w:ascii="Times New Roman" w:hAnsi="Times New Roman" w:eastAsia="Times New Roman" w:cs="Times New Roman"/>
        </w:rPr>
        <w:t xml:space="preserve"> </w:t>
      </w:r>
      <w:r>
        <w:rPr>
          <w:rFonts w:ascii="Nirmala UI" w:hAnsi="Nirmala UI" w:eastAsia="Nirmala UI" w:cs="Nirmala UI"/>
        </w:rPr>
        <w:t>साक्षीमा</w:t>
      </w:r>
      <w:r>
        <w:rPr>
          <w:rFonts w:ascii="Times New Roman" w:hAnsi="Times New Roman" w:eastAsia="Times New Roman" w:cs="Times New Roman"/>
        </w:rPr>
        <w:t xml:space="preserve"> </w:t>
      </w:r>
      <w:r>
        <w:rPr>
          <w:rFonts w:ascii="Nirmala UI" w:hAnsi="Nirmala UI" w:eastAsia="Nirmala UI" w:cs="Nirmala UI"/>
        </w:rPr>
        <w:t>वणायलो</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छठ्ठा</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आठमा</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MAGA-</w:t>
      </w:r>
      <w:r>
        <w:rPr>
          <w:rFonts w:ascii="Nirmala UI" w:hAnsi="Nirmala UI" w:eastAsia="Nirmala UI" w:cs="Nirmala UI"/>
        </w:rPr>
        <w:t>वादने</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विश्व</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woke-</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उकसावे</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प्रवृत्त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Atsʼáadah níʼínízingo Trump biniyé bikááʼ 2020-go Daniel eleven biyiʼ ashdlaʼiiʼ nastaʼí bígo daʼníʼį́, dóó tʼáá íiyisí biniyé campaign dóó yáʼátʼééhgo nihá shikaadééłgo first term ajiłiiʼ, tʼááłáʼí dóó verses thirteen dę́ę́ʼ fifteen yáʼátʼééhgo biniyé third dóó łaʼíjiłiiʼ campaign, victory, dóó biniyé last term bee haneʼ. Tʼáá ákótʼéego tʼááłáʼí naaltsoosí terms binahjįʼ, Revelation chapter eleven yáʼátʼééhgo Republican horn daʼdiilyeedgo, dóó street bikááʼ three and a half days bąąh yishtłʼizhgo haneʼ. Tʼáá ajiłiiʼ Trump biniyé haneʼ Daniel chapter eleven biyiʼ biniiyé dah naashááł dóó nihá shikaadééłgo biyiʼ łą́ągo tʼáá ajiłiiʼ. Tʼáá ákótʼéego, Donald Trump biniyé testimony Daniel dóó Revelation naaltsoosí bibah yáʼátʼééhgo bikááʼ hodoonih, dóó tʼááłáʼí naaltsoosí ádin chapter eleven biyiʼ hodoonih.</w:t>
      </w:r>
    </w:p>
    <w:p>
      <w:pPr>
        <w:pStyle w:val="ArticleBody"/>
        <w:jc w:val="left"/>
      </w:pPr>
      <w:r>
        <w:rPr>
          <w:rFonts w:ascii="Times New Roman" w:hAnsi="Times New Roman" w:eastAsia="Times New Roman" w:cs="Times New Roman"/>
        </w:rPr>
        <w:t>ئ خطّ جزئيّه، هنگامی که در کنار هم نهاده شوند، تاریخ کامل ترامپ را به‌عنوان ششمین و هشتمین رئیس‌جمهور معرّفی می‌کنند، و بر امضای «حقیقت» بنا شده‌اند. این‌ها از کتاب‌های دانیال و مکاشفه گرفته شده‌اند، و خطّی از تاریخ را پدید می‌آورند که با آن «بخشی از کتاب دانیال که به ایّام آخر مربوط است» منطبق می‌باشد.</w:t>
      </w:r>
    </w:p>
    <w:p>
      <w:pPr>
        <w:pStyle w:val="ArticleBody"/>
        <w:jc w:val="left"/>
      </w:pPr>
      <w:r>
        <w:rPr>
          <w:rFonts w:ascii="Times New Roman" w:hAnsi="Times New Roman" w:eastAsia="Times New Roman" w:cs="Times New Roman"/>
        </w:rPr>
        <w:t>O vaega lenā o le tusi a Tanielu o le mea lea ua tatalaina e le Leona o le ituaiga o Iuta, a o leʻi oo i le tapunia o le taimi o le alofa tunoa, ma o lea ua avea ai ma tasi o vaega o le feʻau o le faamaufaailogaina o le selau ma le fasefulu ma le fa afe. Peitaʻi, e manaʻomia le vaai faaleagaga e matua manino atoatoa ina ia iloa ai faailo iloga faaperofeta o molimau e toʻalua ua fasiotia i le 2020.</w:t>
      </w:r>
    </w:p>
    <w:p>
      <w:pPr>
        <w:pStyle w:val="ArticleBody"/>
        <w:jc w:val="left"/>
      </w:pPr>
      <w:r>
        <w:rPr>
          <w:rFonts w:ascii="Times New Roman" w:hAnsi="Times New Roman" w:eastAsia="Times New Roman" w:cs="Times New Roman"/>
        </w:rPr>
        <w:t>آیەتی پانزدەی دانیاڵ یازدە شەڕی پانیۆم و هێڵی پاشایەتی هاشمۆناییان نیشان دەدات، کە بە شەڕێکی ڕاستەقینە تەواوبوو؛ لەبەر ئەوە وێنایەکی پێشبینیی بۆ جەنگێکی ڕۆحانی دەبێت لەنێوان ئاینی پرۆتستانتیزمی دادەوەشاوە و ئاینی سەردەمی نوێی گڵۆبالیستەکاندا. شەڕی پانیۆم، کە لە ساڵی 200 پێش زایین ڕوویدا، نوێنەرایەتی شەڕی شاخی کۆماری دەکات، و ئەو ململاێیەی کە شۆڕشی مەکەبییەکان پێی نوێنەرایەتی دەکرێت، نوێنەرایەتی شەڕی شاخی پرۆتستانتی دادەوەشاوە دەکات. هەرچەندە شۆڕشی مەکەبییەکان لە 167 پێش زایین ڕوویدا، بەڵام لە ڕووی پێشبینییەوە لەگەڵ شەڕی شاخی کۆماری لە 200 پێش زایین هاوتەریب دەبێت، چونکە لە ڕووی پێشبینییەوە شاخەکان مێژووی یەکتریان هاوتەریب دەکەن.</w:t>
      </w:r>
    </w:p>
    <w:p>
      <w:pPr>
        <w:pStyle w:val="ArticleBody"/>
        <w:jc w:val="left"/>
      </w:pPr>
      <w:r>
        <w:rPr>
          <w:rFonts w:ascii="Times New Roman" w:hAnsi="Times New Roman" w:eastAsia="Times New Roman" w:cs="Times New Roman"/>
        </w:rPr>
        <w:t>لەوەی پازدە مێژووی پێشبینییەکە نوێنەرایەتی دەکات کە بێ‌واسطە پێش ئەو یاسای یەکشەممەیە دێت و بەرەو ئەوی دەبات کە بەزوویی دێت. بۆیە، ئەو خەڵکەی دەکات بە هەمان خاڵی تەواو گرنگ لە کاتی مۆرکردنی سەد و چل و چوار هەزار، کە تێیدا هێزی ناو پەیامی مۆرکردن بە شێوەیەکی هەتاهەتایی مۆرەکە لەسەر گەلی خودای ڕۆژانی کۆتایی دادەنێت.</w:t>
      </w:r>
    </w:p>
    <w:p>
      <w:pPr>
        <w:pStyle w:val="ArticleBody"/>
        <w:jc w:val="left"/>
      </w:pPr>
      <w:r>
        <w:rPr>
          <w:rFonts w:ascii="Leelawadee UI" w:hAnsi="Leelawadee UI" w:eastAsia="Leelawadee UI" w:cs="Leelawadee UI"/>
        </w:rPr>
        <w:t>គឺជាសិង្ហនៃកុលសម្ព័ន្ធយូដាដែលបើកត្រាសេចក្តីពិតនោះ</w:t>
      </w:r>
      <w:r>
        <w:rPr>
          <w:rFonts w:ascii="Times New Roman" w:hAnsi="Times New Roman" w:eastAsia="Times New Roman" w:cs="Times New Roman"/>
        </w:rPr>
        <w:t xml:space="preserve"> </w:t>
      </w:r>
      <w:r>
        <w:rPr>
          <w:rFonts w:ascii="Leelawadee UI" w:hAnsi="Leelawadee UI" w:eastAsia="Leelawadee UI" w:cs="Leelawadee UI"/>
        </w:rPr>
        <w:t>ហើយសេចក្តីពិតនោះគឺជាការបើកសម្ដែងអំពីព្រះយេស៊ូវគ្រីស្ទ។</w:t>
      </w:r>
      <w:r>
        <w:rPr>
          <w:rFonts w:ascii="Times New Roman" w:hAnsi="Times New Roman" w:eastAsia="Times New Roman" w:cs="Times New Roman"/>
        </w:rPr>
        <w:t xml:space="preserve"> </w:t>
      </w:r>
      <w:r>
        <w:rPr>
          <w:rFonts w:ascii="Leelawadee UI" w:hAnsi="Leelawadee UI" w:eastAsia="Leelawadee UI" w:cs="Leelawadee UI"/>
        </w:rPr>
        <w:t>មនុស្សមួយសែនសែសិបបួនពាន់</w:t>
      </w:r>
      <w:r>
        <w:rPr>
          <w:rFonts w:ascii="Times New Roman" w:hAnsi="Times New Roman" w:eastAsia="Times New Roman" w:cs="Times New Roman"/>
        </w:rPr>
        <w:t xml:space="preserve"> </w:t>
      </w:r>
      <w:r>
        <w:rPr>
          <w:rFonts w:ascii="Leelawadee UI" w:hAnsi="Leelawadee UI" w:eastAsia="Leelawadee UI" w:cs="Leelawadee UI"/>
        </w:rPr>
        <w:t>គឺជាអ្នកដែល</w:t>
      </w:r>
      <w:r>
        <w:rPr>
          <w:rFonts w:ascii="Times New Roman" w:hAnsi="Times New Roman" w:eastAsia="Times New Roman" w:cs="Times New Roman"/>
        </w:rPr>
        <w:t xml:space="preserve"> «</w:t>
      </w:r>
      <w:r>
        <w:rPr>
          <w:rFonts w:ascii="Leelawadee UI" w:hAnsi="Leelawadee UI" w:eastAsia="Leelawadee UI" w:cs="Leelawadee UI"/>
        </w:rPr>
        <w:t>ដើរតាមកូនចៀមទៅគ្រប់ទីកន្លែងដែលទ្រង់យាងទៅ</w:t>
      </w:r>
      <w:r>
        <w:rPr>
          <w:rFonts w:ascii="Times New Roman" w:hAnsi="Times New Roman" w:eastAsia="Times New Roman" w:cs="Times New Roman"/>
        </w:rPr>
        <w:t xml:space="preserve">» </w:t>
      </w:r>
      <w:r>
        <w:rPr>
          <w:rFonts w:ascii="Leelawadee UI" w:hAnsi="Leelawadee UI" w:eastAsia="Leelawadee UI" w:cs="Leelawadee UI"/>
        </w:rPr>
        <w:t>ហើយនៅពេលទ្រង់បើកត្រាខទីដប់ប្រាំ</w:t>
      </w:r>
      <w:r>
        <w:rPr>
          <w:rFonts w:ascii="Times New Roman" w:hAnsi="Times New Roman" w:eastAsia="Times New Roman" w:cs="Times New Roman"/>
        </w:rPr>
        <w:t xml:space="preserve"> </w:t>
      </w:r>
      <w:r>
        <w:rPr>
          <w:rFonts w:ascii="Leelawadee UI" w:hAnsi="Leelawadee UI" w:eastAsia="Leelawadee UI" w:cs="Leelawadee UI"/>
        </w:rPr>
        <w:t>សិង្ហនៃកុលសម្ព័ន្ធយូដាបាននាំរាស្ត្ររបស់ទ្រង់នៅថ្ងៃចុងក្រោយទៅកាន់</w:t>
      </w:r>
      <w:r>
        <w:rPr>
          <w:rFonts w:ascii="Times New Roman" w:hAnsi="Times New Roman" w:eastAsia="Times New Roman" w:cs="Times New Roman"/>
        </w:rPr>
        <w:t xml:space="preserve"> Panium</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ព្រះយេស៊ូវបានបង្ហាញចំណុចនេះយ៉ាងច្បាស់ក្នុងដំណើរនៃការបោះត្រា</w:t>
      </w:r>
      <w:r>
        <w:rPr>
          <w:rFonts w:ascii="Times New Roman" w:hAnsi="Times New Roman" w:eastAsia="Times New Roman" w:cs="Times New Roman"/>
        </w:rPr>
        <w:t xml:space="preserve"> </w:t>
      </w:r>
      <w:r>
        <w:rPr>
          <w:rFonts w:ascii="Leelawadee UI" w:hAnsi="Leelawadee UI" w:eastAsia="Leelawadee UI" w:cs="Leelawadee UI"/>
        </w:rPr>
        <w:t>នៅពេលទ្រង់នាំសិស្សរបស់ទ្រង់ទៅកាន់</w:t>
      </w:r>
      <w:r>
        <w:rPr>
          <w:rFonts w:ascii="Times New Roman" w:hAnsi="Times New Roman" w:eastAsia="Times New Roman" w:cs="Times New Roman"/>
        </w:rPr>
        <w:t xml:space="preserve"> Panium </w:t>
      </w:r>
      <w:r>
        <w:rPr>
          <w:rFonts w:ascii="Leelawadee UI" w:hAnsi="Leelawadee UI" w:eastAsia="Leelawadee UI" w:cs="Leelawadee UI"/>
        </w:rPr>
        <w:t>មុនឈើឆ្កាងបន្តិច។</w:t>
      </w:r>
    </w:p>
    <w:p>
      <w:pPr>
        <w:pStyle w:val="ArticleBody"/>
        <w:jc w:val="left"/>
      </w:pPr>
      <w:r>
        <w:rPr>
          <w:rFonts w:ascii="Times New Roman" w:hAnsi="Times New Roman" w:eastAsia="Times New Roman" w:cs="Times New Roman"/>
        </w:rPr>
        <w:t>Պանիումի պատերազմը Քրիստոսի կողմից հատուկ կերպով է արծարծվում, երբ Նա Պանիումում կանգնած էր Իր աշակերտների հետ և այնտեղ ուսուցանեց նրանց, որ Իր եկեղեցին պիտի շինվի Պետրոսի խոստովանության վրա, և որ «դժոխքի դռները» նրան չեն հաղթի։ Հիսուսը նույնացրեց այն պատերազմը, որ ներկայացված է Պանիումի ճակատամարտով։ Պանիումի ճակատամարտը տասնհինգերորդ համարն է, իսկ տասնվեցերորդ համարը՝ Ակտիումի ճակատամարտը։ Քրիստոսը կանգնած էր Պանիումում՝ Իր մահվան գործողության ծավալվելուց անմիջապես առաջ։</w:t>
      </w:r>
    </w:p>
    <w:p>
      <w:pPr>
        <w:pStyle w:val="ArticleBody"/>
        <w:jc w:val="left"/>
      </w:pPr>
      <w:r>
        <w:rPr>
          <w:rFonts w:ascii="Times New Roman" w:hAnsi="Times New Roman" w:eastAsia="Times New Roman" w:cs="Times New Roman"/>
        </w:rPr>
        <w:t>Desde Panium hasta la ley dominical se extiende la historia de la lucha política y religiosa de los dos cuernos de protestantismo y republicanismo de la bestia de la tierra. Ambos fueron atacados por la bestia atea que sube del abismo en 2020, y la guerra de los dos cuernos contra los dioses políticos y religiosos del globalismo está representada dentro de la historia de los versículos once al dieciséis.</w:t>
      </w:r>
    </w:p>
    <w:p>
      <w:pPr>
        <w:pStyle w:val="ArticleBody"/>
        <w:jc w:val="left"/>
      </w:pPr>
      <w:r>
        <w:rPr>
          <w:rFonts w:ascii="Times New Roman" w:hAnsi="Times New Roman" w:eastAsia="Times New Roman" w:cs="Times New Roman"/>
        </w:rPr>
        <w:t>2014 йылда башланған Украина һуғышынан алып, 2015 йылда башланған Дональд Трамптың беренсе президент кампанияһына тиклем, 2020 йылда ике мөғөҙҙөң үлеменә тиклем, 2023 йылдағы терелеүгә тиклем, 2022 йылдың 15 ноябрендә башланған Трамптың өсөнсө кампанияһына тиклем — был тарих ун өсөнсө һәм ун бишенсе аяттарға алып бара. Ул аяттарҙа Алланың пәйғәмбәрлек Һүҙе аша асылған тарих бер йөҙ ҡырҡ дүрт меңде мѳһѳрләй торған пәйғәмбәрлек хәҡиҡәттәрен кәүҙәләндерә.</w:t>
      </w:r>
    </w:p>
    <w:p>
      <w:pPr>
        <w:pStyle w:val="ArticleBody"/>
        <w:jc w:val="left"/>
      </w:pPr>
      <w:r>
        <w:rPr>
          <w:rFonts w:ascii="Times New Roman" w:hAnsi="Times New Roman" w:eastAsia="Times New Roman" w:cs="Times New Roman"/>
        </w:rPr>
        <w:t>مسیحا نا قیصریہ فلپی قِی زیارت اِن متّی باب شانزدہم اے اتّرے سترہویں اَندر اَہو حقائقُو تمثیلی صورت مَن ظاہر کِیو۔ اَہو آیاتن مَن گناہُو انسان نبوّتی تاریخ مَن وُحیِن واپس آیو، صورِ زانیہٕ ہَند گیت گاتے، تہٕ اَسہِ کرن سۭتھ رؤیا قائم کران؛ یِم آیات اِس طرح نصفُ اللّیل پُکار ہٕند سیاق مَن رکھان، کیازِ کہ یُتھ رؤیا نہٕ چھُ، تِتھ لوٗکھ ہلاک گژھان۔</w:t>
      </w:r>
    </w:p>
    <w:p>
      <w:pPr>
        <w:pStyle w:val="ArticleScripture"/>
        <w:jc w:val="left"/>
      </w:pPr>
      <w:r>
        <w:rPr>
          <w:rFonts w:ascii="Times New Roman" w:hAnsi="Times New Roman" w:eastAsia="Times New Roman" w:cs="Times New Roman"/>
        </w:rPr>
        <w:t>Yəxgə niyoj nəqən ḍe, xalq həlak olur; ancaq Qanunu qoruyan nə bəxtiyardır. Məsəllər 29:18.</w:t>
      </w:r>
    </w:p>
    <w:p>
      <w:pPr>
        <w:pStyle w:val="ArticleBody"/>
        <w:jc w:val="left"/>
      </w:pPr>
      <w:r>
        <w:rPr>
          <w:rFonts w:ascii="Times New Roman" w:hAnsi="Times New Roman" w:eastAsia="Times New Roman" w:cs="Times New Roman"/>
        </w:rPr>
        <w:t>Тех, кто имеет глаза, но не желает видеть, и уши, но отказывается слышать, составляют неразумные лаодикийские девы, у которых нет «елея». «Елей» — это умножение познания, производимое тогда, когда Откровение Иисуса Христа снимается с печати незадолго до окончания времени испытания; и, согласно Осии, народ Божий, который отказывается принять и отвергает знание, подлежит истреблению.</w:t>
      </w:r>
    </w:p>
    <w:p>
      <w:pPr>
        <w:pStyle w:val="ArticleScripture"/>
        <w:jc w:val="left"/>
      </w:pPr>
      <w:r>
        <w:rPr>
          <w:rFonts w:ascii="Times New Roman" w:hAnsi="Times New Roman" w:eastAsia="Times New Roman" w:cs="Times New Roman"/>
        </w:rPr>
        <w:t>Mba’e kuéra oñehundi arandu’ỹre: nde rejeity rupi pe arandu, che avei romomboíta, ani hag̃ua reiko pa’i chéve g̃uarã: nderesarái rupi nde Jára Ñandejára léigui, che avei cheresaráita ne memby kuéragui. Oseas 4:6.</w:t>
      </w:r>
    </w:p>
    <w:p>
      <w:pPr>
        <w:pStyle w:val="ArticleScripture"/>
        <w:jc w:val="left"/>
      </w:pPr>
      <w:r>
        <w:rPr>
          <w:rFonts w:ascii="Times New Roman" w:hAnsi="Times New Roman" w:eastAsia="Times New Roman" w:cs="Times New Roman"/>
        </w:rPr>
        <w:t>Arazin’i Söz’ü bana yine gelip dedi: “Ey insanoğlu, sen asi bir halkın ortasında yaşıyorsun; onların görmek için gözleri var, ama görmüyorlar; işitmek için kulakları var, ama işitmiyorlar; çünkü onlar asi bir halktır.” Hezekiel 12:1, 2.</w:t>
      </w:r>
    </w:p>
    <w:p>
      <w:pPr>
        <w:pStyle w:val="ArticleScripture"/>
        <w:jc w:val="left"/>
      </w:pPr>
      <w:r>
        <w:rPr>
          <w:rFonts w:ascii="Times New Roman" w:hAnsi="Times New Roman" w:eastAsia="Times New Roman" w:cs="Times New Roman"/>
        </w:rPr>
        <w:t>Na mawuym yi se, Kɔ, na ka kyerɛ saa ɔman yi se: Muntie ampa, na monnte ase; na monhwɛ ampa, na monnhunu mu. Ma saa ɔman yi akoma nyɛ srade, na ma wɔn aso nyɛ duru, na kata wɔn ani; anyɛ saa a, wɔde wɔn ani behu, na wɔde wɔn aso bɛte, na wɔde wɔn akoma bɛte ase, na wɔadan wɔn ho, na wɔasa wɔn yare. Yesaia 6:9, 10.</w:t>
      </w:r>
    </w:p>
    <w:p>
      <w:pPr>
        <w:pStyle w:val="ArticleScripture"/>
        <w:jc w:val="left"/>
      </w:pPr>
      <w:r>
        <w:rPr>
          <w:rFonts w:ascii="Times New Roman" w:hAnsi="Times New Roman" w:eastAsia="Times New Roman" w:cs="Times New Roman"/>
        </w:rPr>
        <w:t>Tena ireo mpianatra ka nanao taminy hoe: Nahoana Hianao no miteny aminy amin’ny fanoharana? Ary Izy namaly ka nanao taminy hoe: Satria ianareo no nomena hahalala ny zava-miafin’ny fanjakan’ny lanitra, fa izy kosa tsy mba nomena. Fa izay manana dia homena, ka hanam-be izy; fa izay tsy manana kosa, na dia izay ananany aza dia halaina aminy. Koa izany no itenenako aminy amin’ny fanoharana, satria mahita izy, nefa tsy mahita; ary mandre izy, nefa tsy mihaino, sady tsy mahafantatra. Ary tanteraka aminy ny faminanian’Isaia izay milaza hoe: Amin’ny fihainoana no handrenesanareo, nefa tsy hahafantaranareo; ary amin’ny fijerena no hahitanareo, nefa tsy ho tsapanareo. Fa efa donto ny fon’ity firenena ity, ary ny sofiny efa mavesatra ny fihainoana, ary ny masony efa nakimpiny; fandrao amin’izao hahita amin’ny masony izy, sy handre amin’ny sofiny, ary hahafantatra amin’ny fony, ka hibebaka, dia hositraniko. Fa sambatra ny masonareo, fa mahita; ary ny sofinareo, fa mandre. Fa lazaiko aminareo marina tokoa fa mpaminany maro sy olo-marina maro no naniry hahita izay zavatra hitanareo, nefa tsy nahita; ary handre izay zavatra renareo, nefa tsy nandre izany. Matio 13:10–17.</w:t>
      </w:r>
    </w:p>
    <w:p>
      <w:pPr>
        <w:pStyle w:val="ArticleScripture"/>
        <w:jc w:val="left"/>
      </w:pPr>
      <w:r>
        <w:rPr>
          <w:rFonts w:ascii="Times New Roman" w:hAnsi="Times New Roman" w:eastAsia="Times New Roman" w:cs="Times New Roman"/>
        </w:rPr>
        <w:t>„1840–1844 cı yıllardan berilgen barlyq xabarlar qazir küşli etilip jetkiziliwi kerek, sebebi öz baǵdaryn joǵaltqan adamlar köp. Bul xabarlar barlyq şirkeýlerge jetkiziliwi kerek.</w:t>
      </w:r>
    </w:p>
    <w:p>
      <w:pPr>
        <w:pStyle w:val="ArticleScripture"/>
        <w:jc w:val="left"/>
      </w:pPr>
      <w:r>
        <w:rPr>
          <w:rFonts w:ascii="Microsoft Himalaya" w:hAnsi="Microsoft Himalaya" w:eastAsia="Microsoft Himalaya" w:cs="Microsoft Himalaya"/>
        </w:rPr>
        <w:t>་ཁྲིསྟོས་གསུངས་པ་ལ།</w:t>
      </w:r>
      <w:r>
        <w:rPr>
          <w:rFonts w:ascii="Times New Roman" w:hAnsi="Times New Roman" w:eastAsia="Times New Roman" w:cs="Times New Roman"/>
        </w:rPr>
        <w:t xml:space="preserve"> “</w:t>
      </w:r>
      <w:r>
        <w:rPr>
          <w:rFonts w:ascii="Microsoft Himalaya" w:hAnsi="Microsoft Himalaya" w:eastAsia="Microsoft Himalaya" w:cs="Microsoft Himalaya"/>
        </w:rPr>
        <w:t>ཁྱེད་རང་གི་མིག་ནི་བདེ་བའི་བྱིན་རླབས་ཅན་ཡིན།</w:t>
      </w:r>
      <w:r>
        <w:rPr>
          <w:rFonts w:ascii="Times New Roman" w:hAnsi="Times New Roman" w:eastAsia="Times New Roman" w:cs="Times New Roman"/>
        </w:rPr>
        <w:t xml:space="preserve"> </w:t>
      </w:r>
      <w:r>
        <w:rPr>
          <w:rFonts w:ascii="Microsoft Himalaya" w:hAnsi="Microsoft Himalaya" w:eastAsia="Microsoft Himalaya" w:cs="Microsoft Himalaya"/>
        </w:rPr>
        <w:t>དེས་མཐོང་བའི་ཕྱིར།</w:t>
      </w:r>
      <w:r>
        <w:rPr>
          <w:rFonts w:ascii="Times New Roman" w:hAnsi="Times New Roman" w:eastAsia="Times New Roman" w:cs="Times New Roman"/>
        </w:rPr>
        <w:t xml:space="preserve"> </w:t>
      </w:r>
      <w:r>
        <w:rPr>
          <w:rFonts w:ascii="Microsoft Himalaya" w:hAnsi="Microsoft Himalaya" w:eastAsia="Microsoft Himalaya" w:cs="Microsoft Himalaya"/>
        </w:rPr>
        <w:t>ཁྱེད་རང་གི་རྣ་བ་ཡང་བདེ་བའི་བྱིན་རླབས་ཅན་ཡིན།</w:t>
      </w:r>
      <w:r>
        <w:rPr>
          <w:rFonts w:ascii="Times New Roman" w:hAnsi="Times New Roman" w:eastAsia="Times New Roman" w:cs="Times New Roman"/>
        </w:rPr>
        <w:t xml:space="preserve"> </w:t>
      </w:r>
      <w:r>
        <w:rPr>
          <w:rFonts w:ascii="Microsoft Himalaya" w:hAnsi="Microsoft Himalaya" w:eastAsia="Microsoft Himalaya" w:cs="Microsoft Himalaya"/>
        </w:rPr>
        <w:t>དེས་ཐོས་པའི་ཕྱིར།</w:t>
      </w:r>
      <w:r>
        <w:rPr>
          <w:rFonts w:ascii="Times New Roman" w:hAnsi="Times New Roman" w:eastAsia="Times New Roman" w:cs="Times New Roman"/>
        </w:rPr>
        <w:t xml:space="preserve"> </w:t>
      </w:r>
      <w:r>
        <w:rPr>
          <w:rFonts w:ascii="Microsoft Himalaya" w:hAnsi="Microsoft Himalaya" w:eastAsia="Microsoft Himalaya" w:cs="Microsoft Himalaya"/>
        </w:rPr>
        <w:t>ངས་ཁྱེད་རང་ལ་བདེན་པར་སྨྲའོ།</w:t>
      </w:r>
      <w:r>
        <w:rPr>
          <w:rFonts w:ascii="Times New Roman" w:hAnsi="Times New Roman" w:eastAsia="Times New Roman" w:cs="Times New Roman"/>
        </w:rPr>
        <w:t xml:space="preserve"> </w:t>
      </w:r>
      <w:r>
        <w:rPr>
          <w:rFonts w:ascii="Microsoft Himalaya" w:hAnsi="Microsoft Himalaya" w:eastAsia="Microsoft Himalaya" w:cs="Microsoft Himalaya"/>
        </w:rPr>
        <w:t>ལུང་སྟོན་པ་མང་པོ་དང་།</w:t>
      </w:r>
      <w:r>
        <w:rPr>
          <w:rFonts w:ascii="Times New Roman" w:hAnsi="Times New Roman" w:eastAsia="Times New Roman" w:cs="Times New Roman"/>
        </w:rPr>
        <w:t xml:space="preserve"> </w:t>
      </w:r>
      <w:r>
        <w:rPr>
          <w:rFonts w:ascii="Microsoft Himalaya" w:hAnsi="Microsoft Himalaya" w:eastAsia="Microsoft Himalaya" w:cs="Microsoft Himalaya"/>
        </w:rPr>
        <w:t>དྲང་པོའི་མི་མང་པོས་ཁྱེད་རང་གིས་མཐོང་བའི་དོན་དག་དེ་དག་མཐོང་འདོད་བྱས་ཀྱང་།</w:t>
      </w:r>
      <w:r>
        <w:rPr>
          <w:rFonts w:ascii="Times New Roman" w:hAnsi="Times New Roman" w:eastAsia="Times New Roman" w:cs="Times New Roman"/>
        </w:rPr>
        <w:t xml:space="preserve"> </w:t>
      </w:r>
      <w:r>
        <w:rPr>
          <w:rFonts w:ascii="Microsoft Himalaya" w:hAnsi="Microsoft Himalaya" w:eastAsia="Microsoft Himalaya" w:cs="Microsoft Himalaya"/>
        </w:rPr>
        <w:t>མ་མཐོང་།</w:t>
      </w:r>
      <w:r>
        <w:rPr>
          <w:rFonts w:ascii="Times New Roman" w:hAnsi="Times New Roman" w:eastAsia="Times New Roman" w:cs="Times New Roman"/>
        </w:rPr>
        <w:t xml:space="preserve"> </w:t>
      </w:r>
      <w:r>
        <w:rPr>
          <w:rFonts w:ascii="Microsoft Himalaya" w:hAnsi="Microsoft Himalaya" w:eastAsia="Microsoft Himalaya" w:cs="Microsoft Himalaya"/>
        </w:rPr>
        <w:t>ཁྱེད་རང་གིས་ཐོས་པའི་དོན་དག་དེ་དག་ཐོས་འདོད་བྱས་ཀྱང་།</w:t>
      </w:r>
      <w:r>
        <w:rPr>
          <w:rFonts w:ascii="Times New Roman" w:hAnsi="Times New Roman" w:eastAsia="Times New Roman" w:cs="Times New Roman"/>
        </w:rPr>
        <w:t xml:space="preserve"> </w:t>
      </w:r>
      <w:r>
        <w:rPr>
          <w:rFonts w:ascii="Microsoft Himalaya" w:hAnsi="Microsoft Himalaya" w:eastAsia="Microsoft Himalaya" w:cs="Microsoft Himalaya"/>
        </w:rPr>
        <w:t>མ་ཐོས་པ་ཡིན།</w:t>
      </w:r>
      <w:r>
        <w:rPr>
          <w:rFonts w:ascii="Times New Roman" w:hAnsi="Times New Roman" w:eastAsia="Times New Roman" w:cs="Times New Roman"/>
        </w:rPr>
        <w:t xml:space="preserve">” [Matthew 13:16, 17] </w:t>
      </w:r>
      <w:r>
        <w:rPr>
          <w:rFonts w:ascii="Microsoft Himalaya" w:hAnsi="Microsoft Himalaya" w:eastAsia="Microsoft Himalaya" w:cs="Microsoft Himalaya"/>
        </w:rPr>
        <w:t>ཞེས།</w:t>
      </w:r>
      <w:r>
        <w:rPr>
          <w:rFonts w:ascii="Times New Roman" w:hAnsi="Times New Roman" w:eastAsia="Times New Roman" w:cs="Times New Roman"/>
        </w:rPr>
        <w:t xml:space="preserve"> 1843 </w:t>
      </w:r>
      <w:r>
        <w:rPr>
          <w:rFonts w:ascii="Microsoft Himalaya" w:hAnsi="Microsoft Himalaya" w:eastAsia="Microsoft Himalaya" w:cs="Microsoft Himalaya"/>
        </w:rPr>
        <w:t>དང་</w:t>
      </w:r>
      <w:r>
        <w:rPr>
          <w:rFonts w:ascii="Times New Roman" w:hAnsi="Times New Roman" w:eastAsia="Times New Roman" w:cs="Times New Roman"/>
        </w:rPr>
        <w:t xml:space="preserve"> 1844 </w:t>
      </w:r>
      <w:r>
        <w:rPr>
          <w:rFonts w:ascii="Microsoft Himalaya" w:hAnsi="Microsoft Himalaya" w:eastAsia="Microsoft Himalaya" w:cs="Microsoft Himalaya"/>
        </w:rPr>
        <w:t>ལོར་མཐོང་བར་གྱུར་པའི་དོན་དག་དེ་དག་མཐོང་བའི་མིག་རྣམས་ཀྱང་བདེ་བའི་བྱིན་རླབས་ཅན་ཡིན།</w:t>
      </w:r>
    </w:p>
    <w:p>
      <w:pPr>
        <w:pStyle w:val="ArticleScripture"/>
        <w:jc w:val="left"/>
      </w:pPr>
      <w:r>
        <w:rPr>
          <w:rFonts w:ascii="Times New Roman" w:hAnsi="Times New Roman" w:eastAsia="Times New Roman" w:cs="Times New Roman"/>
        </w:rPr>
        <w:t>“Niyonzɨ ɨkaholelwa. Kangi kutatela kuholola niyonzɨ iyo kutagomela kumbaɨho, pakuti vɨmanyilo vya nyakati vikutimilika; imbombo ya kusiliza yikupaswa kukamiligwa. Imbombo nkulu yikuhumigwa mu nthawi ifupi. Niyonzɨ yikuholelwa nupesi ku kwihigulwa na Mulungu iyo yikukula kufika pa kulila kwa nguvu. Penepo Danieli wakwima mu malo ghake, kuti ape ubukaboni bwake.” Manuscript Releases, volume 21, 437.</w:t>
      </w:r>
    </w:p>
    <w:p>
      <w:pPr>
        <w:pStyle w:val="ArticleBody"/>
        <w:jc w:val="left"/>
      </w:pPr>
      <w:r>
        <w:rPr>
          <w:rFonts w:ascii="Times New Roman" w:hAnsi="Times New Roman" w:eastAsia="Times New Roman" w:cs="Times New Roman"/>
        </w:rPr>
        <w:t>Ayar yachayta qhipa qillqapi mast’arisaq.</w:t>
      </w:r>
    </w:p>
    <w:p>
      <w:pPr>
        <w:pStyle w:val="ArticleScripture"/>
        <w:jc w:val="left"/>
      </w:pPr>
      <w:r>
        <w:rPr>
          <w:rFonts w:ascii="Times New Roman" w:hAnsi="Times New Roman" w:eastAsia="Times New Roman" w:cs="Times New Roman"/>
        </w:rPr>
        <w:t>یسوع مسیح کا مکاشفہ، جو خدا نے اسے دیا تاکہ اپنے بندوں پر وہ باتیں ظاہر کرے جو جلد واقع ہونے والی ہیں؛ اور اُس نے اپنے فرشتہ کے وسیلہ سے اسے اپنے بندہ یوحنا پر بھیج کر ظاہر کیا: جس نے خدا کے کلام، اور یسوع مسیح کی گواہی، اور اُن سب باتوں کی شہادت دی جو اُس نے دیکھیں۔ مبارک ہے وہ جو پڑھتا ہے، اور وہ جو اِس نبوت کی باتیں سنتے ہیں، اور اُن باتوں پر عمل کرتے ہیں جو اِس میں لکھی ہیں: کیونکہ وقت نزدیک ہے۔ مکاشفہ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کتاوی دانیال - ژمارە یەک سەد و نەوەتەم</dc:title>
  <dc:subject>العَمودَةُ النبوية: كشفُ معركةِ بانيوم والتمهيدُ لِقانونِ الأحد</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