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ማጽሐፈ</w:t>
      </w:r>
      <w:r>
        <w:rPr>
          <w:rFonts w:ascii="Arial" w:hAnsi="Arial" w:eastAsia="Arial" w:cs="Arial"/>
        </w:rPr>
        <w:t xml:space="preserve"> </w:t>
      </w:r>
      <w:r>
        <w:rPr>
          <w:rFonts w:ascii="Ebrima" w:hAnsi="Ebrima" w:eastAsia="Ebrima" w:cs="Ebrima"/>
        </w:rPr>
        <w:t>ዳንኤል</w:t>
      </w:r>
      <w:r>
        <w:rPr>
          <w:rFonts w:ascii="Arial" w:hAnsi="Arial" w:eastAsia="Arial" w:cs="Arial"/>
        </w:rPr>
        <w:t xml:space="preserve"> - </w:t>
      </w:r>
      <w:r>
        <w:rPr>
          <w:rFonts w:ascii="Ebrima" w:hAnsi="Ebrima" w:eastAsia="Ebrima" w:cs="Ebrima"/>
        </w:rPr>
        <w:t>ቍጽር</w:t>
      </w:r>
      <w:r>
        <w:rPr>
          <w:rFonts w:ascii="Arial" w:hAnsi="Arial" w:eastAsia="Arial" w:cs="Arial"/>
        </w:rPr>
        <w:t xml:space="preserve"> </w:t>
      </w:r>
      <w:r>
        <w:rPr>
          <w:rFonts w:ascii="Ebrima" w:hAnsi="Ebrima" w:eastAsia="Ebrima" w:cs="Ebrima"/>
        </w:rPr>
        <w:t>ሃያ</w:t>
      </w:r>
      <w:r>
        <w:rPr>
          <w:rFonts w:ascii="Arial" w:hAnsi="Arial" w:eastAsia="Arial" w:cs="Arial"/>
        </w:rPr>
        <w:t xml:space="preserve"> </w:t>
      </w:r>
      <w:r>
        <w:rPr>
          <w:rFonts w:ascii="Ebrima" w:hAnsi="Ebrima" w:eastAsia="Ebrima" w:cs="Ebrima"/>
        </w:rPr>
        <w:t>ሰባት</w:t>
      </w:r>
    </w:p>
    <w:p>
      <w:pPr>
        <w:pStyle w:val="ArticleSubtitle"/>
        <w:jc w:val="left"/>
      </w:pPr>
      <w:r>
        <w:rPr>
          <w:rFonts w:ascii="Leelawadee UI" w:hAnsi="Leelawadee UI" w:eastAsia="Leelawadee UI" w:cs="Leelawadee UI"/>
        </w:rPr>
        <w:t>អាថ៌កំបាំងសុបិនមួយទៀត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Times New Roman" w:hAnsi="Times New Roman" w:eastAsia="Times New Roman" w:cs="Times New Roman"/>
        </w:rPr>
        <w:t>Rêya duyemîn a Nebukadnetsar “demê dawiyê” nîşan dide, dema ku du çînên perestvanan têne gazî kirin ku werin û “zêdebûna zanînê” ya ku di 1798-an de hatibû vekirin lêkolîn bikin. Paşê Daniel jî wekî Belteshazzar tê nasandin, û bi vî awayî ew wek gelê peymanê yê Xwedê tê nasandin, ji ber ku guherîna navê bi awayekî pêxemberî têkiliyek peymanê nîşan dide. Nebukadnetsar pejirand ku Daniel hebûna Ruhê Pîroz hebû, û li ser bingeha ezmûna xwe ya berê bi Daniel re, wî difikirî ku “tiştek veşartî” Daniel ê neêşîne, lê veşartiya vê rêyê Daniel êşand.</w:t>
      </w:r>
    </w:p>
    <w:p>
      <w:pPr>
        <w:pStyle w:val="ArticleScripture"/>
        <w:jc w:val="left"/>
      </w:pPr>
      <w:r>
        <w:rPr>
          <w:rFonts w:ascii="Times New Roman" w:hAnsi="Times New Roman" w:eastAsia="Times New Roman" w:cs="Times New Roman"/>
        </w:rPr>
        <w:t>ئەی بەلتەشەزار، گەورەی جادووان، چونکە دەزانم ڕۆحی خوداوە پیرۆزەکان لە تۆدایە و هیچ نهێنییەک تۆ ناهاژێنێت، ئەو دیمەنانەی خەونەکەم کە بینیومن و لێکدانەوەکەی بۆم بڵێ. ئەمانە دیمەنی سەرم بوون لەسەر جێگای خەومدا؛ بینیم، و ئەوەتا دارێک لە ناوەڕاستی زەوی، و بەرزییەکەی زۆر گەورە بوو. دارەکە گەورەبوو و بەهێز بوو، و بەرزییەکەی گەیشتە ئاسمان، و دیمەنەکەی هەتا کۆتایی هەموو زەوی دەبینرا: گەڵاکانی جوان بوون، و میوەکەی زۆر بوو، و لەوەدا خواردن بۆ هەمووان هەبوو: ئاژەڵانی کێو سایەیان لەژێرەوە هەبوو، و باڵندەکانی ئاسمان لە لقەکانیدا نیشتەجێ بوون، و هەموو گۆشت لێی خواردن دەکرد. لە دیمەنەکانی سەرم لەسەر جێگای خەومدا بینیم، و ئەوەتا چاودێرێک و یەکێکی پیرۆز لە ئاسمانەوە دابەزی؛ بە دەنگی بەرز هاواری کرد و ئاوا وتی: دارەکە ببڕن، و لقەکانی ببڕنەوە، گەڵاکانی بتەکێنن، و میوەکەی بڵاوبکەنەوە: با ئاژەڵان لەژێرەوەی دوور بکەونەوە، و باڵندەکانیش لە لقەکانی. بەڵام کۆڵەکەی ڕەگەکانی لە زەویدا بهێڵنەوە، تەنانەت بە قەڵاوێکی ئاسن و بڕۆنز، لە نێو گیا نەرماکەی کێودا؛ و با بە شەونمی ئاسمان تەڕ بێت، و بەشی لەگەڵ ئاژەڵان بێت لە گیاکەی زەویدا: با دڵی لە دڵی مرۆڤ بگۆڕدرێت، و دڵی ئاژەڵێک بدرێتێ؛ و با حەوت کات بەسەریدا تێپەڕن. ئەم بابەتە بە بڕیاری چاودێرانە، و داواکارییەکەش بە وشەی پیرۆزانە: بۆ ئەوەی زیندووان بزانن کە زۆرترین بەرز لە شانشینی مرۆڤدا فەرمانڕەوایی دەکات، و دەیدات بە هەر کەسێک کە بیەوێت، و کەمترین مرۆڤان لەسەری دادەنێت. من، پاشا نەبوخەدنەسر، ئەم خەونەم بینی. ئێستا تۆ، ئەی بەلتەشەزار، لێکدانەوەکەی ڕابگەیەنە، چونکە هەموو دانایانی شانشینەکەم ناتوانن لێکدانەوەکەی بۆم ئاشکرا بکەن: بەڵام تۆ دەتوانیت؛ چونکە ڕۆحی خوداوە پیرۆزەکان لە تۆدایە. ئینجا دانیال، کە ناوی بەلتەشەزار بوو، بۆ ماوەی یەک کاتژمێر سەرسام بوو، و بیرەکانی هەژاندنیان کرد. پاشا قسەی کرد و وتی، بەلتەشەزار، با نە خەونەکە و نە لێکدانەوەکەی تۆ ناهاژێنن. بەلتەشەزار وەڵامی دا و وتی، گەورەم، با خەونەکە بۆ ئەوانە بێت کە ڕقت لێ دەبن، و لێکدانەوەکەی بۆ دوژمنانت. دانیال 4:9–19.</w:t>
      </w:r>
    </w:p>
    <w:p>
      <w:pPr>
        <w:pStyle w:val="ArticleBody"/>
        <w:jc w:val="left"/>
      </w:pPr>
      <w:r>
        <w:rPr>
          <w:rFonts w:ascii="Times New Roman" w:hAnsi="Times New Roman" w:eastAsia="Times New Roman" w:cs="Times New Roman"/>
        </w:rPr>
        <w:t>Даниелът е „обезпокоен“ от съня и тълкуването, защото разбира как Навуходоносор би могъл да се оскърби от тълкуването; но щом Навуходоносор го насърчава да говори, Даниел отправя към Навуходоносор предупреждение за предстоящ съд. Предупреждението за предстоящия съд е символ на предупреждението на първия ангел, който дойде във времето на края, през 1798 година.</w:t>
      </w:r>
    </w:p>
    <w:p>
      <w:pPr>
        <w:pStyle w:val="ArticleScripture"/>
        <w:jc w:val="left"/>
      </w:pPr>
      <w:r>
        <w:rPr>
          <w:rFonts w:ascii="Times New Roman" w:hAnsi="Times New Roman" w:eastAsia="Times New Roman" w:cs="Times New Roman"/>
        </w:rPr>
        <w:t>Тӕ Даниил, кӕцы ном хуыдта Балтасар, фӕдзӕхста иу сахатмӕ, ӕмӕ йӕ уыдытӕ йӕ фыдæбон кодтой. Паддзах дзырдта ӕмӕ загъта: «Балтасар, ма дӕ тӕрсын уӕд фӕндыр, кӕнӕ йӕ ю ацыд.» Балтасар дзуапп дӕттыд ӕмӕ загъта: «Мӕ хицау, уыцы фӕндыр уӕд уыдонӕн, чи дӕ фыдбылыз кӕны, ӕмӕ йӕ ацыд дӕ ӕндӕргомтӕн.» Даниил 4:19.</w:t>
      </w:r>
    </w:p>
    <w:p>
      <w:pPr>
        <w:pStyle w:val="ArticleBody"/>
        <w:jc w:val="left"/>
      </w:pPr>
      <w:r>
        <w:rPr>
          <w:rFonts w:ascii="Myanmar Text" w:hAnsi="Myanmar Text" w:eastAsia="Myanmar Text" w:cs="Myanmar Text"/>
        </w:rPr>
        <w:t>ဒံယေလသည်</w:t>
      </w:r>
      <w:r>
        <w:rPr>
          <w:rFonts w:ascii="Times New Roman" w:hAnsi="Times New Roman" w:eastAsia="Times New Roman" w:cs="Times New Roman"/>
        </w:rPr>
        <w:t xml:space="preserve"> “</w:t>
      </w:r>
      <w:r>
        <w:rPr>
          <w:rFonts w:ascii="Myanmar Text" w:hAnsi="Myanmar Text" w:eastAsia="Myanmar Text" w:cs="Myanmar Text"/>
        </w:rPr>
        <w:t>တစ်နာရီကြာ၍</w:t>
      </w:r>
      <w:r>
        <w:rPr>
          <w:rFonts w:ascii="Times New Roman" w:hAnsi="Times New Roman" w:eastAsia="Times New Roman" w:cs="Times New Roman"/>
        </w:rPr>
        <w:t xml:space="preserve"> </w:t>
      </w:r>
      <w:r>
        <w:rPr>
          <w:rFonts w:ascii="Myanmar Text" w:hAnsi="Myanmar Text" w:eastAsia="Myanmar Text" w:cs="Myanmar Text"/>
        </w:rPr>
        <w:t>အံ့အားသင့်လျက်ရှိ၏။</w:t>
      </w:r>
      <w:r>
        <w:rPr>
          <w:rFonts w:ascii="Times New Roman" w:hAnsi="Times New Roman" w:eastAsia="Times New Roman" w:cs="Times New Roman"/>
        </w:rPr>
        <w:t>” “</w:t>
      </w:r>
      <w:r>
        <w:rPr>
          <w:rFonts w:ascii="Myanmar Text" w:hAnsi="Myanmar Text" w:eastAsia="Myanmar Text" w:cs="Myanmar Text"/>
        </w:rPr>
        <w:t>နာရီ</w:t>
      </w:r>
      <w:r>
        <w:rPr>
          <w:rFonts w:ascii="Times New Roman" w:hAnsi="Times New Roman" w:eastAsia="Times New Roman" w:cs="Times New Roman"/>
        </w:rPr>
        <w:t xml:space="preserve">” </w:t>
      </w:r>
      <w:r>
        <w:rPr>
          <w:rFonts w:ascii="Myanmar Text" w:hAnsi="Myanmar Text" w:eastAsia="Myanmar Text" w:cs="Myanmar Text"/>
        </w:rPr>
        <w:t>ဟူသောစကားလုံးသည်</w:t>
      </w:r>
      <w:r>
        <w:rPr>
          <w:rFonts w:ascii="Times New Roman" w:hAnsi="Times New Roman" w:eastAsia="Times New Roman" w:cs="Times New Roman"/>
        </w:rPr>
        <w:t xml:space="preserve"> </w:t>
      </w:r>
      <w:r>
        <w:rPr>
          <w:rFonts w:ascii="Myanmar Text" w:hAnsi="Myanmar Text" w:eastAsia="Myanmar Text" w:cs="Myanmar Text"/>
        </w:rPr>
        <w:t>ဒံယေလကျမ်းတွင်</w:t>
      </w:r>
      <w:r>
        <w:rPr>
          <w:rFonts w:ascii="Times New Roman" w:hAnsi="Times New Roman" w:eastAsia="Times New Roman" w:cs="Times New Roman"/>
        </w:rPr>
        <w:t xml:space="preserve"> </w:t>
      </w:r>
      <w:r>
        <w:rPr>
          <w:rFonts w:ascii="Myanmar Text" w:hAnsi="Myanmar Text" w:eastAsia="Myanmar Text" w:cs="Myanmar Text"/>
        </w:rPr>
        <w:t>ငါးကြိမ်ပေါ်လာသော</w:t>
      </w:r>
      <w:r>
        <w:rPr>
          <w:rFonts w:ascii="Times New Roman" w:hAnsi="Times New Roman" w:eastAsia="Times New Roman" w:cs="Times New Roman"/>
        </w:rPr>
        <w:t xml:space="preserve"> </w:t>
      </w:r>
      <w:r>
        <w:rPr>
          <w:rFonts w:ascii="Myanmar Text" w:hAnsi="Myanmar Text" w:eastAsia="Myanmar Text" w:cs="Myanmar Text"/>
        </w:rPr>
        <w:t>အနက်တစ်ရပ်ဖြစ်ပြီး၊</w:t>
      </w:r>
      <w:r>
        <w:rPr>
          <w:rFonts w:ascii="Times New Roman" w:hAnsi="Times New Roman" w:eastAsia="Times New Roman" w:cs="Times New Roman"/>
        </w:rPr>
        <w:t xml:space="preserve"> </w:t>
      </w:r>
      <w:r>
        <w:rPr>
          <w:rFonts w:ascii="Myanmar Text" w:hAnsi="Myanmar Text" w:eastAsia="Myanmar Text" w:cs="Myanmar Text"/>
        </w:rPr>
        <w:t>ဓမ္မဟောင်းကျမ်းတစ်လျှောက်</w:t>
      </w:r>
      <w:r>
        <w:rPr>
          <w:rFonts w:ascii="Times New Roman" w:hAnsi="Times New Roman" w:eastAsia="Times New Roman" w:cs="Times New Roman"/>
        </w:rPr>
        <w:t xml:space="preserve"> </w:t>
      </w:r>
      <w:r>
        <w:rPr>
          <w:rFonts w:ascii="Myanmar Text" w:hAnsi="Myanmar Text" w:eastAsia="Myanmar Text" w:cs="Myanmar Text"/>
        </w:rPr>
        <w:t>အခြားမည်သည့်နေရာတွင်မျှ</w:t>
      </w:r>
      <w:r>
        <w:rPr>
          <w:rFonts w:ascii="Times New Roman" w:hAnsi="Times New Roman" w:eastAsia="Times New Roman" w:cs="Times New Roman"/>
        </w:rPr>
        <w:t xml:space="preserve"> </w:t>
      </w:r>
      <w:r>
        <w:rPr>
          <w:rFonts w:ascii="Myanmar Text" w:hAnsi="Myanmar Text" w:eastAsia="Myanmar Text" w:cs="Myanmar Text"/>
        </w:rPr>
        <w:t>မတွေ့ရပါ။</w:t>
      </w:r>
      <w:r>
        <w:rPr>
          <w:rFonts w:ascii="Times New Roman" w:hAnsi="Times New Roman" w:eastAsia="Times New Roman" w:cs="Times New Roman"/>
        </w:rPr>
        <w:t xml:space="preserve"> </w:t>
      </w:r>
      <w:r>
        <w:rPr>
          <w:rFonts w:ascii="Myanmar Text" w:hAnsi="Myanmar Text" w:eastAsia="Myanmar Text" w:cs="Myanmar Text"/>
        </w:rPr>
        <w:t>ဤနေရာ၌</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အသိပညာတိုးပွားလာခြင်းကို</w:t>
      </w:r>
      <w:r>
        <w:rPr>
          <w:rFonts w:ascii="Times New Roman" w:hAnsi="Times New Roman" w:eastAsia="Times New Roman" w:cs="Times New Roman"/>
        </w:rPr>
        <w:t xml:space="preserve"> </w:t>
      </w:r>
      <w:r>
        <w:rPr>
          <w:rFonts w:ascii="Myanmar Text" w:hAnsi="Myanmar Text" w:eastAsia="Myanmar Text" w:cs="Myanmar Text"/>
        </w:rPr>
        <w:t>နားလည်သော</w:t>
      </w:r>
      <w:r>
        <w:rPr>
          <w:rFonts w:ascii="Times New Roman" w:hAnsi="Times New Roman" w:eastAsia="Times New Roman" w:cs="Times New Roman"/>
        </w:rPr>
        <w:t xml:space="preserve"> “</w:t>
      </w:r>
      <w:r>
        <w:rPr>
          <w:rFonts w:ascii="Myanmar Text" w:hAnsi="Myanmar Text" w:eastAsia="Myanmar Text" w:cs="Myanmar Text"/>
        </w:rPr>
        <w:t>ပညာရှိ</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ဒံယေလက</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စစ်ဆေးစီရင်ခြင်း</w:t>
      </w:r>
      <w:r>
        <w:rPr>
          <w:rFonts w:ascii="Times New Roman" w:hAnsi="Times New Roman" w:eastAsia="Times New Roman" w:cs="Times New Roman"/>
        </w:rPr>
        <w:t xml:space="preserve"> </w:t>
      </w:r>
      <w:r>
        <w:rPr>
          <w:rFonts w:ascii="Myanmar Text" w:hAnsi="Myanmar Text" w:eastAsia="Myanmar Text" w:cs="Myanmar Text"/>
        </w:rPr>
        <w:t>တရားစီရင်မှုဖွင့်လှစ်ခြင်းကို</w:t>
      </w:r>
      <w:r>
        <w:rPr>
          <w:rFonts w:ascii="Times New Roman" w:hAnsi="Times New Roman" w:eastAsia="Times New Roman" w:cs="Times New Roman"/>
        </w:rPr>
        <w:t xml:space="preserve"> </w:t>
      </w:r>
      <w:r>
        <w:rPr>
          <w:rFonts w:ascii="Myanmar Text" w:hAnsi="Myanmar Text" w:eastAsia="Myanmar Text" w:cs="Myanmar Text"/>
        </w:rPr>
        <w:t>ကြေညာသော</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သတိပေးစကားကို</w:t>
      </w:r>
      <w:r>
        <w:rPr>
          <w:rFonts w:ascii="Times New Roman" w:hAnsi="Times New Roman" w:eastAsia="Times New Roman" w:cs="Times New Roman"/>
        </w:rPr>
        <w:t xml:space="preserve"> </w:t>
      </w:r>
      <w:r>
        <w:rPr>
          <w:rFonts w:ascii="Myanmar Text" w:hAnsi="Myanmar Text" w:eastAsia="Myanmar Text" w:cs="Myanmar Text"/>
        </w:rPr>
        <w:t>ပေးရန်</w:t>
      </w:r>
      <w:r>
        <w:rPr>
          <w:rFonts w:ascii="Times New Roman" w:hAnsi="Times New Roman" w:eastAsia="Times New Roman" w:cs="Times New Roman"/>
        </w:rPr>
        <w:t xml:space="preserve"> </w:t>
      </w:r>
      <w:r>
        <w:rPr>
          <w:rFonts w:ascii="Myanmar Text" w:hAnsi="Myanmar Text" w:eastAsia="Myanmar Text" w:cs="Myanmar Text"/>
        </w:rPr>
        <w:t>ပြင်ဆင်နေသည့်</w:t>
      </w:r>
      <w:r>
        <w:rPr>
          <w:rFonts w:ascii="Times New Roman" w:hAnsi="Times New Roman" w:eastAsia="Times New Roman" w:cs="Times New Roman"/>
        </w:rPr>
        <w:t xml:space="preserve"> </w:t>
      </w:r>
      <w:r>
        <w:rPr>
          <w:rFonts w:ascii="Myanmar Text" w:hAnsi="Myanmar Text" w:eastAsia="Myanmar Text" w:cs="Myanmar Text"/>
        </w:rPr>
        <w:t>အချိန်ကာလကို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အိပ်မက်အနက်ဖော်ပြချက်တွင်</w:t>
      </w:r>
      <w:r>
        <w:rPr>
          <w:rFonts w:ascii="Times New Roman" w:hAnsi="Times New Roman" w:eastAsia="Times New Roman" w:cs="Times New Roman"/>
        </w:rPr>
        <w:t xml:space="preserve"> </w:t>
      </w:r>
      <w:r>
        <w:rPr>
          <w:rFonts w:ascii="Myanmar Text" w:hAnsi="Myanmar Text" w:eastAsia="Myanmar Text" w:cs="Myanmar Text"/>
        </w:rPr>
        <w:t>လာမည့်</w:t>
      </w:r>
      <w:r>
        <w:rPr>
          <w:rFonts w:ascii="Times New Roman" w:hAnsi="Times New Roman" w:eastAsia="Times New Roman" w:cs="Times New Roman"/>
        </w:rPr>
        <w:t xml:space="preserve"> </w:t>
      </w:r>
      <w:r>
        <w:rPr>
          <w:rFonts w:ascii="Myanmar Text" w:hAnsi="Myanmar Text" w:eastAsia="Myanmar Text" w:cs="Myanmar Text"/>
        </w:rPr>
        <w:t>တရားစီရင်မှုတစ်ရပ်ကို</w:t>
      </w:r>
      <w:r>
        <w:rPr>
          <w:rFonts w:ascii="Times New Roman" w:hAnsi="Times New Roman" w:eastAsia="Times New Roman" w:cs="Times New Roman"/>
        </w:rPr>
        <w:t xml:space="preserve"> </w:t>
      </w:r>
      <w:r>
        <w:rPr>
          <w:rFonts w:ascii="Myanmar Text" w:hAnsi="Myanmar Text" w:eastAsia="Myanmar Text" w:cs="Myanmar Text"/>
        </w:rPr>
        <w:t>ကြေညာခြင်းသာမက၊</w:t>
      </w:r>
      <w:r>
        <w:rPr>
          <w:rFonts w:ascii="Times New Roman" w:hAnsi="Times New Roman" w:eastAsia="Times New Roman" w:cs="Times New Roman"/>
        </w:rPr>
        <w:t xml:space="preserve"> </w:t>
      </w:r>
      <w:r>
        <w:rPr>
          <w:rFonts w:ascii="Myanmar Text" w:hAnsi="Myanmar Text" w:eastAsia="Myanmar Text" w:cs="Myanmar Text"/>
        </w:rPr>
        <w:t>နေဗုခဒ္နက်ဇာအား</w:t>
      </w:r>
      <w:r>
        <w:rPr>
          <w:rFonts w:ascii="Times New Roman" w:hAnsi="Times New Roman" w:eastAsia="Times New Roman" w:cs="Times New Roman"/>
        </w:rPr>
        <w:t xml:space="preserve"> </w:t>
      </w:r>
      <w:r>
        <w:rPr>
          <w:rFonts w:ascii="Myanmar Text" w:hAnsi="Myanmar Text" w:eastAsia="Myanmar Text" w:cs="Myanmar Text"/>
        </w:rPr>
        <w:t>အပြစ်မှ</w:t>
      </w:r>
      <w:r>
        <w:rPr>
          <w:rFonts w:ascii="Times New Roman" w:hAnsi="Times New Roman" w:eastAsia="Times New Roman" w:cs="Times New Roman"/>
        </w:rPr>
        <w:t xml:space="preserve"> </w:t>
      </w:r>
      <w:r>
        <w:rPr>
          <w:rFonts w:ascii="Myanmar Text" w:hAnsi="Myanmar Text" w:eastAsia="Myanmar Text" w:cs="Myanmar Text"/>
        </w:rPr>
        <w:t>ရပ်စဲရန်</w:t>
      </w:r>
      <w:r>
        <w:rPr>
          <w:rFonts w:ascii="Times New Roman" w:hAnsi="Times New Roman" w:eastAsia="Times New Roman" w:cs="Times New Roman"/>
        </w:rPr>
        <w:t xml:space="preserve"> </w:t>
      </w:r>
      <w:r>
        <w:rPr>
          <w:rFonts w:ascii="Myanmar Text" w:hAnsi="Myanmar Text" w:eastAsia="Myanmar Text" w:cs="Myanmar Text"/>
        </w:rPr>
        <w:t>ခေါ်ဆိုခြင်းလည်း</w:t>
      </w:r>
      <w:r>
        <w:rPr>
          <w:rFonts w:ascii="Times New Roman" w:hAnsi="Times New Roman" w:eastAsia="Times New Roman" w:cs="Times New Roman"/>
        </w:rPr>
        <w:t xml:space="preserve"> </w:t>
      </w:r>
      <w:r>
        <w:rPr>
          <w:rFonts w:ascii="Myanmar Text" w:hAnsi="Myanmar Text" w:eastAsia="Myanmar Text" w:cs="Myanmar Text"/>
        </w:rPr>
        <w:t>ပါဝင်ပြီး၊</w:t>
      </w:r>
      <w:r>
        <w:rPr>
          <w:rFonts w:ascii="Times New Roman" w:hAnsi="Times New Roman" w:eastAsia="Times New Roman" w:cs="Times New Roman"/>
        </w:rPr>
        <w:t xml:space="preserve"> </w:t>
      </w:r>
      <w:r>
        <w:rPr>
          <w:rFonts w:ascii="Myanmar Text" w:hAnsi="Myanmar Text" w:eastAsia="Myanmar Text" w:cs="Myanmar Text"/>
        </w:rPr>
        <w:t>ထိုသည်မှာ</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ထာဝရဧဝံဂေလိတရားကို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နာရီ</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ပရောဖက်ပြုအဓိပ္ပာယ်အရ</w:t>
      </w:r>
      <w:r>
        <w:rPr>
          <w:rFonts w:ascii="Times New Roman" w:hAnsi="Times New Roman" w:eastAsia="Times New Roman" w:cs="Times New Roman"/>
        </w:rPr>
        <w:t xml:space="preserve"> </w:t>
      </w:r>
      <w:r>
        <w:rPr>
          <w:rFonts w:ascii="Myanmar Text" w:hAnsi="Myanmar Text" w:eastAsia="Myanmar Text" w:cs="Myanmar Text"/>
        </w:rPr>
        <w:t>အဆုံးကာလဖြစ်သော</w:t>
      </w:r>
      <w:r>
        <w:rPr>
          <w:rFonts w:ascii="Times New Roman" w:hAnsi="Times New Roman" w:eastAsia="Times New Roman" w:cs="Times New Roman"/>
        </w:rPr>
        <w:t xml:space="preserve"> </w:t>
      </w:r>
      <w:r>
        <w:rPr>
          <w:rFonts w:ascii="Myanmar Text" w:hAnsi="Myanmar Text" w:eastAsia="Myanmar Text" w:cs="Myanmar Text"/>
        </w:rPr>
        <w:t>၁၇၉၈</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တည်ရှိသည်ဟု</w:t>
      </w:r>
      <w:r>
        <w:rPr>
          <w:rFonts w:ascii="Times New Roman" w:hAnsi="Times New Roman" w:eastAsia="Times New Roman" w:cs="Times New Roman"/>
        </w:rPr>
        <w:t xml:space="preserve"> </w:t>
      </w:r>
      <w:r>
        <w:rPr>
          <w:rFonts w:ascii="Myanmar Text" w:hAnsi="Myanmar Text" w:eastAsia="Myanmar Text" w:cs="Myanmar Text"/>
        </w:rPr>
        <w:t>ဆိုရမည်ဖြစ်ပြီး၊</w:t>
      </w:r>
      <w:r>
        <w:rPr>
          <w:rFonts w:ascii="Times New Roman" w:hAnsi="Times New Roman" w:eastAsia="Times New Roman" w:cs="Times New Roman"/>
        </w:rPr>
        <w:t xml:space="preserve"> </w:t>
      </w:r>
      <w:r>
        <w:rPr>
          <w:rFonts w:ascii="Myanmar Text" w:hAnsi="Myanmar Text" w:eastAsia="Myanmar Text" w:cs="Myanmar Text"/>
        </w:rPr>
        <w:t>ထိုအချိန်တွင်</w:t>
      </w:r>
      <w:r>
        <w:rPr>
          <w:rFonts w:ascii="Times New Roman" w:hAnsi="Times New Roman" w:eastAsia="Times New Roman" w:cs="Times New Roman"/>
        </w:rPr>
        <w:t xml:space="preserve"> </w:t>
      </w:r>
      <w:r>
        <w:rPr>
          <w:rFonts w:ascii="Myanmar Text" w:hAnsi="Myanmar Text" w:eastAsia="Myanmar Text" w:cs="Myanmar Text"/>
        </w:rPr>
        <w:t>ပထမကောင်းကင်တမန်သည်</w:t>
      </w:r>
      <w:r>
        <w:rPr>
          <w:rFonts w:ascii="Times New Roman" w:hAnsi="Times New Roman" w:eastAsia="Times New Roman" w:cs="Times New Roman"/>
        </w:rPr>
        <w:t xml:space="preserve"> </w:t>
      </w:r>
      <w:r>
        <w:rPr>
          <w:rFonts w:ascii="Myanmar Text" w:hAnsi="Myanmar Text" w:eastAsia="Myanmar Text" w:cs="Myanmar Text"/>
        </w:rPr>
        <w:t>သမိုင်းအတွင်းသို့</w:t>
      </w:r>
      <w:r>
        <w:rPr>
          <w:rFonts w:ascii="Times New Roman" w:hAnsi="Times New Roman" w:eastAsia="Times New Roman" w:cs="Times New Roman"/>
        </w:rPr>
        <w:t xml:space="preserve"> </w:t>
      </w:r>
      <w:r>
        <w:rPr>
          <w:rFonts w:ascii="Myanmar Text" w:hAnsi="Myanmar Text" w:eastAsia="Myanmar Text" w:cs="Myanmar Text"/>
        </w:rPr>
        <w:t>ဝင်ရောက်လာခဲ့သည်။</w:t>
      </w:r>
      <w:r>
        <w:rPr>
          <w:rFonts w:ascii="Times New Roman" w:hAnsi="Times New Roman" w:eastAsia="Times New Roman" w:cs="Times New Roman"/>
        </w:rPr>
        <w:t xml:space="preserve"> </w:t>
      </w:r>
      <w:r>
        <w:rPr>
          <w:rFonts w:ascii="Myanmar Text" w:hAnsi="Myanmar Text" w:eastAsia="Myanmar Text" w:cs="Myanmar Text"/>
        </w:rPr>
        <w:t>ပထမကောင်းကင်တမန်သည်</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w:t>
      </w:r>
      <w:r>
        <w:rPr>
          <w:rFonts w:ascii="Myanmar Text" w:hAnsi="Myanmar Text" w:eastAsia="Myanmar Text" w:cs="Myanmar Text"/>
        </w:rPr>
        <w:t>၇၂၃</w:t>
      </w:r>
      <w:r>
        <w:rPr>
          <w:rFonts w:ascii="Times New Roman" w:hAnsi="Times New Roman" w:eastAsia="Times New Roman" w:cs="Times New Roman"/>
        </w:rPr>
        <w:t xml:space="preserve"> </w:t>
      </w:r>
      <w:r>
        <w:rPr>
          <w:rFonts w:ascii="Myanmar Text" w:hAnsi="Myanmar Text" w:eastAsia="Myanmar Text" w:cs="Myanmar Text"/>
        </w:rPr>
        <w:t>ခုနှစ်မှ</w:t>
      </w:r>
      <w:r>
        <w:rPr>
          <w:rFonts w:ascii="Times New Roman" w:hAnsi="Times New Roman" w:eastAsia="Times New Roman" w:cs="Times New Roman"/>
        </w:rPr>
        <w:t xml:space="preserve"> </w:t>
      </w:r>
      <w:r>
        <w:rPr>
          <w:rFonts w:ascii="Myanmar Text" w:hAnsi="Myanmar Text" w:eastAsia="Myanmar Text" w:cs="Myanmar Text"/>
        </w:rPr>
        <w:t>စတင်ကာ</w:t>
      </w:r>
      <w:r>
        <w:rPr>
          <w:rFonts w:ascii="Times New Roman" w:hAnsi="Times New Roman" w:eastAsia="Times New Roman" w:cs="Times New Roman"/>
        </w:rPr>
        <w:t xml:space="preserve"> </w:t>
      </w:r>
      <w:r>
        <w:rPr>
          <w:rFonts w:ascii="Myanmar Text" w:hAnsi="Myanmar Text" w:eastAsia="Myanmar Text" w:cs="Myanmar Text"/>
        </w:rPr>
        <w:t>မြောက်နိုင်ငံတော်အပေါ်</w:t>
      </w:r>
      <w:r>
        <w:rPr>
          <w:rFonts w:ascii="Times New Roman" w:hAnsi="Times New Roman" w:eastAsia="Times New Roman" w:cs="Times New Roman"/>
        </w:rPr>
        <w:t xml:space="preserve"> </w:t>
      </w:r>
      <w:r>
        <w:rPr>
          <w:rFonts w:ascii="Myanmar Text" w:hAnsi="Myanmar Text" w:eastAsia="Myanmar Text" w:cs="Myanmar Text"/>
        </w:rPr>
        <w:t>ကျရောက်စေခဲ့သော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လက်စားချေခြင်း</w:t>
      </w:r>
      <w:r>
        <w:rPr>
          <w:rFonts w:ascii="Times New Roman" w:hAnsi="Times New Roman" w:eastAsia="Times New Roman" w:cs="Times New Roman"/>
        </w:rPr>
        <w:t xml:space="preserve"> “</w:t>
      </w:r>
      <w:r>
        <w:rPr>
          <w:rFonts w:ascii="Myanmar Text" w:hAnsi="Myanmar Text" w:eastAsia="Myanmar Text" w:cs="Myanmar Text"/>
        </w:rPr>
        <w:t>ခုနစ်ကာလ</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အဆုံး၌၊</w:t>
      </w:r>
      <w:r>
        <w:rPr>
          <w:rFonts w:ascii="Times New Roman" w:hAnsi="Times New Roman" w:eastAsia="Times New Roman" w:cs="Times New Roman"/>
        </w:rPr>
        <w:t xml:space="preserve"> </w:t>
      </w:r>
      <w:r>
        <w:rPr>
          <w:rFonts w:ascii="Myanmar Text" w:hAnsi="Myanmar Text" w:eastAsia="Myanmar Text" w:cs="Myanmar Text"/>
        </w:rPr>
        <w:t>၁၇၉၈</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သမိုင်းအတွင်းသို့</w:t>
      </w:r>
      <w:r>
        <w:rPr>
          <w:rFonts w:ascii="Times New Roman" w:hAnsi="Times New Roman" w:eastAsia="Times New Roman" w:cs="Times New Roman"/>
        </w:rPr>
        <w:t xml:space="preserve"> </w:t>
      </w:r>
      <w:r>
        <w:rPr>
          <w:rFonts w:ascii="Myanmar Text" w:hAnsi="Myanmar Text" w:eastAsia="Myanmar Text" w:cs="Myanmar Text"/>
        </w:rPr>
        <w:t>ဝင်ရောက်လာခဲ့သည်။</w:t>
      </w:r>
    </w:p>
    <w:p>
      <w:pPr>
        <w:pStyle w:val="ArticleScripture"/>
        <w:jc w:val="left"/>
      </w:pPr>
      <w:r>
        <w:rPr>
          <w:rFonts w:ascii="Times New Roman" w:hAnsi="Times New Roman" w:eastAsia="Times New Roman" w:cs="Times New Roman"/>
        </w:rPr>
        <w:t>Vokatra fanavotana ireo andro ireo, mba ho tanteraka izay rehetra voasoratra. Fa lozan’izay bevohoka sy izay mampinono amin’izany andro izany! fa hisy fahoriana lehibe amin’ny tany, ary fahatezerana amin’ity firenena ity. Ary ho lavon’ny lelan-tsabatra izy, ka ho entina ho babo any amin’ny firenena rehetra; ary Jerosalema ho voahitsaky ny jentilisa mandra-pahatanteraky ny andron’ny jentilisa. Lioka 21:22–24.</w:t>
      </w:r>
    </w:p>
    <w:p>
      <w:pPr>
        <w:pStyle w:val="ArticleBody"/>
        <w:jc w:val="left"/>
      </w:pPr>
      <w:r>
        <w:rPr>
          <w:rFonts w:ascii="Times New Roman" w:hAnsi="Times New Roman" w:eastAsia="Times New Roman" w:cs="Times New Roman"/>
        </w:rPr>
        <w:t>Nabucodonosor yay kawsanqa uywapa sonqonwan Diospa p’iñakuyninpa p’unchayninkama, chaymi apamusqa karqa Israelpa hanaq suyu pataman, imaraykuchus Nabucodonosorqa hanaq suyuq qhapaqnin karqa. Lucasmi chay kikin pacha sutichan “pachakuna” nispa (“gentilkunapa pachankuna”), achkaq rimaypi, Jerusalén llaqtata saruchasqa kaypa tukukuyninta señalananpim.</w:t>
      </w:r>
    </w:p>
    <w:p>
      <w:pPr>
        <w:pStyle w:val="ArticleScripture"/>
        <w:jc w:val="left"/>
      </w:pPr>
      <w:r>
        <w:rPr>
          <w:rFonts w:ascii="Times New Roman" w:hAnsi="Times New Roman" w:eastAsia="Times New Roman" w:cs="Times New Roman"/>
        </w:rPr>
        <w:t>Na ci tnabij ni tabak, ket maipanawda a kas balud iti amin a nasion: ket ti Jerusalem maipaspas ti Gentil, agingga a mapno dagiti tiempo dagiti Gentil. Lucas 21:24.</w:t>
      </w:r>
    </w:p>
    <w:p>
      <w:pPr>
        <w:pStyle w:val="ArticleBody"/>
        <w:jc w:val="left"/>
      </w:pPr>
      <w:r>
        <w:rPr>
          <w:rFonts w:ascii="Times New Roman" w:hAnsi="Times New Roman" w:eastAsia="Times New Roman" w:cs="Times New Roman"/>
        </w:rPr>
        <w:t>دە كتابه‌ى ئاشکراکردندا، ماوه‌ى كاته‌كانى نەتەوەكان كه حه‌ره‌مى پیرۆز و سوپا پێشێل دەكرد، به‌ سادەیى به‌ دوازده‌ سه‌د و شه‌ست ساڵ ناسێنرا، چونكه‌ به‌ سادەیى تەنها جەختی لەسەر ماوەی چەوساندنەوەی پاپی دەکرد.</w:t>
      </w:r>
    </w:p>
    <w:p>
      <w:pPr>
        <w:pStyle w:val="ArticleScripture"/>
        <w:jc w:val="left"/>
      </w:pPr>
      <w:r>
        <w:rPr>
          <w:rFonts w:ascii="Times New Roman" w:hAnsi="Times New Roman" w:eastAsia="Times New Roman" w:cs="Times New Roman"/>
        </w:rPr>
        <w:t>Ngunit ang patyo na nasa labas ng templo ay pabayaan mo, at huwag mo nang sukatin; sapagkat ito ay ibinigay sa mga Gentil: at kanilang yuyurakan ang banal na lungsod sa loob ng apatnapu’t dalawang buwan. At bibigyan ko ng kapangyarihan ang aking dalawang saksi, at sila’y manghuhula sa loob ng isang libo’t dalawang daan at animnapung araw, na nadaramtan ng telang-sako. Pahayag 11:2, 3.</w:t>
      </w:r>
    </w:p>
    <w:p>
      <w:pPr>
        <w:pStyle w:val="ArticleBody"/>
        <w:jc w:val="left"/>
      </w:pPr>
      <w:r>
        <w:rPr>
          <w:rFonts w:ascii="Times New Roman" w:hAnsi="Times New Roman" w:eastAsia="Times New Roman" w:cs="Times New Roman"/>
        </w:rPr>
        <w:t>Aysiisniil Danieeli Nebuchadnezzarassi kenname laattam, yaa dhufuutti jiru akeekkachiisa murtii bakka bu’a. Dhufaatiin ergaa akeekkachiisaa sanaa fakkeenyaan bara 1798 keessatti kaaʼameera; yeroo sanatti ergamaan inni jalqabaa murtii qorannoo dhihaachaa jiru akeekkachiisuuf dhufe. Murtiin Nebuchadnezzar irratti raawwatamuuf dursee himame, boqonnaa afur keessatti itti fayyadama jecha “sa’aatii” isa lammaffaa keessatti raawwatame.</w:t>
      </w:r>
    </w:p>
    <w:p>
      <w:pPr>
        <w:pStyle w:val="ArticleScripture"/>
        <w:jc w:val="left"/>
      </w:pPr>
      <w:r>
        <w:rPr>
          <w:rFonts w:ascii="Nirmala UI" w:hAnsi="Nirmala UI" w:eastAsia="Nirmala UI" w:cs="Nirmala UI"/>
        </w:rPr>
        <w:t>यओ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आयल।</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w:t>
      </w:r>
      <w:r>
        <w:rPr>
          <w:rFonts w:ascii="Nirmala UI" w:hAnsi="Nirmala UI" w:eastAsia="Nirmala UI" w:cs="Nirmala UI"/>
        </w:rPr>
        <w:t>महल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टहल</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बजल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कहलथि</w:t>
      </w:r>
      <w:r>
        <w:rPr>
          <w:rFonts w:ascii="Times New Roman" w:hAnsi="Times New Roman" w:eastAsia="Times New Roman" w:cs="Times New Roman"/>
        </w:rPr>
        <w:t>,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आदर</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w:t>
      </w:r>
      <w:r>
        <w:rPr>
          <w:rFonts w:ascii="Nirmala UI" w:hAnsi="Nirmala UI" w:eastAsia="Nirmala UI" w:cs="Nirmala UI"/>
        </w:rPr>
        <w:t>निवासक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बनौलहुँ</w:t>
      </w:r>
      <w:r>
        <w:rPr>
          <w:rFonts w:ascii="Times New Roman" w:hAnsi="Times New Roman" w:eastAsia="Times New Roman" w:cs="Times New Roman"/>
        </w:rPr>
        <w:t xml:space="preserve">?” </w:t>
      </w:r>
      <w:r>
        <w:rPr>
          <w:rFonts w:ascii="Nirmala UI" w:hAnsi="Nirmala UI" w:eastAsia="Nirmala UI" w:cs="Nirmala UI"/>
        </w:rPr>
        <w:t>एखनहुँ</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आवाज</w:t>
      </w:r>
      <w:r>
        <w:rPr>
          <w:rFonts w:ascii="Times New Roman" w:hAnsi="Times New Roman" w:eastAsia="Times New Roman" w:cs="Times New Roman"/>
        </w:rPr>
        <w:t xml:space="preserve"> </w:t>
      </w:r>
      <w:r>
        <w:rPr>
          <w:rFonts w:ascii="Nirmala UI" w:hAnsi="Nirmala UI" w:eastAsia="Nirmala UI" w:cs="Nirmala UI"/>
        </w:rPr>
        <w:t>पड़ल</w:t>
      </w:r>
      <w:r>
        <w:rPr>
          <w:rFonts w:ascii="Times New Roman" w:hAnsi="Times New Roman" w:eastAsia="Times New Roman" w:cs="Times New Roman"/>
        </w:rPr>
        <w:t>,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कहल</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मनुख</w:t>
      </w:r>
      <w:r>
        <w:rPr>
          <w:rFonts w:ascii="Times New Roman" w:hAnsi="Times New Roman" w:eastAsia="Times New Roman" w:cs="Times New Roman"/>
        </w:rPr>
        <w:t xml:space="preserve"> </w:t>
      </w:r>
      <w:r>
        <w:rPr>
          <w:rFonts w:ascii="Nirmala UI" w:hAnsi="Nirmala UI" w:eastAsia="Nirmala UI" w:cs="Nirmala UI"/>
        </w:rPr>
        <w:t>सभक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जाएत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निवास</w:t>
      </w:r>
      <w:r>
        <w:rPr>
          <w:rFonts w:ascii="Times New Roman" w:hAnsi="Times New Roman" w:eastAsia="Times New Roman" w:cs="Times New Roman"/>
        </w:rPr>
        <w:t xml:space="preserve"> </w:t>
      </w:r>
      <w:r>
        <w:rPr>
          <w:rFonts w:ascii="Nirmala UI" w:hAnsi="Nirmala UI" w:eastAsia="Nirmala UI" w:cs="Nirmala UI"/>
        </w:rPr>
        <w:t>मैदानक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सभक</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होयत</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घास</w:t>
      </w:r>
      <w:r>
        <w:rPr>
          <w:rFonts w:ascii="Times New Roman" w:hAnsi="Times New Roman" w:eastAsia="Times New Roman" w:cs="Times New Roman"/>
        </w:rPr>
        <w:t xml:space="preserve"> </w:t>
      </w:r>
      <w:r>
        <w:rPr>
          <w:rFonts w:ascii="Nirmala UI" w:hAnsi="Nirmala UI" w:eastAsia="Nirmala UI" w:cs="Nirmala UI"/>
        </w:rPr>
        <w:t>खुआओल</w:t>
      </w:r>
      <w:r>
        <w:rPr>
          <w:rFonts w:ascii="Times New Roman" w:hAnsi="Times New Roman" w:eastAsia="Times New Roman" w:cs="Times New Roman"/>
        </w:rPr>
        <w:t xml:space="preserve"> </w:t>
      </w:r>
      <w:r>
        <w:rPr>
          <w:rFonts w:ascii="Nirmala UI" w:hAnsi="Nirmala UI" w:eastAsia="Nirmala UI" w:cs="Nirmala UI"/>
        </w:rPr>
        <w:t>जाएत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बीतत</w:t>
      </w:r>
      <w:r>
        <w:rPr>
          <w:rFonts w:ascii="Times New Roman" w:hAnsi="Times New Roman" w:eastAsia="Times New Roman" w:cs="Times New Roman"/>
        </w:rPr>
        <w:t xml:space="preserve">, </w:t>
      </w:r>
      <w:r>
        <w:rPr>
          <w:rFonts w:ascii="Nirmala UI" w:hAnsi="Nirmala UI" w:eastAsia="Nirmala UI" w:cs="Nirmala UI"/>
        </w:rPr>
        <w:t>जाबत</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लेब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परमप्रधान</w:t>
      </w:r>
      <w:r>
        <w:rPr>
          <w:rFonts w:ascii="Times New Roman" w:hAnsi="Times New Roman" w:eastAsia="Times New Roman" w:cs="Times New Roman"/>
        </w:rPr>
        <w:t xml:space="preserve"> </w:t>
      </w:r>
      <w:r>
        <w:rPr>
          <w:rFonts w:ascii="Nirmala UI" w:hAnsi="Nirmala UI" w:eastAsia="Nirmala UI" w:cs="Nirmala UI"/>
        </w:rPr>
        <w:t>मनुखक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तकरा</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भऽ</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मनुख</w:t>
      </w:r>
      <w:r>
        <w:rPr>
          <w:rFonts w:ascii="Times New Roman" w:hAnsi="Times New Roman" w:eastAsia="Times New Roman" w:cs="Times New Roman"/>
        </w:rPr>
        <w:t xml:space="preserve"> </w:t>
      </w:r>
      <w:r>
        <w:rPr>
          <w:rFonts w:ascii="Nirmala UI" w:hAnsi="Nirmala UI" w:eastAsia="Nirmala UI" w:cs="Nirmala UI"/>
        </w:rPr>
        <w:t>सभक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गेलाह</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घास</w:t>
      </w:r>
      <w:r>
        <w:rPr>
          <w:rFonts w:ascii="Times New Roman" w:hAnsi="Times New Roman" w:eastAsia="Times New Roman" w:cs="Times New Roman"/>
        </w:rPr>
        <w:t xml:space="preserve"> </w:t>
      </w:r>
      <w:r>
        <w:rPr>
          <w:rFonts w:ascii="Nirmala UI" w:hAnsi="Nirmala UI" w:eastAsia="Nirmala UI" w:cs="Nirmala UI"/>
        </w:rPr>
        <w:t>खाइत</w:t>
      </w:r>
      <w:r>
        <w:rPr>
          <w:rFonts w:ascii="Times New Roman" w:hAnsi="Times New Roman" w:eastAsia="Times New Roman" w:cs="Times New Roman"/>
        </w:rPr>
        <w:t xml:space="preserve"> </w:t>
      </w:r>
      <w:r>
        <w:rPr>
          <w:rFonts w:ascii="Nirmala UI" w:hAnsi="Nirmala UI" w:eastAsia="Nirmala UI" w:cs="Nirmala UI"/>
        </w:rPr>
        <w:t>रहलाह</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हुनकर</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स्वर्गक</w:t>
      </w:r>
      <w:r>
        <w:rPr>
          <w:rFonts w:ascii="Times New Roman" w:hAnsi="Times New Roman" w:eastAsia="Times New Roman" w:cs="Times New Roman"/>
        </w:rPr>
        <w:t xml:space="preserve"> </w:t>
      </w:r>
      <w:r>
        <w:rPr>
          <w:rFonts w:ascii="Nirmala UI" w:hAnsi="Nirmala UI" w:eastAsia="Nirmala UI" w:cs="Nirmala UI"/>
        </w:rPr>
        <w:t>ओस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भीजल</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जाबत</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हुनकर</w:t>
      </w:r>
      <w:r>
        <w:rPr>
          <w:rFonts w:ascii="Times New Roman" w:hAnsi="Times New Roman" w:eastAsia="Times New Roman" w:cs="Times New Roman"/>
        </w:rPr>
        <w:t xml:space="preserve"> </w:t>
      </w:r>
      <w:r>
        <w:rPr>
          <w:rFonts w:ascii="Nirmala UI" w:hAnsi="Nirmala UI" w:eastAsia="Nirmala UI" w:cs="Nirmala UI"/>
        </w:rPr>
        <w:t>केश</w:t>
      </w:r>
      <w:r>
        <w:rPr>
          <w:rFonts w:ascii="Times New Roman" w:hAnsi="Times New Roman" w:eastAsia="Times New Roman" w:cs="Times New Roman"/>
        </w:rPr>
        <w:t xml:space="preserve"> </w:t>
      </w:r>
      <w:r>
        <w:rPr>
          <w:rFonts w:ascii="Nirmala UI" w:hAnsi="Nirmala UI" w:eastAsia="Nirmala UI" w:cs="Nirmala UI"/>
        </w:rPr>
        <w:t>उकाबक</w:t>
      </w:r>
      <w:r>
        <w:rPr>
          <w:rFonts w:ascii="Times New Roman" w:hAnsi="Times New Roman" w:eastAsia="Times New Roman" w:cs="Times New Roman"/>
        </w:rPr>
        <w:t xml:space="preserve"> </w:t>
      </w:r>
      <w:r>
        <w:rPr>
          <w:rFonts w:ascii="Nirmala UI" w:hAnsi="Nirmala UI" w:eastAsia="Nirmala UI" w:cs="Nirmala UI"/>
        </w:rPr>
        <w:t>पाँख</w:t>
      </w:r>
      <w:r>
        <w:rPr>
          <w:rFonts w:ascii="Times New Roman" w:hAnsi="Times New Roman" w:eastAsia="Times New Roman" w:cs="Times New Roman"/>
        </w:rPr>
        <w:t xml:space="preserve"> </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नाखून</w:t>
      </w:r>
      <w:r>
        <w:rPr>
          <w:rFonts w:ascii="Times New Roman" w:hAnsi="Times New Roman" w:eastAsia="Times New Roman" w:cs="Times New Roman"/>
        </w:rPr>
        <w:t xml:space="preserve"> </w:t>
      </w:r>
      <w:r>
        <w:rPr>
          <w:rFonts w:ascii="Nirmala UI" w:hAnsi="Nirmala UI" w:eastAsia="Nirmala UI" w:cs="Nirmala UI"/>
        </w:rPr>
        <w:t>चिड़ैक</w:t>
      </w:r>
      <w:r>
        <w:rPr>
          <w:rFonts w:ascii="Times New Roman" w:hAnsi="Times New Roman" w:eastAsia="Times New Roman" w:cs="Times New Roman"/>
        </w:rPr>
        <w:t xml:space="preserve"> </w:t>
      </w:r>
      <w:r>
        <w:rPr>
          <w:rFonts w:ascii="Nirmala UI" w:hAnsi="Nirmala UI" w:eastAsia="Nirmala UI" w:cs="Nirmala UI"/>
        </w:rPr>
        <w:t>पंजा</w:t>
      </w:r>
      <w:r>
        <w:rPr>
          <w:rFonts w:ascii="Times New Roman" w:hAnsi="Times New Roman" w:eastAsia="Times New Roman" w:cs="Times New Roman"/>
        </w:rPr>
        <w:t xml:space="preserve"> </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4:28–33.</w:t>
      </w:r>
    </w:p>
    <w:p>
      <w:pPr>
        <w:pStyle w:val="ArticleBody"/>
        <w:jc w:val="left"/>
      </w:pPr>
      <w:r>
        <w:rPr>
          <w:rFonts w:ascii="Times New Roman" w:hAnsi="Times New Roman" w:eastAsia="Times New Roman" w:cs="Times New Roman"/>
        </w:rPr>
        <w:t>Bichaa murteffamee sun duraaniin himame sana keessauma “sa’aatii” Nebukadnezaar garaan isaa of tuulummaatti ol ka’e keessatti dhufe. Bichaan qorannoo duraaniin himame sunis, yeroo “sa’aatiin” bichaa qorannoo Waaqayyoo jalqabe dhufe.</w:t>
      </w:r>
    </w:p>
    <w:p>
      <w:pPr>
        <w:pStyle w:val="ArticleBody"/>
        <w:jc w:val="left"/>
      </w:pPr>
      <w:r>
        <w:rPr>
          <w:rFonts w:ascii="Times New Roman" w:hAnsi="Times New Roman" w:eastAsia="Times New Roman" w:cs="Times New Roman"/>
        </w:rPr>
        <w:t>Ang “oras” ng paghuhukom ng Diyos noong Oktubre 22, 1844, ay nagluwal ng dalawang uri ng mga mananamba, na inilarawan bilang “mga pantas” at “mga masama” sa ikalabindalawang kabanata ng Daniel, at inilarawan din bilang “mga pantas” o “mga hangal” sa talinghaga ng sampung dalaga, at inilarawan din bilang yaong mga inaring-ganap sa pamamagitan ng pananampalataya sa ikalawang kabanata ng Habakkuk, na inihambing sa mga naghayag ng gayunding pagkatao na tinaglay ni Nebukadnezar sa “oras” na dumating ang kaniyang paghuhukom.</w:t>
      </w:r>
    </w:p>
    <w:p>
      <w:pPr>
        <w:pStyle w:val="ArticleScripture"/>
        <w:jc w:val="left"/>
      </w:pPr>
      <w:r>
        <w:rPr>
          <w:rFonts w:ascii="Times New Roman" w:hAnsi="Times New Roman" w:eastAsia="Times New Roman" w:cs="Times New Roman"/>
        </w:rPr>
        <w:t>Náháláʼ bí hólǫ́ʼígíí tʼáá íiyisí ádanííná; tʼáá íiyisí hólǫ́ʼí da. Dóó tʼáá ałtso yáʼátʼééhígíí bį́įh ádílwoʼígíí binahjįʼ doo shił bééhózin da; éí hágoóneeʼgo yił níłchʼiʼíídígíí yee yił níłchʼiʼííd dooleeł. Habakkuk 2:4.</w:t>
      </w:r>
    </w:p>
    <w:p>
      <w:pPr>
        <w:pStyle w:val="ArticleBody"/>
        <w:jc w:val="left"/>
      </w:pPr>
      <w:r>
        <w:rPr>
          <w:rFonts w:ascii="Times New Roman" w:hAnsi="Times New Roman" w:eastAsia="Times New Roman" w:cs="Times New Roman"/>
        </w:rPr>
        <w:t>Үч катардын ар бириндеги эки тап анын сотунун «сааты» 1844-жылдын 22-октябрында келгенде айкын болду; Небухаданасардын соттун «сааты» мына ушуну билдирет. 1798-жыл «жети убакыттагы» «биринчи» каардануунун аягы болгон, анткени папачылык гүлдөп-өсүүсүн токтоткон, себеби ага өлүмгө жеткирчү жараат тийген.</w:t>
      </w:r>
    </w:p>
    <w:p>
      <w:pPr>
        <w:pStyle w:val="ArticleScripture"/>
        <w:jc w:val="left"/>
      </w:pPr>
      <w:r>
        <w:rPr>
          <w:rFonts w:ascii="Times New Roman" w:hAnsi="Times New Roman" w:eastAsia="Times New Roman" w:cs="Times New Roman"/>
        </w:rPr>
        <w:t>U xaybu nag naxle’exik tu yóol; ka u tsolik u ba’, ka u nojochkuxtik u ba’ ichil tuláakal dios, ka u t’aan yéetel ba’ax suuts’uts’ tu contra le Yuumilo’ob Yuumo’, ka u séeb u meyaj jump’éel k’iin tak kin ts’o’okok le p’u’ulsajil; tumen le ba’ax ts’íibta’an yaan u beetik. Daniel 11:36.</w:t>
      </w:r>
    </w:p>
    <w:p>
      <w:pPr>
        <w:pStyle w:val="ArticleBody"/>
        <w:jc w:val="left"/>
      </w:pPr>
      <w:r>
        <w:rPr>
          <w:rFonts w:ascii="Times New Roman" w:hAnsi="Times New Roman" w:eastAsia="Times New Roman" w:cs="Times New Roman"/>
        </w:rPr>
        <w:t>1844-ը «վերջին» բարկութեան վերջն էր.</w:t>
      </w:r>
    </w:p>
    <w:p>
      <w:pPr>
        <w:pStyle w:val="ArticleScripture"/>
        <w:jc w:val="left"/>
      </w:pPr>
      <w:r>
        <w:rPr>
          <w:rFonts w:ascii="Times New Roman" w:hAnsi="Times New Roman" w:eastAsia="Times New Roman" w:cs="Times New Roman"/>
        </w:rPr>
        <w:t>And he said, behold, I will make thee know what shall be in the latter end of the indignation; for at the time appointed the end shall be. Daniel 8:19.</w:t>
      </w:r>
    </w:p>
    <w:p>
      <w:pPr>
        <w:pStyle w:val="ArticleBody"/>
        <w:jc w:val="left"/>
      </w:pPr>
      <w:r>
        <w:rPr>
          <w:rFonts w:ascii="Times New Roman" w:hAnsi="Times New Roman" w:eastAsia="Times New Roman" w:cs="Times New Roman"/>
        </w:rPr>
        <w:t>Þa forma brúkingin av orðinum “hour” í fjórða kapitli hjá Daniel umboðar 1798; sum var endin á tí “fyrsta” av Guds vreiði í “sjey tíðum” ímóti norðurríkinum Ísrael; komu hins fyrsta eingilsboðsins á endatíðini; og endin á “sjey tíðum” hjá Nebukadnesari við “enda daganna.”</w:t>
      </w:r>
    </w:p>
    <w:p>
      <w:pPr>
        <w:pStyle w:val="ArticleBody"/>
        <w:jc w:val="left"/>
      </w:pPr>
      <w:r>
        <w:rPr>
          <w:rFonts w:ascii="Times New Roman" w:hAnsi="Times New Roman" w:eastAsia="Times New Roman" w:cs="Times New Roman"/>
        </w:rPr>
        <w:t>دانێنانی دووەمی وشەی «کاتژمێر» لە بەشی چوارەمی دانیال، ساڵی 1844 نیشان دەدات؛ کە کۆتایی «دوایین» تووڕەیی «حەوت جار» بوو، دژ بە شانشینی باشووری یەهودا. هەروەها هاتنی دادوەریی لێکۆڵینەوەیی بوو، و دادوەریی کەسیی نەبوخەدنەسەر.</w:t>
      </w:r>
    </w:p>
    <w:p>
      <w:pPr>
        <w:pStyle w:val="ArticleBody"/>
        <w:jc w:val="left"/>
      </w:pPr>
      <w:r>
        <w:rPr>
          <w:rFonts w:ascii="Times New Roman" w:hAnsi="Times New Roman" w:eastAsia="Times New Roman" w:cs="Times New Roman"/>
        </w:rPr>
        <w:t>Һәаҧшра акаҧсарактәи ахы иныҧшуеит ахырхәҭа х-ҧышәаратә процесс аҭоурых, насгьы инықәлыршәауеит актәи амаалықь иҳәамҭазы амчра аиура 1840 шықәса август 11 рзы. Аԥшьбатәи ахы иадырхоит актәи амаалықь иҳәамҭа аҵыхәтәантәи аамҭазы, 1798 шықәсазы, анагӡарахь ааира, насгьы уи раԥхьатәи ахы иақәҵатәуп. Аԥшьбатәи ахы агәазырҳауеит актәи амаалықь иҳәамҭа, уи иҳәаз ааигәахо аҭӡыӡара иазку агәҽанызаара, насгьы инықәлыршәауеит 1844 шықәса октябрь 22, насгьы ахԥатәи амаалықь иҳәамҭа аара.</w:t>
      </w:r>
    </w:p>
    <w:p>
      <w:pPr>
        <w:pStyle w:val="ArticleBody"/>
        <w:jc w:val="left"/>
      </w:pPr>
      <w:r>
        <w:rPr>
          <w:rFonts w:ascii="Times New Roman" w:hAnsi="Times New Roman" w:eastAsia="Times New Roman" w:cs="Times New Roman"/>
        </w:rPr>
        <w:t>Ñuqanchik kuskaqa rikuchin manam Adventismoq qallariynillatachu, aswanpas Estados Unidospa qallariyntapas. Huk kama kinsa capitulokunaqa rimarinku hinallataq Adventismoq tukukuyninmanta, chaymantaq Estados Unidospa tukukuyninmantapas. Pichqa capítulo, Belshazzarpa testimunionsiwan kuska, chay ñawpaq kinsa capitulokunawanpas tupachakun.</w:t>
      </w:r>
    </w:p>
    <w:p>
      <w:pPr>
        <w:pStyle w:val="ArticleBody"/>
        <w:jc w:val="left"/>
      </w:pPr>
      <w:r>
        <w:rPr>
          <w:rFonts w:ascii="Times New Roman" w:hAnsi="Times New Roman" w:eastAsia="Times New Roman" w:cs="Times New Roman"/>
        </w:rPr>
        <w:t>باب یک، در هماهنگی با باب چهار، نمایانگر حرکت فرشتۀ اول است و تاریخِ زمانی را نشان می‌دهد که کتاب دانیال در وقتِ آخر، در سال ۱۷۹۸، گشوده شد. پیامی که در آن هنگام گشوده گردید، با رؤیای نهر اولای نمادینه شده است، که بیانگر افزایشِ معرفتِ مندرج در باب‌های هفت، هشت و نهِ دانیال است.</w:t>
      </w:r>
    </w:p>
    <w:p>
      <w:pPr>
        <w:pStyle w:val="ArticleScripture"/>
        <w:jc w:val="left"/>
      </w:pPr>
      <w:r>
        <w:rPr>
          <w:rFonts w:ascii="Times New Roman" w:hAnsi="Times New Roman" w:eastAsia="Times New Roman" w:cs="Times New Roman"/>
        </w:rPr>
        <w:t>په د بلشصر پاچا د سلطنت په دريیم کال کې، ما ته، هم ما ته دانیال ته، له هغې رؤیا وروسته چې په لومړي ځل ماته ښکاره شوې وه، یوه رؤیا ښکاره شوه. او ما په رؤیا کې ولیدل؛ او داسې وشول چې کله مې ولیدل، زه په شوشن ماڼۍ کې وم، چې د عیلام په ولایت کې ده؛ او ما په رؤیا کې ولیدل، او زه د اولای د سیند پر غاړه وم. دانیال 8:1، 2.</w:t>
      </w:r>
    </w:p>
    <w:p>
      <w:pPr>
        <w:pStyle w:val="ArticleBody"/>
        <w:jc w:val="left"/>
      </w:pPr>
      <w:r>
        <w:rPr>
          <w:rFonts w:ascii="Times New Roman" w:hAnsi="Times New Roman" w:eastAsia="Times New Roman" w:cs="Times New Roman"/>
        </w:rPr>
        <w:t>Әуәлгі биринчи — үчинчи баплар, бешинчи бап билән уйғунлашқан һалда, үчинчи пәриштиниң һәрикитини вә Даниял китаби 1989-жили мөһүрдин ечилған дәвирниң тарихини билдүриду. Шу вақитта мөһүрдин ечилған хәвәр Һиддекәл дәриясиниң көрүнүши арқилиқ рәмзләштүрүлгән болуп, у онынчи, он биринчи вә он иккинчи бапларниң ичидики билимниң ешишини билдүриду.</w:t>
      </w:r>
    </w:p>
    <w:p>
      <w:pPr>
        <w:pStyle w:val="ArticleScripture"/>
        <w:jc w:val="left"/>
      </w:pPr>
      <w:r>
        <w:rPr>
          <w:rFonts w:ascii="Myanmar Text" w:hAnsi="Myanmar Text" w:eastAsia="Myanmar Text" w:cs="Myanmar Text"/>
        </w:rPr>
        <w:t>ကာလ၏</w:t>
      </w:r>
      <w:r>
        <w:rPr>
          <w:rFonts w:ascii="Times New Roman" w:hAnsi="Times New Roman" w:eastAsia="Times New Roman" w:cs="Times New Roman"/>
        </w:rPr>
        <w:t xml:space="preserve"> </w:t>
      </w:r>
      <w:r>
        <w:rPr>
          <w:rFonts w:ascii="Myanmar Text" w:hAnsi="Myanmar Text" w:eastAsia="Myanmar Text" w:cs="Myanmar Text"/>
        </w:rPr>
        <w:t>ပထမလ၏</w:t>
      </w:r>
      <w:r>
        <w:rPr>
          <w:rFonts w:ascii="Times New Roman" w:hAnsi="Times New Roman" w:eastAsia="Times New Roman" w:cs="Times New Roman"/>
        </w:rPr>
        <w:t xml:space="preserve"> </w:t>
      </w:r>
      <w:r>
        <w:rPr>
          <w:rFonts w:ascii="Myanmar Text" w:hAnsi="Myanmar Text" w:eastAsia="Myanmar Text" w:cs="Myanmar Text"/>
        </w:rPr>
        <w:t>နှစ်ဆယ့်လေးရက်မြောက်နေ့တွင်၊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ဟိဒ္ဒေကေလဟု</w:t>
      </w:r>
      <w:r>
        <w:rPr>
          <w:rFonts w:ascii="Times New Roman" w:hAnsi="Times New Roman" w:eastAsia="Times New Roman" w:cs="Times New Roman"/>
        </w:rPr>
        <w:t xml:space="preserve"> </w:t>
      </w:r>
      <w:r>
        <w:rPr>
          <w:rFonts w:ascii="Myanmar Text" w:hAnsi="Myanmar Text" w:eastAsia="Myanmar Text" w:cs="Myanmar Text"/>
        </w:rPr>
        <w:t>ခေါ်သော</w:t>
      </w:r>
      <w:r>
        <w:rPr>
          <w:rFonts w:ascii="Times New Roman" w:hAnsi="Times New Roman" w:eastAsia="Times New Roman" w:cs="Times New Roman"/>
        </w:rPr>
        <w:t xml:space="preserve"> </w:t>
      </w:r>
      <w:r>
        <w:rPr>
          <w:rFonts w:ascii="Myanmar Text" w:hAnsi="Myanmar Text" w:eastAsia="Myanmar Text" w:cs="Myanmar Text"/>
        </w:rPr>
        <w:t>မြစ်ကြီး၏</w:t>
      </w:r>
      <w:r>
        <w:rPr>
          <w:rFonts w:ascii="Times New Roman" w:hAnsi="Times New Roman" w:eastAsia="Times New Roman" w:cs="Times New Roman"/>
        </w:rPr>
        <w:t xml:space="preserve"> </w:t>
      </w:r>
      <w:r>
        <w:rPr>
          <w:rFonts w:ascii="Myanmar Text" w:hAnsi="Myanmar Text" w:eastAsia="Myanmar Text" w:cs="Myanmar Text"/>
        </w:rPr>
        <w:t>ကမ်းနား၌</w:t>
      </w:r>
      <w:r>
        <w:rPr>
          <w:rFonts w:ascii="Times New Roman" w:hAnsi="Times New Roman" w:eastAsia="Times New Roman" w:cs="Times New Roman"/>
        </w:rPr>
        <w:t xml:space="preserve"> </w:t>
      </w:r>
      <w:r>
        <w:rPr>
          <w:rFonts w:ascii="Myanmar Text" w:hAnsi="Myanmar Text" w:eastAsia="Myanmar Text" w:cs="Myanmar Text"/>
        </w:rPr>
        <w:t>ရှိနေ၏။</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w:t>
      </w:r>
      <w:r>
        <w:rPr>
          <w:rFonts w:ascii="Myanmar Text" w:hAnsi="Myanmar Text" w:eastAsia="Myanmar Text" w:cs="Myanmar Text"/>
        </w:rPr>
        <w:t>၄။</w:t>
      </w:r>
    </w:p>
    <w:p>
      <w:pPr>
        <w:pStyle w:val="ArticleBody"/>
        <w:jc w:val="left"/>
      </w:pPr>
      <w:r>
        <w:rPr>
          <w:rFonts w:ascii="Times New Roman" w:hAnsi="Times New Roman" w:eastAsia="Times New Roman" w:cs="Times New Roman"/>
        </w:rPr>
        <w:t>Ñuqanchik qhipa qillqapi Nebucadnezarpa Belshazzarpa mirayninta qhawarisunraq.</w:t>
      </w:r>
    </w:p>
    <w:p>
      <w:pPr>
        <w:pStyle w:val="ArticleScripture"/>
        <w:jc w:val="left"/>
      </w:pPr>
      <w:r>
        <w:rPr>
          <w:rFonts w:ascii="Times New Roman" w:hAnsi="Times New Roman" w:eastAsia="Times New Roman" w:cs="Times New Roman"/>
        </w:rPr>
        <w:t>«Aya xayyaa Waaqaatiif qorannoon baay’ee dhihoodhaa ta’e barbaachisaa dha. Keessattuu, Daani’elii fi Mul’ata Yohaannis seenaa hojii keenya keessatti yeroo kamiyyuu caalaa xiyyeeffannaa argachuu qabu. Karaa muraasa tokko tokko irratti, waa’ee aangoo Roomaa fi Phaaphaasummaa ilaalchisee dubbachuuf wanti nu irraa hir’achuu danda’a; garuu raajonnii fi ergamoonni hafuura Waaqaatiin kakaafamanii waan barreessan irratti xiyyeeffannaa kennuu qabna. Hafuurri Qulqulluun, raajicha kennuu keessatti illee ta’e, taateewwan keessatti ibsaman keessatti illee, akka namaa hojii raawwatu mul’ata irraa fagaatu, Kiristoos keessatti dhokfamee turu, akkasumas Gooftaan Waaqni mootummaa waaqaa fi seerri Isaa ol kaafaman barsiisuuf, dhimma kana akkasitti qopheesseera.»</w:t>
      </w:r>
    </w:p>
    <w:p>
      <w:pPr>
        <w:pStyle w:val="ArticleScripture"/>
        <w:jc w:val="left"/>
      </w:pPr>
      <w:r>
        <w:rPr>
          <w:rFonts w:ascii="Times New Roman" w:hAnsi="Times New Roman" w:eastAsia="Times New Roman" w:cs="Times New Roman"/>
        </w:rPr>
        <w:t>«Даниел номыг унш. Тэнд дүрслэгдэн гарсан хаанчлалуудын түүхийг зүйл бүрээр нь санан дууд. Төрийн зүтгэлтнүүд, зөвлөлүүд, хүчирхэг цэргүүдийг ажиглагтун, мөн Бурхан хэрхэн хүний бардамналыг номхруулж, хүний алдар сууг шороонд унагасныг хар. Гагцхүү Бурхан л агуу хэмээн дүрслэгддэг. Эш үзүүлэгчийн үзэгдэлд Тэр нэгэн хүчирхэг захирагчийг түлхэн унагаж, нөгөөг нь босгон байгуулж буйгаар үзэгддэг. Тэр Өөрийн мөнхийн хаанчлалыг байгуулах гэж буй орчлон ертөнцийн Хаан, Өдрүүдийн Эртний, амьд Бурхан, бүх мэргэн ухааны Эх Булаг, эдүгээг захирагч, ирээдүйг Илчлэгч мөн хэмээн илчлэгддэг. Унш, мөн хүн хоосон зүйлд сэтгэлээ өргөхдөө хичнээн ядуу, хичнээн хэврэг, хичнээн түр зуурын, хичнээн эндэмтэй, хичнээн буруутай болохыг ойлго.»</w:t>
      </w:r>
    </w:p>
    <w:p>
      <w:pPr>
        <w:pStyle w:val="ArticleScripture"/>
        <w:jc w:val="left"/>
      </w:pPr>
      <w:r>
        <w:rPr>
          <w:rFonts w:ascii="Times New Roman" w:hAnsi="Times New Roman" w:eastAsia="Times New Roman" w:cs="Times New Roman"/>
        </w:rPr>
        <w:t>Isaiahas tru le Spiritu Santu punctat nos a Deus, su Deus vivu, comente su printzipale ogetu de atentzione—to a Deus gasi reveladu in Cristu. «A nois est nàschidu unu pippìu, a nois est dadu unu Fizu: e su guvernu at a èssere subra de sa ispàdua Sua: e su Nòmine Su at a èssere tzerriau Meravìllia, Cunsigeri, su Deus Poderosu, su Babbu Eternu, su Printzipe de sa Pache» [Isaiaha 9:6].</w:t>
      </w:r>
    </w:p>
    <w:p>
      <w:pPr>
        <w:pStyle w:val="ArticleScripture"/>
        <w:jc w:val="left"/>
      </w:pPr>
      <w:r>
        <w:rPr>
          <w:rFonts w:ascii="Times New Roman" w:hAnsi="Times New Roman" w:eastAsia="Times New Roman" w:cs="Times New Roman"/>
        </w:rPr>
        <w:t>«Пурхуа зәриб Даниел ԥшьоуи Ибзу инеиуеит руауа зеижьыр аԥсақәа ииуит. Уи Улайи Хиддекели рыбжьахәы инырбаз аиԥшрақәа, Шинартәи урҭ адуӡӡақәа, уажәы рхыдҵақәа рынагӡара иаҿуп, нас иаҳәо зегьы ирҳәаз ахҭысқәа иаарласны ихьысуеит.</w:t>
      </w:r>
    </w:p>
    <w:p>
      <w:pPr>
        <w:pStyle w:val="ArticleScripture"/>
        <w:jc w:val="left"/>
      </w:pPr>
      <w:r>
        <w:rPr>
          <w:rFonts w:ascii="Times New Roman" w:hAnsi="Times New Roman" w:eastAsia="Times New Roman" w:cs="Times New Roman"/>
        </w:rPr>
        <w:t>“Danieli yàquci yiñ jóg, xoolleen xaalisi réewum Yude yi. Bànni Israyil ñi nekkoon nañu ci njaam, seen kër Yàlla dafa yàqu woon, te liggéeyu kër Yàlla bi taxawoon na. Seen diine moo doon a dal ci ceremoni yi ak doxaliinu sarax si. Def nañu woon melokaan yu bitti yi nekk lu ëpp solo, fekk dañoo réer ruuhu jaamu dëgg. Seen jaamu dafa yàqu woon ndax cosaan yi ak jëf yi joge ci ñi dul jaamu Yàlla, te ci amale xeer yi ak sarax yi dañu woon xoolul lu weesu ker gi ba àgg ci dëgg gi mu tegtal. Xamunuñu woon Kirist, saraxu dëgg gi ngir bàkkaaru nit ñi. Boroom bi dafa jëf ngir yóbbu askan wi ci njaam, ak ngir taxawal liggéeyi kër Yàlla yi, ngir bañ a bàyyi ceremoni yu bitti yi nekk mbooloom seen diine. Waroon nañu sellal seen njàngat ak seen jëf ci lu aj ci ñi dul jaamu Yàlla. Saraxu doxaliin bi taxaw na ngir jaamu xol mi dellusi. Ndono gu bitti gi jëlees na ngir lu ruuhu ji man a feeñ.” Manuscript Releases, volume 16,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ማጽሐፈ ዳንኤል - ቍጽር ሃያ ሰባት</dc:title>
  <dc:subject>អាថ៌កំបាំងសុបិនមួយទៀត</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