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ᎾᏍᎩ</w:t>
      </w:r>
      <w:r>
        <w:rPr>
          <w:rFonts w:ascii="Arial" w:hAnsi="Arial" w:eastAsia="Arial" w:cs="Arial"/>
        </w:rPr>
        <w:t xml:space="preserve"> </w:t>
      </w:r>
      <w:r>
        <w:rPr>
          <w:rFonts w:ascii="Gadugi" w:hAnsi="Gadugi" w:eastAsia="Gadugi" w:cs="Gadugi"/>
        </w:rPr>
        <w:t>ᏕᏂᏯᎵ</w:t>
      </w:r>
      <w:r>
        <w:rPr>
          <w:rFonts w:ascii="Arial" w:hAnsi="Arial" w:eastAsia="Arial" w:cs="Arial"/>
        </w:rPr>
        <w:t xml:space="preserve"> </w:t>
      </w:r>
      <w:r>
        <w:rPr>
          <w:rFonts w:ascii="Gadugi" w:hAnsi="Gadugi" w:eastAsia="Gadugi" w:cs="Gadugi"/>
        </w:rPr>
        <w:t>ᎪᏪᎵ</w:t>
      </w:r>
      <w:r>
        <w:rPr>
          <w:rFonts w:ascii="Arial" w:hAnsi="Arial" w:eastAsia="Arial" w:cs="Arial"/>
        </w:rPr>
        <w:t xml:space="preserve"> — </w:t>
      </w:r>
      <w:r>
        <w:rPr>
          <w:rFonts w:ascii="Gadugi" w:hAnsi="Gadugi" w:eastAsia="Gadugi" w:cs="Gadugi"/>
        </w:rPr>
        <w:t>ᏦᎢ</w:t>
      </w:r>
      <w:r>
        <w:rPr>
          <w:rFonts w:ascii="Arial" w:hAnsi="Arial" w:eastAsia="Arial" w:cs="Arial"/>
        </w:rPr>
        <w:t xml:space="preserve"> </w:t>
      </w:r>
      <w:r>
        <w:rPr>
          <w:rFonts w:ascii="Gadugi" w:hAnsi="Gadugi" w:eastAsia="Gadugi" w:cs="Gadugi"/>
        </w:rPr>
        <w:t>ᏍᎪᎯ</w:t>
      </w:r>
      <w:r>
        <w:rPr>
          <w:rFonts w:ascii="Arial" w:hAnsi="Arial" w:eastAsia="Arial" w:cs="Arial"/>
        </w:rPr>
        <w:t xml:space="preserve"> </w:t>
      </w:r>
      <w:r>
        <w:rPr>
          <w:rFonts w:ascii="Gadugi" w:hAnsi="Gadugi" w:eastAsia="Gadugi" w:cs="Gadugi"/>
        </w:rPr>
        <w:t>ᎯᏍᎩᎢ</w:t>
      </w:r>
    </w:p>
    <w:p>
      <w:pPr>
        <w:pStyle w:val="ArticleSubtitle"/>
        <w:jc w:val="left"/>
      </w:pPr>
      <w:r>
        <w:rPr>
          <w:rFonts w:ascii="Arial" w:hAnsi="Arial" w:eastAsia="Arial" w:cs="Arial"/>
        </w:rPr>
        <w:t>Descubriendo el Marco Profético: La Perspicacia de William Miller y los Tres Poderes Desoladores que Conducen al Armagedón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“ch’ak q’ij” ri 1798, xjaqïx ri wuj Daniel, y más específicamente ri visión k’o chi rij ri rakan ya’ Ulai. Ri visión xuk’ut ri rutikirib’al ri q’atoj tzijonik pa octubre 22, 1844. Ri versículo xux ri ruxe’el richin ri qitzij k’u Daniel capítulo ocho, y versículo catorce. William Miller, ri taqanel cha’on richin xretamaj ri jajaqik ri mensaje, man xuch’ob’ ta ronojel ri qitzijil ximon ruk’in ri visión, xa xe xunïm ri samaj ri xya’ che.</w:t>
      </w:r>
    </w:p>
    <w:p>
      <w:pPr>
        <w:pStyle w:val="ArticleBody"/>
        <w:jc w:val="left"/>
      </w:pPr>
      <w:r>
        <w:rPr>
          <w:rFonts w:ascii="Times New Roman" w:hAnsi="Times New Roman" w:eastAsia="Times New Roman" w:cs="Times New Roman"/>
        </w:rPr>
        <w:t>Միլլերը, երբ սկսեց իր ուսումնասիրությունը մարգարեական խոսքի շուրջ, հասկացավ մարգարեական մեկնաբանության որոշակի կանոններ, որոնք ճանաչվել և հաստատվել էին Աստվածաշնչի ներսում։ Այդ կանոնները հետագայում ձևակերպվեցին և ճանաչվեցին որպես Ուիլյամ Միլլերի Մեկնաբանության Կանոններ։ Այդ կանոնները հավանության են արժանացել ներշնչմամբ և ճանաչվել են որպես այն կանոնները, որոնք պիտի գործածեն նրանք, ովքեր պիտի հռչակեն գործադիր դատաստանի սկիզբը կիրակնօրյա օրենքի ժամանակ։ Միլլերը վկայեց, որ Աստվածաշնչի իր ուսումնասիրությունը սկսել էր Աստվածաշնչի սկզբից և առաջ էր ընթանում միայն այնքանով, որքանով հասկանում էր այն, ինչ այդ պահին քննում էր։ Այս մոտեցումից հեշտ է տեսնել, թե ինչու ժամանակային մարգարեություններից առաջինը, որ Միլլերը ճանաչեց և որը վերաբերում էր այն պատգամին, որ նա պիտի ճանաչեր որպես 1844 թվականին կատարված, Ղևտական քսանվեցերորդ գլխի «յոթ ժամանակներն» էին։</w:t>
      </w:r>
    </w:p>
    <w:p>
      <w:pPr>
        <w:pStyle w:val="ArticleBody"/>
        <w:jc w:val="left"/>
      </w:pPr>
      <w:r>
        <w:rPr>
          <w:rFonts w:ascii="Times New Roman" w:hAnsi="Times New Roman" w:eastAsia="Times New Roman" w:cs="Times New Roman"/>
        </w:rPr>
        <w:t>Тэнгэрлэг илчлэл бидэнд Габриел тэнгэрэлч болон бусад ариун тэнгэрэлч нар Миллерийн оюун бодлыг чиглүүлсэн гэж мэдүүлдэг; яг л Габриел Даниел, Илчлэгч Иохан болон Библийн бүх эш үзүүлэгчдийн оюун санааг чиглүүлж байсан шиг, учир нь Сатаны алдаж орхисон үүрэг Габриелд өгөгдсөн байв. Габриелын үүргийг Сатаны анхны нэр болох Люциферээр дүрсэлсэн бөгөөд энэ нь “гэрэл тээгч” гэсэн утгатай. Габриел эш үзүүллэгийн гэрлийг Миллерт авчирсан бөгөөд тэрээр уг гэрэлд дуулгавартай байж, 1844 оны 10 дугаар сарын 22-нд мөрдөн шалгах шүүлт нээгдсэнийг тунхагласан мэдээг толилуулсан.</w:t>
      </w:r>
    </w:p>
    <w:p>
      <w:pPr>
        <w:pStyle w:val="ArticleBody"/>
        <w:jc w:val="left"/>
      </w:pP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फर्केर</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चाहनेहरूले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वचनसम्बन्धी</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अन्तर्दृष्टिहरू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निकटवर्ती</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संयोजित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कुञ्जीहरूको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कुञ्जीहरूमध्ये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प्रयोगमा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आफूले</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लगाएका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धाराहरूलाई</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शक्तिहरूमा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पवित्रस्थानमाथि</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ल्याए।</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आविष्कारहरू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संरचनामाथि</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समयदेखि</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आगमनसम्म</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प्रजालाई</w:t>
      </w:r>
      <w:r>
        <w:rPr>
          <w:rFonts w:ascii="Times New Roman" w:hAnsi="Times New Roman" w:eastAsia="Times New Roman" w:cs="Times New Roman"/>
        </w:rPr>
        <w:t xml:space="preserve"> </w:t>
      </w:r>
      <w:r>
        <w:rPr>
          <w:rFonts w:ascii="Nirmala UI" w:hAnsi="Nirmala UI" w:eastAsia="Nirmala UI" w:cs="Nirmala UI"/>
        </w:rPr>
        <w:t>कुल्चिँदै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मूर्तिपूजकत्व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पोपतन्त्रको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गर्थ्यो।</w:t>
      </w:r>
    </w:p>
    <w:p>
      <w:pPr>
        <w:pStyle w:val="ArticleBody"/>
        <w:jc w:val="left"/>
      </w:pPr>
      <w:r>
        <w:rPr>
          <w:rFonts w:ascii="Times New Roman" w:hAnsi="Times New Roman" w:eastAsia="Times New Roman" w:cs="Times New Roman"/>
        </w:rPr>
        <w:t>O le fausaga faavaloaga lea na mafai ai ona ia iloa saʻo upu moni uma sa manaʻomia e faamautū ai Oketopa 22, 1844, o le amataga lea o le faamasinoga. Peitaʻi sa faatapulaaina lenā upu moni, auā e leʻi mafai ona ia iloa le malosi faasauā lona tolu na mulimuli mai i le faapaupau ma le pule faapope i le talafaasolopito faavaloaga. E leʻi manaʻomia ona ia iloa lenā upu moni, auā o lana galuega o le folafolaina lea o Oketopa 22, 1844, ma o le malamalama e uiga i le malosi faasauā lona tolu sa tatau ona tatalaina ina ua mavae lenā aso.</w:t>
      </w:r>
    </w:p>
    <w:p>
      <w:pPr>
        <w:pStyle w:val="ArticleBody"/>
        <w:jc w:val="left"/>
      </w:pPr>
      <w:r>
        <w:rPr>
          <w:rFonts w:ascii="Times New Roman" w:hAnsi="Times New Roman" w:eastAsia="Times New Roman" w:cs="Times New Roman"/>
        </w:rPr>
        <w:t>Пұтқа табынушы Римнен, содан кейін папалық Римнен тұратын екі қаңыратып-жоятын күштің құрылымы негізінде өзінің пайғамбарлық түсініктерін сәйкестендіруімен байланысты, ол Даниял кітабында «күн сайынғы» деп аударылған сөз пұтқа табынушылықтың, және/немесе пұтқа табынушы Римнің нышаны деп түсінді. «Күн сайынғы» деп аударылған «tamid» сөзін Даниял бес рет қолданады. Ол әрдайым Миллер папалықты білдіреді деп дұрыс түсінген бір нышанмен бірге қолданылады. «Күн сайынғыға» үнемі байланысты болып келетін папалықтың нышаны екі нышан арқылы бейнеленеді. Қалай болғанда да, папалық биліктің осы екі нышанының екеуі де папалықты айқындайды, дегенмен Даниял «күн сайынғы» деп аударылатын «tamid» сөзін қолданғанда, ол әрдайым папалықтың нышанымен бірге әрі оның алдында қолданылған. Миллердің Даниял кітабындағы «күн сайынғы» туралы түсінігі оның пұтқа табынушылықтан кейін папалық келетін екі қаңыратып-жоятын күшке негізделген деп көрген құрылымының іргетасына айналды. Миллердің Даниял кітабындағы «күн сайынғыны» пұтқа табынушылық деп айқындауы 1888 жылы басталған адвентизмнің екінші ұрпағынан бастап, адвентизм ішіндегі зор дауға айналуы тиіс еді.</w:t>
      </w:r>
    </w:p>
    <w:p>
      <w:pPr>
        <w:pStyle w:val="ArticleBody"/>
        <w:jc w:val="left"/>
      </w:pPr>
      <w:r>
        <w:rPr>
          <w:rFonts w:ascii="Times New Roman" w:hAnsi="Times New Roman" w:eastAsia="Times New Roman" w:cs="Times New Roman"/>
        </w:rPr>
        <w:t>مىللېر بايقىغان، 1844-يىلى 22-ئۆكتەبىر توغرىسىدىكى چۈشەنچىنىڭ بىر تەركىبى بولغان تۇنجى پەيغەمبەرلىك ھەقىقەت، لاۋىلار 26-بابتىكى «يەتتە ۋاقىت» ئىدى؛ ۋە ئۇ 1863-يىلى رەت قىلىنغان مىللېرنىڭ مۇقىملاشتۇرۇلغان ھەقىقەتلىرىنىڭ بىرىنچىسى ئىدى. شۇ رەت قىلىش ئاۋۋالقى ئەدۋەنتىزم ئەۋلادىنىڭ باشلىنىشى بولدى؛ چۈنكى ئۇلار لاۋدىكېيە چۆلىدە سەرسان يۈرۈشنى باشلىغان ئىدى. ئىككىنچى ئەۋلاد 1888-يىلى مىننېئاپولىس باش يىغىنىدا باشلاندى، ۋە ئۇ يەردە يۈز بەرگەن ئىسياننىڭ ئاقىۋىتىدە، مىللېرنىڭ «كۈندىلىك»نى مەجۇسىيەت دەپ بېكىتىشىنى رەت قىلىدىغان شەيتانىيلارچە ئىش 1901-يىلى باشلاندى. «كۈندىلىك» توغرىسىدىكى توغرا چۈشەنچە، مىللېرنىڭ «كۈندىلىك» ھەققىدىكى توغرا قارىشىغا قارشى ئىلگىرى سۈرۈلۈۋاتقان كۆزقاراشنىڭ «ئاسماندىن قوغلاپ چىقىرىلغان پەرىشتىلەر» تەرىپىدىن كەلتۈرۈلگەنلىكىنى بېكىتكەن ئايال پەيغەمبەر ۋاپات بولغاندىن كېيىنلا، تولۇق چەتنەتكەن بولدى. تولۇق رەت قىلىش ئۈچىنچى ئەۋلادتا، تەخمىنەن 1931-يىللار ئەتراپىدا، يۈز بەردى. ئۈچىنچى ئەۋلاد 1919-يىلدىكى ئىنجىل يىغىنىدىن كېيىنلا W. W. Prescott نىڭ «The Doctrine of Christ» ناملىق كىتابى نەشر قىلىنىشى بىلەن باشلانغان ئىدى. 1919-يىلى ئۈچىنچى ئەۋلاد باشلىنىپ، 1957-يىلى «Questions on Doctrine» ناملىق كىتاب نەشر قىلىنغانغا قەدەر داۋام قىلدى.</w:t>
      </w:r>
    </w:p>
    <w:p>
      <w:pPr>
        <w:pStyle w:val="ArticleBody"/>
        <w:jc w:val="left"/>
      </w:pPr>
      <w:r>
        <w:rPr>
          <w:rFonts w:ascii="Times New Roman" w:hAnsi="Times New Roman" w:eastAsia="Times New Roman" w:cs="Times New Roman"/>
        </w:rPr>
        <w:t>Millerin iṣẹ́ lẹ́yìn tí a ti fi ìdí rẹ̀ múlẹ̀, tí a sì ti sọ ọ́ di mímọ̀ lórí tábìlì méjì Habakkuk (àwọn àwòrán aṣáájú-ọ̀nà 1843 àti 1850), nígbà náà ni Olúwa bẹ̀rẹ̀ sí í ṣí òtítọ́ náà payá pé agbára ìparun míràn wà, ìyẹn ẹ̀kẹta, tí yóò tẹ̀ lé ẹ̀sìn àbùdá àti ẹ̀sìn papal, tí yóò sì tún ṣe inúnibíni sí àwọn ènìyàn Ọlọ́run.</w:t>
      </w:r>
    </w:p>
    <w:p>
      <w:pPr>
        <w:pStyle w:val="ArticleScripture"/>
        <w:jc w:val="left"/>
      </w:pPr>
      <w:r>
        <w:rPr>
          <w:rFonts w:ascii="Times New Roman" w:hAnsi="Times New Roman" w:eastAsia="Times New Roman" w:cs="Times New Roman"/>
        </w:rPr>
        <w:t>«A través del paganismo, y luego mediante el Papado, Satanás ejerció su poder durante muchos siglos en un esfuerzo por borrar de la tierra a los fieles testigos de Dios. Paganos y papistas eran impulsados por el mismo espíritu del dragón. Diferían únicamente en que el Papado, aparentando servir a Dios, era el enemigo más peligroso y cruel. Por medio del romanismo, Satanás llevó cautivo al mundo. La iglesia profesante de Dios fue arrastrada a las filas de este engaño, y durante más de mil años el pueblo de Dios sufrió bajo la ira del dragón. Y cuando el Papado, despojado de su fuerza, fue obligado a desistir de la persecución, Juan contempló un nuevo poder que subía para hacerse eco de la voz del dragón y continuar la misma obra cruel y blasfema. Este poder, el último que ha de hacer guerra contra la iglesia y la ley de Dios, fue simbolizado por una bestia con cuernos semejantes a los de un cordero. Las bestias que la precedieron habían subido del mar, pero esta subió de la tierra, representando el surgimiento pacífico de la nación que es simbolizada. Los “dos cuernos como de cordero” representan adecuadamente el carácter del Gobierno de los Estados Unidos, tal como se expresa en sus dos principios fundamentales, Republicanismo y Protestantismo. Estos principios son el secreto de nuestro poder y prosperidad como nación. Los que primero hallaron asilo en las costas de América se regocijaron de haber llegado a un país libre de las arrogantes pretensiones del papado y de la tiranía del gobierno monárquico. Determinaron establecer un gobierno sobre el amplio fundamento de la libertad civil y religiosa.» Signs of the Times, 1 de noviembre de 1899.</w:t>
      </w:r>
    </w:p>
    <w:p>
      <w:pPr>
        <w:pStyle w:val="ArticleBody"/>
        <w:jc w:val="left"/>
      </w:pPr>
      <w:r>
        <w:rPr>
          <w:rFonts w:ascii="Times New Roman" w:hAnsi="Times New Roman" w:eastAsia="Times New Roman" w:cs="Times New Roman"/>
        </w:rPr>
        <w:t>Միլլերը չէր կարող տեսնել հալածող երրորդ իշխանությունը, և այդ պատճառով նրա կառուցվածքն անկատար էր, թեև կատարելապես հարմար էր իր գործը կատարելու համար։ Քույր Ուայթը հաստատում է, որ Միլլերը Աստծո ընտրյալ պատգամաբերն էր, որ իր գործում նա նախապատկերվել էր Եղիայի և Հովհաննես Մկրտչի միջոցով, իր գործին կանչվելու մեջ՝ Եղիսեի միջոցով, իսկ իր մահվան մեջ՝ Մովսեսի միջոցով։ Սրբազան պատմության մեջ քչերն են ներշնչել այնպիսի մեկնաբանություն, որը վկայում է, թե հրեշտակները գերեզմանի մոտ սպասում են՝ նրանց հարություն տալու համար, սակայն Միլլերի վերաբերյալ մեկնաբանությունն այդպիսին է։ Այն փաստը, որ նրա գործը սահմանափակված էր այն պատմությամբ, որի մեջ նա բարձրացվել էր, Միլլերի մասին նսեմացուցիչ հայտարարություն չէ, այլ պարզապես անհրաժեշտություն, որը պետք է ճանաչել, եթե նրա գործը պիտի դիտարկվի Աստծո մարգարեական Խոսքի ճշմարիտ լույսի մեջ։</w:t>
      </w:r>
    </w:p>
    <w:p>
      <w:pPr>
        <w:pStyle w:val="ArticleBody"/>
        <w:jc w:val="left"/>
      </w:pPr>
      <w:r>
        <w:rPr>
          <w:rFonts w:ascii="Times New Roman" w:hAnsi="Times New Roman" w:eastAsia="Times New Roman" w:cs="Times New Roman"/>
        </w:rPr>
        <w:t>میلار بەڕێنماییەکی تایبەت، فریشتەیی، پێدرا کە ڕێگای بۆ ئەوە خۆشکرد تا چوارچێوەیەکی پێشبینیکراو دروست بکات کە لەسەر دوو هێزی وێرانکارەکەی بتپەرستی پاشان پاپایەتی دامەزرابوو. بۆ ئەم هۆیە، ئەو پێشبینیانەی کە مێژوو دوای ئەو وێرانکردنە دیاری دەکردن کە ئەو دوو هێزە ئەنجامیاندا، لەلایەن میلارەوە هەڵەتێگەیشتن. بەڵام هیچکام لەو هەڵەتێگەیشتنە ڕێیان نەکردە سەر ئەو دوو خشتە پیرۆزەی حەبقوق، لەوێ بنەماکانەی کە بەهۆی کاری میلارەوە دابنرابوون، بە شێوەیەکی وێنەیی نیشاندرابوون. ئەمەیە هۆی ئەوەی کە ئیلهام سەبارەت بە چارتی 1843 تۆمار بکات کە بە دەستی یەزدان ئاراستە کرابوو.</w:t>
      </w:r>
    </w:p>
    <w:p>
      <w:pPr>
        <w:pStyle w:val="ArticleScripture"/>
        <w:jc w:val="left"/>
      </w:pPr>
      <w:r>
        <w:rPr>
          <w:rFonts w:ascii="Times New Roman" w:hAnsi="Times New Roman" w:eastAsia="Times New Roman" w:cs="Times New Roman"/>
        </w:rPr>
        <w:t>“Gatdạgni nitsalagi ayesdi, 1843 chart nigohv ihi atsilvsgi tsadanv’i, ale tsaduli gvhdi agwadanesdi ayohida; ale figures nigohv ihi hla ayesdi. Tla tsadanv’i nigohv ihi some of the figures agwaduli mistake adanvhnv’i ahlvu, ale hiyu ulihelisgohi tsigesv’i, tla tsadanv’i nigohv ihi ayesdi.”</w:t>
      </w:r>
    </w:p>
    <w:p>
      <w:pPr>
        <w:pStyle w:val="ArticleScripture"/>
        <w:jc w:val="left"/>
      </w:pPr>
      <w:r>
        <w:rPr>
          <w:rFonts w:ascii="Times New Roman" w:hAnsi="Times New Roman" w:eastAsia="Times New Roman" w:cs="Times New Roman"/>
        </w:rPr>
        <w:t>«Ана мен „Күн сайынғыға“ қатысты мынаны көрдім: „құрбандық“ деген сөз адам даналығымен қосылған, әрі мәтінге жатпайды; ал Жаратқан Ие оның дұрыс түсінігін сот сағаты туралы жар салғандарға берді. 1844 жылға дейін, бірлік бар кезде, дерлік бәрі „Күн сайынғының“ дұрыс түсінігіне біріккен еді; бірақ 1844 жылдан бері, абыржу кезінде, басқа көзқарастар қабылданып, соның соңынан қараңғылық пен абыржу келді». Review and Herald, November 1, 1850.</w:t>
      </w:r>
    </w:p>
    <w:p>
      <w:pPr>
        <w:pStyle w:val="ArticleBody"/>
        <w:jc w:val="left"/>
      </w:pP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በመላእክት</w:t>
      </w:r>
      <w:r>
        <w:rPr>
          <w:rFonts w:ascii="Times New Roman" w:hAnsi="Times New Roman" w:eastAsia="Times New Roman" w:cs="Times New Roman"/>
        </w:rPr>
        <w:t xml:space="preserve"> </w:t>
      </w:r>
      <w:r>
        <w:rPr>
          <w:rFonts w:ascii="Ebrima" w:hAnsi="Ebrima" w:eastAsia="Ebrima" w:cs="Ebrima"/>
        </w:rPr>
        <w:t>መመሪያ</w:t>
      </w:r>
      <w:r>
        <w:rPr>
          <w:rFonts w:ascii="Times New Roman" w:hAnsi="Times New Roman" w:eastAsia="Times New Roman" w:cs="Times New Roman"/>
        </w:rPr>
        <w:t xml:space="preserve"> </w:t>
      </w:r>
      <w:r>
        <w:rPr>
          <w:rFonts w:ascii="Ebrima" w:hAnsi="Ebrima" w:eastAsia="Ebrima" w:cs="Ebrima"/>
        </w:rPr>
        <w:t>ያሰባሰባቸው</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በጌታ</w:t>
      </w:r>
      <w:r>
        <w:rPr>
          <w:rFonts w:ascii="Times New Roman" w:hAnsi="Times New Roman" w:eastAsia="Times New Roman" w:cs="Times New Roman"/>
        </w:rPr>
        <w:t xml:space="preserve"> </w:t>
      </w:r>
      <w:r>
        <w:rPr>
          <w:rFonts w:ascii="Ebrima" w:hAnsi="Ebrima" w:eastAsia="Ebrima" w:cs="Ebrima"/>
        </w:rPr>
        <w:t>ተመርተው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1843 </w:t>
      </w:r>
      <w:r>
        <w:rPr>
          <w:rFonts w:ascii="Ebrima" w:hAnsi="Ebrima" w:eastAsia="Ebrima" w:cs="Ebrima"/>
        </w:rPr>
        <w:t>ሰንጠረዥ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በተሰጠው</w:t>
      </w:r>
      <w:r>
        <w:rPr>
          <w:rFonts w:ascii="Times New Roman" w:hAnsi="Times New Roman" w:eastAsia="Times New Roman" w:cs="Times New Roman"/>
        </w:rPr>
        <w:t xml:space="preserve"> </w:t>
      </w:r>
      <w:r>
        <w:rPr>
          <w:rFonts w:ascii="Ebrima" w:hAnsi="Ebrima" w:eastAsia="Ebrima" w:cs="Ebrima"/>
        </w:rPr>
        <w:t>ማጽደቅ</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መነሳሳት</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የዘወትር</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ጣዖት</w:t>
      </w:r>
      <w:r>
        <w:rPr>
          <w:rFonts w:ascii="Times New Roman" w:hAnsi="Times New Roman" w:eastAsia="Times New Roman" w:cs="Times New Roman"/>
        </w:rPr>
        <w:t xml:space="preserve"> </w:t>
      </w:r>
      <w:r>
        <w:rPr>
          <w:rFonts w:ascii="Ebrima" w:hAnsi="Ebrima" w:eastAsia="Ebrima" w:cs="Ebrima"/>
        </w:rPr>
        <w:t>አምልኮን</w:t>
      </w:r>
      <w:r>
        <w:rPr>
          <w:rFonts w:ascii="Times New Roman" w:hAnsi="Times New Roman" w:eastAsia="Times New Roman" w:cs="Times New Roman"/>
        </w:rPr>
        <w:t xml:space="preserve"> </w:t>
      </w:r>
      <w:r>
        <w:rPr>
          <w:rFonts w:ascii="Ebrima" w:hAnsi="Ebrima" w:eastAsia="Ebrima" w:cs="Ebrima"/>
        </w:rPr>
        <w:t>እንደሚወክል</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ግንዛቤ</w:t>
      </w:r>
      <w:r>
        <w:rPr>
          <w:rFonts w:ascii="Times New Roman" w:hAnsi="Times New Roman" w:eastAsia="Times New Roman" w:cs="Times New Roman"/>
        </w:rPr>
        <w:t xml:space="preserve"> </w:t>
      </w:r>
      <w:r>
        <w:rPr>
          <w:rFonts w:ascii="Ebrima" w:hAnsi="Ebrima" w:eastAsia="Ebrima" w:cs="Ebrima"/>
        </w:rPr>
        <w:t>ትክክል</w:t>
      </w:r>
      <w:r>
        <w:rPr>
          <w:rFonts w:ascii="Times New Roman" w:hAnsi="Times New Roman" w:eastAsia="Times New Roman" w:cs="Times New Roman"/>
        </w:rPr>
        <w:t xml:space="preserve"> </w:t>
      </w:r>
      <w:r>
        <w:rPr>
          <w:rFonts w:ascii="Ebrima" w:hAnsi="Ebrima" w:eastAsia="Ebrima" w:cs="Ebrima"/>
        </w:rPr>
        <w:t>እንደነበረ</w:t>
      </w:r>
      <w:r>
        <w:rPr>
          <w:rFonts w:ascii="Times New Roman" w:hAnsi="Times New Roman" w:eastAsia="Times New Roman" w:cs="Times New Roman"/>
        </w:rPr>
        <w:t xml:space="preserve"> </w:t>
      </w:r>
      <w:r>
        <w:rPr>
          <w:rFonts w:ascii="Ebrima" w:hAnsi="Ebrima" w:eastAsia="Ebrima" w:cs="Ebrima"/>
        </w:rPr>
        <w:t>አካትቶ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የዘወትር</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የተተረጎመው</w:t>
      </w:r>
      <w:r>
        <w:rPr>
          <w:rFonts w:ascii="Times New Roman" w:hAnsi="Times New Roman" w:eastAsia="Times New Roman" w:cs="Times New Roman"/>
        </w:rPr>
        <w:t xml:space="preserve"> </w:t>
      </w:r>
      <w:r>
        <w:rPr>
          <w:rFonts w:ascii="Ebrima" w:hAnsi="Ebrima" w:eastAsia="Ebrima" w:cs="Ebrima"/>
        </w:rPr>
        <w:t>የዕብራይስጥ</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“tamid”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ይታያል፣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ሁልጊዜም</w:t>
      </w:r>
      <w:r>
        <w:rPr>
          <w:rFonts w:ascii="Times New Roman" w:hAnsi="Times New Roman" w:eastAsia="Times New Roman" w:cs="Times New Roman"/>
        </w:rPr>
        <w:t xml:space="preserve"> </w:t>
      </w:r>
      <w:r>
        <w:rPr>
          <w:rFonts w:ascii="Ebrima" w:hAnsi="Ebrima" w:eastAsia="Ebrima" w:cs="Ebrima"/>
        </w:rPr>
        <w:t>ከጣዖት</w:t>
      </w:r>
      <w:r>
        <w:rPr>
          <w:rFonts w:ascii="Times New Roman" w:hAnsi="Times New Roman" w:eastAsia="Times New Roman" w:cs="Times New Roman"/>
        </w:rPr>
        <w:t xml:space="preserve"> </w:t>
      </w:r>
      <w:r>
        <w:rPr>
          <w:rFonts w:ascii="Ebrima" w:hAnsi="Ebrima" w:eastAsia="Ebrima" w:cs="Ebrima"/>
        </w:rPr>
        <w:t>አምልኮ</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ጳጳሳዊነት</w:t>
      </w:r>
      <w:r>
        <w:rPr>
          <w:rFonts w:ascii="Times New Roman" w:hAnsi="Times New Roman" w:eastAsia="Times New Roman" w:cs="Times New Roman"/>
        </w:rPr>
        <w:t xml:space="preserve"> </w:t>
      </w:r>
      <w:r>
        <w:rPr>
          <w:rFonts w:ascii="Ebrima" w:hAnsi="Ebrima" w:eastAsia="Ebrima" w:cs="Ebrima"/>
        </w:rPr>
        <w:t>የሚያስከትሉትን</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w:t>
      </w:r>
      <w:r>
        <w:rPr>
          <w:rFonts w:ascii="Ebrima" w:hAnsi="Ebrima" w:eastAsia="Ebrima" w:cs="Ebrima"/>
        </w:rPr>
        <w:t>አጥፊ</w:t>
      </w:r>
      <w:r>
        <w:rPr>
          <w:rFonts w:ascii="Times New Roman" w:hAnsi="Times New Roman" w:eastAsia="Times New Roman" w:cs="Times New Roman"/>
        </w:rPr>
        <w:t xml:space="preserve"> </w:t>
      </w:r>
      <w:r>
        <w:rPr>
          <w:rFonts w:ascii="Ebrima" w:hAnsi="Ebrima" w:eastAsia="Ebrima" w:cs="Ebrima"/>
        </w:rPr>
        <w:t>ኃይሎች</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ይወክላል።</w:t>
      </w:r>
    </w:p>
    <w:p>
      <w:pPr>
        <w:pStyle w:val="ArticleBody"/>
        <w:jc w:val="left"/>
      </w:pPr>
      <w:r>
        <w:rPr>
          <w:rFonts w:ascii="Times New Roman" w:hAnsi="Times New Roman" w:eastAsia="Times New Roman" w:cs="Times New Roman"/>
        </w:rPr>
        <w:t>“yädäggamiw” n paganizəm mäləkt ʾəndä-honä yäMiller gəbəzat, yä-täqämmäṭäwən yä-tənbit maʾəqf betam asfälagi näbbärläṭ, məkinyatumm paganizəm bädämb bähwala papalizəm yämətäw täkätay gənənyunät, ʾisu ʾəndi-gäba yätämäraččäwən hulun tənbitočč mäsmär lay lämaqəññät yä-mämärriya nətəbbu hona läw.</w:t>
      </w:r>
    </w:p>
    <w:p>
      <w:pPr>
        <w:pStyle w:val="ArticleBody"/>
        <w:jc w:val="left"/>
      </w:pPr>
      <w:r>
        <w:rPr>
          <w:rFonts w:ascii="Times New Roman" w:hAnsi="Times New Roman" w:eastAsia="Times New Roman" w:cs="Times New Roman"/>
        </w:rPr>
        <w:t>“qerrensa xumgi” gi 1798 chi bia ga, Daniela maxāf achchachi kulfettā neber, ina qeddamawi kifl yihonem, wāshita White yi “mākelawi amūd” ena “meserēt” yālachaw yäadvent qesqāsē, Daniel mīraf sämmint quter asrārat neber.</w:t>
      </w:r>
    </w:p>
    <w:p>
      <w:pPr>
        <w:pStyle w:val="ArticleScripture"/>
        <w:jc w:val="left"/>
      </w:pPr>
      <w:r>
        <w:rPr>
          <w:rFonts w:ascii="Times New Roman" w:hAnsi="Times New Roman" w:eastAsia="Times New Roman" w:cs="Times New Roman"/>
        </w:rPr>
        <w:t>“Kiĩandĩko kĩrĩa gĩatũmĩte kĩrĩa gĩothe, kĩaingĩra mũhunjio wa bũrũri wa Kwĩhoya, na gĩkĩrĩ ngigi na gĩthigi kĩa gatagatĩ kĩa wĩtĩkio wa Advent, nĩ kĩrĩa gĩathondekire atĩrĩ, ‘Nginyĩrĩra matukũ magana mairi na magana matatũ; nĩho handũ ha therũ hahagũcokerwo.’ [Daniel 8:14.]” The Great Controversy, 409.</w:t>
      </w:r>
    </w:p>
    <w:p>
      <w:pPr>
        <w:pStyle w:val="ArticleBody"/>
        <w:jc w:val="left"/>
      </w:pPr>
      <w:r>
        <w:rPr>
          <w:rFonts w:ascii="Times New Roman" w:hAnsi="Times New Roman" w:eastAsia="Times New Roman" w:cs="Times New Roman"/>
        </w:rPr>
        <w:t>Ayet on dördüncü, ayet on üçün cevabıdır; bu cevabın anlamı, sorunun bağlamı olmaksızın yoktur.</w:t>
      </w:r>
    </w:p>
    <w:p>
      <w:pPr>
        <w:pStyle w:val="ArticleScripture"/>
        <w:jc w:val="left"/>
      </w:pPr>
      <w:r>
        <w:rPr>
          <w:rFonts w:ascii="Times New Roman" w:hAnsi="Times New Roman" w:eastAsia="Times New Roman" w:cs="Times New Roman"/>
        </w:rPr>
        <w:t>Na wọnbe n gbọ́ mɛlɛkɛ kan ka nu, bɛ́ mɛlɛkɛ kan bɔ ná xɔ gọ́do mɛlɛkɛ he ɖó nu la ɖe be, “Gbanwe mɔ do a, si to vɔsasa susu me kple nuvɔ si wɔ gbegblẽ kple eŋlɔ, be woatsrɔ kpexɛ la kple asrafoawo ɖe afɔ te?” Eye eɖo ŋu nam be, “Va se ɖeka kple alafa eve kple alafa etɔ; emegbe woatsɔ kpexɛ la aɖo ŋu ake.” Daniel 8:13, 14.</w:t>
      </w:r>
    </w:p>
    <w:p>
      <w:pPr>
        <w:pStyle w:val="ArticleBody"/>
        <w:jc w:val="left"/>
      </w:pPr>
      <w:r>
        <w:rPr>
          <w:rFonts w:ascii="Times New Roman" w:hAnsi="Times New Roman" w:eastAsia="Times New Roman" w:cs="Times New Roman"/>
        </w:rPr>
        <w:t>ئىككى ئايەت 1798-يىلى «ئاخىر زامان»دا دانىيال كىتابىنىڭ مۆھۈرى ئېچىۋېتىلگەندە پەيدا بولغان بىلىمنىڭ ئاشىشىنىڭ سىمۋولىدۇر. 13-ئايەتتە مىللېر ئۆزىنىڭ نۇبۇۋەتلىك ئۈلگىسىنى قۇرغان ئىككى خاراب قىلغۇچى كۈچ تونۇشتۇرۇلىدۇ. مىللېر 13-ئايەتتىكى «داۋاملىق»نى مەجۇسىيەت، «خارابچىلىقنىڭ گۇناھى»نى بولسا پاپالىق دەپ تونۇدى. پەرىشتىلەر مىللېرگە تونۇتقان نۇبۇۋەتلىك ئۈلگىنىڭ 1798-يىلى تارىختا يېتىپ كەلگەن بىلىمنىڭ ئاشىشىنى ئىپادىلەيدىغان بۇ ئىككى ئايەتتە بېكىتىلگەنلىكىنى تونۇش مۇھىمدۇر. ئەمما مىللېرگە نۇبۇۋەت سەھنىسىگە كېيىن چىقىپ، خۇدانىڭ خەلقىنى زۇلۇم قىلىدىغان كېيىنكى كۈچنى كۆرۈش بېرىلمىگەن ئىدى.</w:t>
      </w:r>
    </w:p>
    <w:p>
      <w:pPr>
        <w:pStyle w:val="ArticleScripture"/>
        <w:jc w:val="left"/>
      </w:pPr>
      <w:r>
        <w:rPr>
          <w:rFonts w:ascii="Times New Roman" w:hAnsi="Times New Roman" w:eastAsia="Times New Roman" w:cs="Times New Roman"/>
        </w:rPr>
        <w:t>“Көрдүм, эки мүйүздүү жырткычтын оозу ажыдаардын оозундай экенин, анын күчү башында экенин жана буйрук анын оозунан чыга турганын. Анан Сойкулардын Энесин көрдүм; эне кыздары эмес, алардан өзүнчө жана айырмалуу экен. Анын өз күнү болгон, эми ал өттү, ал эми анын кыздары — протестанттык секталар — сахнага кийинки болуп чыгып, эне ыйыктарды куугунтуктаганда кандай ойдо болсо, ошол эле ойду ишке ашырышты. Көрдүм, эне күчүнөн ажырап бара жатканда, кыздары күч алып жаткан экен, жана жакында алар эне бир кезде колдонгон бийликти колдонушат.” Spalding and Magan, 1.</w:t>
      </w:r>
    </w:p>
    <w:p>
      <w:pPr>
        <w:pStyle w:val="ArticleBody"/>
        <w:jc w:val="left"/>
      </w:pPr>
      <w:r>
        <w:rPr>
          <w:rFonts w:ascii="Times New Roman" w:hAnsi="Times New Roman" w:eastAsia="Times New Roman" w:cs="Times New Roman"/>
        </w:rPr>
        <w:t>میلر کی تیسری قوت کو نہ دیکھ سکنے کی ناتوانی نے اسے ایسے نتائج اخذ کرنے پر مجبور کیا جو محض غلط تھے۔ میلر نے مکاشفہ تیرہ کے سمندری درندے کو مشرکانہ روم اور زمینی درندے کو پاپائی روم قرار دیا۔ مکاشفہ باب سترہ کا اُس کا اطلاق بھی اُس کی اس ناتوانی کے باعث معیوب تھا کہ وہ اُس نبوتی تاریخ کو نہ دیکھ سکا جو پاپائیت کی دوسری ویران کرنے والی قوت سے آگے تک ممتد تھی۔ اسی سبب سے، جب میلر نے دانی ایل کی نبوت میں رومی قوت کی نشان دہی کی، تو اُس نے اُنہیں ایک ہی قوت سمجھا جو دو مراحل میں ظاہر ہوئی۔ یہ اطلاق اُس وقت بھی درست تھا اور اب بھی درست ہے، لیکن اسی نے اُسے اس بات کو سمجھنے سے روک دیا کہ بائبلی نبوت کی سلطنتیں کسی ایسی حقیقت تک بھی پہنچتی ہیں جو روم کی نمائندگی کرنے والی چوتھی سلطنت سے آگے بڑھتی ہے۔ اُس نے دیکھا اور نشان دہی کی کہ روم کی چوتھی سلطنت کے دو مراحل تھے، جو مشرکانہ روم اور پاپائی روم کے طور پر ظاہر کیے گئے، لیکن وہ یہ نہ دیکھ سکا کہ پاپائی روم ہی پانچویں سلطنت بھی تھی، جس کے بعد چھٹی سلطنت آنی تھی۔</w:t>
      </w:r>
    </w:p>
    <w:p>
      <w:pPr>
        <w:pStyle w:val="ArticleBody"/>
        <w:jc w:val="left"/>
      </w:pPr>
      <w:r>
        <w:rPr>
          <w:rFonts w:ascii="Times New Roman" w:hAnsi="Times New Roman" w:eastAsia="Times New Roman" w:cs="Times New Roman"/>
        </w:rPr>
        <w:t>Daniyel boqonnaa lammaffaatti, namoonni Millariitota jedhaman mootummaa shanaffaa raajii Macaafa Qulqulluu keessaa mootummaa afraffaa wajjin walitti fidaniiru. Sadarkaa bu’uuraatti hojiirra oolmaan isaanii sirrii ture; garuu guutuu hin turre; sababiin isaas, waabbiin jalqabaa mootummaa raajii Macaafa Qulqulluu waabbiin mootummaa raajii Macaafa Qulqulluu isa dhumaa wajjin walii galuu qaba; Yesuusis, akka Alfaa fi Oomeegaatti, yeroo hunda xumura jalqabaatiin agarsiisa. Addaan baafamuu mootummaa walitti aananii lamaa arguu dadhabuun, Mul’ata boqonnaa kudha lammaffaa keessatti waaqeffannaa mootummaa lafaa keessaa ba’e (bofa guddaa), bineensa galaanaa Mul’ata boqonnaa kudha sadiis akka paapaasummaaatti (bineensa), akkasumas bineensa lafa keessaa ba’e Mul’ata boqonnaa kudha sadii akka Pirootestaantummaa gantuu ta’eetti (raajii sobaa) adda baasuuf Miller akka hin dandeenye taasise.</w:t>
      </w:r>
    </w:p>
    <w:p>
      <w:pPr>
        <w:pStyle w:val="ArticleBody"/>
        <w:jc w:val="left"/>
      </w:pP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बारहवीं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असमर्थ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आर्मगेदोन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हुई।</w:t>
      </w:r>
    </w:p>
    <w:p>
      <w:pPr>
        <w:pStyle w:val="ArticleBody"/>
        <w:jc w:val="left"/>
      </w:pP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ߛߏ߲</w:t>
      </w:r>
      <w:r>
        <w:rPr>
          <w:rFonts w:ascii="Times New Roman" w:hAnsi="Times New Roman" w:eastAsia="Times New Roman" w:cs="Times New Roman"/>
        </w:rPr>
        <w:t xml:space="preserve"> </w:t>
      </w:r>
      <w:r>
        <w:rPr>
          <w:rFonts w:ascii="Ebrima" w:hAnsi="Ebrima" w:eastAsia="Ebrima" w:cs="Ebrima"/>
        </w:rPr>
        <w:t>ߕߌ߰߁ߟߊ</w:t>
      </w:r>
      <w:r>
        <w:rPr>
          <w:rFonts w:ascii="Times New Roman" w:hAnsi="Times New Roman" w:eastAsia="Times New Roman" w:cs="Times New Roman"/>
        </w:rPr>
        <w:t xml:space="preserve"> </w:t>
      </w:r>
      <w:r>
        <w:rPr>
          <w:rFonts w:ascii="Ebrima" w:hAnsi="Ebrima" w:eastAsia="Ebrima" w:cs="Ebrima"/>
        </w:rPr>
        <w:t>ߛߊ߬ߣߍ߲߬</w:t>
      </w:r>
      <w:r>
        <w:rPr>
          <w:rFonts w:ascii="Times New Roman" w:hAnsi="Times New Roman" w:eastAsia="Times New Roman" w:cs="Times New Roman"/>
        </w:rPr>
        <w:t xml:space="preserve"> </w:t>
      </w:r>
      <w:r>
        <w:rPr>
          <w:rFonts w:ascii="Ebrima" w:hAnsi="Ebrima" w:eastAsia="Ebrima" w:cs="Ebrima"/>
        </w:rPr>
        <w:t>ߕߟߋ߬ߓߊ</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ߘߐߞߍ߫</w:t>
      </w:r>
      <w:r>
        <w:rPr>
          <w:rFonts w:ascii="Times New Roman" w:hAnsi="Times New Roman" w:eastAsia="Times New Roman" w:cs="Times New Roman"/>
        </w:rPr>
        <w:t xml:space="preserve"> </w:t>
      </w:r>
      <w:r>
        <w:rPr>
          <w:rFonts w:ascii="Ebrima" w:hAnsi="Ebrima" w:eastAsia="Ebrima" w:cs="Ebrima"/>
        </w:rPr>
        <w:t>ߘߌ߬ߡߊ߬ߟߊ߬ߦߊ</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ߛߐ߬ߞߏ߲</w:t>
      </w:r>
      <w:r>
        <w:rPr>
          <w:rFonts w:ascii="Times New Roman" w:hAnsi="Times New Roman" w:eastAsia="Times New Roman" w:cs="Times New Roman"/>
        </w:rPr>
        <w:t xml:space="preserve">, </w:t>
      </w:r>
      <w:r>
        <w:rPr>
          <w:rFonts w:ascii="Ebrima" w:hAnsi="Ebrima" w:eastAsia="Ebrima" w:cs="Ebrima"/>
        </w:rPr>
        <w:t>ߛߊ߬ߦߌ߬ߟߊ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ߞߏ߲߬ߘߏ߫</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ߕߐ߮ߞߎߘߎ</w:t>
      </w:r>
      <w:r>
        <w:rPr>
          <w:rFonts w:ascii="Times New Roman" w:hAnsi="Times New Roman" w:eastAsia="Times New Roman" w:cs="Times New Roman"/>
        </w:rPr>
        <w:t xml:space="preserve">) </w:t>
      </w:r>
      <w:r>
        <w:rPr>
          <w:rFonts w:ascii="Ebrima" w:hAnsi="Ebrima" w:eastAsia="Ebrima" w:cs="Ebrima"/>
        </w:rPr>
        <w:t>ߘߊ߫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Future for America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ߓߍ߲ߓߍ߲</w:t>
      </w:r>
      <w:r>
        <w:rPr>
          <w:rFonts w:ascii="Times New Roman" w:hAnsi="Times New Roman" w:eastAsia="Times New Roman" w:cs="Times New Roman"/>
        </w:rPr>
        <w:t xml:space="preserve"> </w:t>
      </w:r>
      <w:r>
        <w:rPr>
          <w:rFonts w:ascii="Ebrima" w:hAnsi="Ebrima" w:eastAsia="Ebrima" w:cs="Ebrima"/>
        </w:rPr>
        <w:t>ߕߌ߰ߡߊ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w:t>
      </w:r>
      <w:r>
        <w:rPr>
          <w:rFonts w:ascii="Times New Roman" w:hAnsi="Times New Roman" w:eastAsia="Times New Roman" w:cs="Times New Roman"/>
        </w:rPr>
        <w:t xml:space="preserve"> 1989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ߘߊߣߌߦߍߟߎ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ߞߊ߬ߙߊ߲</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ߘߊߦߟߍ߬ߡߊ߬ߣߍ߲</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ߛߏߝߌ߬ߘߏ</w:t>
      </w:r>
      <w:r>
        <w:rPr>
          <w:rFonts w:ascii="Times New Roman" w:hAnsi="Times New Roman" w:eastAsia="Times New Roman" w:cs="Times New Roman"/>
        </w:rPr>
        <w:t xml:space="preserve"> </w:t>
      </w:r>
      <w:r>
        <w:rPr>
          <w:rFonts w:ascii="Ebrima" w:hAnsi="Ebrima" w:eastAsia="Ebrima" w:cs="Ebrima"/>
        </w:rPr>
        <w:t>ߘߐߡߊ</w:t>
      </w:r>
      <w:r>
        <w:rPr>
          <w:rFonts w:ascii="Times New Roman" w:hAnsi="Times New Roman" w:eastAsia="Times New Roman" w:cs="Times New Roman"/>
        </w:rPr>
        <w:t xml:space="preserve"> </w:t>
      </w:r>
      <w:r>
        <w:rPr>
          <w:rFonts w:ascii="Ebrima" w:hAnsi="Ebrima" w:eastAsia="Ebrima" w:cs="Ebrima"/>
        </w:rPr>
        <w:t>ߓߐ߫</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ߘߊߣߌߦߍߟߎ</w:t>
      </w:r>
      <w:r>
        <w:rPr>
          <w:rFonts w:ascii="Times New Roman" w:hAnsi="Times New Roman" w:eastAsia="Times New Roman" w:cs="Times New Roman"/>
        </w:rPr>
        <w:t xml:space="preserve"> </w:t>
      </w:r>
      <w:r>
        <w:rPr>
          <w:rFonts w:ascii="Ebrima" w:hAnsi="Ebrima" w:eastAsia="Ebrima" w:cs="Ebrima"/>
        </w:rPr>
        <w:t>ߛߘߍ߬ߜߍ</w:t>
      </w:r>
      <w:r>
        <w:rPr>
          <w:rFonts w:ascii="Times New Roman" w:hAnsi="Times New Roman" w:eastAsia="Times New Roman" w:cs="Times New Roman"/>
        </w:rPr>
        <w:t xml:space="preserve"> </w:t>
      </w:r>
      <w:r>
        <w:rPr>
          <w:rFonts w:ascii="Ebrima" w:hAnsi="Ebrima" w:eastAsia="Ebrima" w:cs="Ebrima"/>
        </w:rPr>
        <w:t>ߕߌ߰ߞߊ߬</w:t>
      </w:r>
      <w:r>
        <w:rPr>
          <w:rFonts w:ascii="Times New Roman" w:hAnsi="Times New Roman" w:eastAsia="Times New Roman" w:cs="Times New Roman"/>
        </w:rPr>
        <w:t xml:space="preserve"> </w:t>
      </w:r>
      <w:r>
        <w:rPr>
          <w:rFonts w:ascii="Ebrima" w:hAnsi="Ebrima" w:eastAsia="Ebrima" w:cs="Ebrima"/>
        </w:rPr>
        <w:t>ߛߋ߲ߘߋ߲</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ߘߏ߲߬ߞߏ߬</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ߝߏ߭ߙߕߌ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ߟߊߛߐ߫</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ߡߊߟߍ߲߫</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ߛߐ߰ߞߊ߲߬</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ߞߊ߬ߟߍ߬ߡߊ߬</w:t>
      </w:r>
      <w:r>
        <w:rPr>
          <w:rFonts w:ascii="Times New Roman" w:hAnsi="Times New Roman" w:eastAsia="Times New Roman" w:cs="Times New Roman"/>
        </w:rPr>
        <w:t xml:space="preserve"> </w:t>
      </w:r>
      <w:r>
        <w:rPr>
          <w:rFonts w:ascii="Ebrima" w:hAnsi="Ebrima" w:eastAsia="Ebrima" w:cs="Ebrima"/>
        </w:rPr>
        <w:t>ߡߌߟߍߙ</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ߘߴߊ߬</w:t>
      </w:r>
      <w:r>
        <w:rPr>
          <w:rFonts w:ascii="Times New Roman" w:hAnsi="Times New Roman" w:eastAsia="Times New Roman" w:cs="Times New Roman"/>
        </w:rPr>
        <w:t xml:space="preserve"> </w:t>
      </w:r>
      <w:r>
        <w:rPr>
          <w:rFonts w:ascii="Ebrima" w:hAnsi="Ebrima" w:eastAsia="Ebrima" w:cs="Ebrima"/>
        </w:rPr>
        <w:t>ߛߐ߰ߞߊ߲߬</w:t>
      </w:r>
      <w:r>
        <w:rPr>
          <w:rFonts w:ascii="Times New Roman" w:hAnsi="Times New Roman" w:eastAsia="Times New Roman" w:cs="Times New Roman"/>
        </w:rPr>
        <w:t xml:space="preserve"> </w:t>
      </w:r>
      <w:r>
        <w:rPr>
          <w:rFonts w:ascii="Ebrima" w:hAnsi="Ebrima" w:eastAsia="Ebrima" w:cs="Ebrima"/>
        </w:rPr>
        <w:t>ߝߟߊߣߊ</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ߘߊߣߌߦߍߟߎ</w:t>
      </w:r>
      <w:r>
        <w:rPr>
          <w:rFonts w:ascii="Times New Roman" w:hAnsi="Times New Roman" w:eastAsia="Times New Roman" w:cs="Times New Roman"/>
        </w:rPr>
        <w:t xml:space="preserve"> </w:t>
      </w:r>
      <w:r>
        <w:rPr>
          <w:rFonts w:ascii="Ebrima" w:hAnsi="Ebrima" w:eastAsia="Ebrima" w:cs="Ebrima"/>
        </w:rPr>
        <w:t>ߛߘߍ߬ߜߍ</w:t>
      </w:r>
      <w:r>
        <w:rPr>
          <w:rFonts w:ascii="Times New Roman" w:hAnsi="Times New Roman" w:eastAsia="Times New Roman" w:cs="Times New Roman"/>
        </w:rPr>
        <w:t xml:space="preserve"> </w:t>
      </w:r>
      <w:r>
        <w:rPr>
          <w:rFonts w:ascii="Ebrima" w:hAnsi="Ebrima" w:eastAsia="Ebrima" w:cs="Ebrima"/>
        </w:rPr>
        <w:t>ߕߌ߰ߞߊ߬</w:t>
      </w:r>
      <w:r>
        <w:rPr>
          <w:rFonts w:ascii="Times New Roman" w:hAnsi="Times New Roman" w:eastAsia="Times New Roman" w:cs="Times New Roman"/>
        </w:rPr>
        <w:t xml:space="preserve"> </w:t>
      </w:r>
      <w:r>
        <w:rPr>
          <w:rFonts w:ascii="Ebrima" w:hAnsi="Ebrima" w:eastAsia="Ebrima" w:cs="Ebrima"/>
        </w:rPr>
        <w:t>ߛߋ߲ߘߋ߲</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ߞߊ߬ߙߊ߲</w:t>
      </w:r>
      <w:r>
        <w:rPr>
          <w:rFonts w:ascii="Times New Roman" w:hAnsi="Times New Roman" w:eastAsia="Times New Roman" w:cs="Times New Roman"/>
        </w:rPr>
        <w:t xml:space="preserve"> </w:t>
      </w:r>
      <w:r>
        <w:rPr>
          <w:rFonts w:ascii="Ebrima" w:hAnsi="Ebrima" w:eastAsia="Ebrima" w:cs="Ebrima"/>
        </w:rPr>
        <w:t>ߛߏ߯</w:t>
      </w:r>
      <w:r>
        <w:rPr>
          <w:rFonts w:ascii="Times New Roman" w:hAnsi="Times New Roman" w:eastAsia="Times New Roman" w:cs="Times New Roman"/>
        </w:rPr>
        <w:t xml:space="preserve"> </w:t>
      </w:r>
      <w:r>
        <w:rPr>
          <w:rFonts w:ascii="Ebrima" w:hAnsi="Ebrima" w:eastAsia="Ebrima" w:cs="Ebrima"/>
        </w:rPr>
        <w:t>ߛߋ߲ߘߋ߲</w:t>
      </w:r>
      <w:r>
        <w:rPr>
          <w:rFonts w:ascii="Times New Roman" w:hAnsi="Times New Roman" w:eastAsia="Times New Roman" w:cs="Times New Roman"/>
        </w:rPr>
        <w:t xml:space="preserve"> </w:t>
      </w:r>
      <w:r>
        <w:rPr>
          <w:rFonts w:ascii="Ebrima" w:hAnsi="Ebrima" w:eastAsia="Ebrima" w:cs="Ebrima"/>
        </w:rPr>
        <w:t>ߡߎ߬ߕߎ߲߬</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Future for America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ߡߊ߬ߝߍ߬ߘߐ߲߬</w:t>
      </w:r>
      <w:r>
        <w:rPr>
          <w:rFonts w:ascii="Times New Roman" w:hAnsi="Times New Roman" w:eastAsia="Times New Roman" w:cs="Times New Roman"/>
        </w:rPr>
        <w:t xml:space="preserve"> </w:t>
      </w:r>
      <w:r>
        <w:rPr>
          <w:rFonts w:ascii="Ebrima" w:hAnsi="Ebrima" w:eastAsia="Ebrima" w:cs="Ebrima"/>
        </w:rPr>
        <w:t>ߞߊ߬ߟߌ߬ߦߊ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ߕߎ߬ߡߊ߬ߛߐ߬ߘߐ߲߬</w:t>
      </w:r>
      <w:r>
        <w:rPr>
          <w:rFonts w:ascii="Times New Roman" w:hAnsi="Times New Roman" w:eastAsia="Times New Roman" w:cs="Times New Roman"/>
        </w:rPr>
        <w:t xml:space="preserve"> </w:t>
      </w:r>
      <w:r>
        <w:rPr>
          <w:rFonts w:ascii="Ebrima" w:hAnsi="Ebrima" w:eastAsia="Ebrima" w:cs="Ebrima"/>
        </w:rPr>
        <w:t>ߛߋ߲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ߘߏ߲߬ߞߏ߬</w:t>
      </w:r>
      <w:r>
        <w:rPr>
          <w:rFonts w:ascii="Times New Roman" w:hAnsi="Times New Roman" w:eastAsia="Times New Roman" w:cs="Times New Roman"/>
        </w:rPr>
        <w:t xml:space="preserve"> </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ߘߊߣߌߦߍߟߎ</w:t>
      </w:r>
      <w:r>
        <w:rPr>
          <w:rFonts w:ascii="Times New Roman" w:hAnsi="Times New Roman" w:eastAsia="Times New Roman" w:cs="Times New Roman"/>
        </w:rPr>
        <w:t xml:space="preserve"> </w:t>
      </w:r>
      <w:r>
        <w:rPr>
          <w:rFonts w:ascii="Ebrima" w:hAnsi="Ebrima" w:eastAsia="Ebrima" w:cs="Ebrima"/>
        </w:rPr>
        <w:t>ߛߘߍ߬ߜߍ</w:t>
      </w:r>
      <w:r>
        <w:rPr>
          <w:rFonts w:ascii="Times New Roman" w:hAnsi="Times New Roman" w:eastAsia="Times New Roman" w:cs="Times New Roman"/>
        </w:rPr>
        <w:t xml:space="preserve"> </w:t>
      </w:r>
      <w:r>
        <w:rPr>
          <w:rFonts w:ascii="Ebrima" w:hAnsi="Ebrima" w:eastAsia="Ebrima" w:cs="Ebrima"/>
        </w:rPr>
        <w:t>ߕߌ߰ߞߊ߬</w:t>
      </w:r>
      <w:r>
        <w:rPr>
          <w:rFonts w:ascii="Times New Roman" w:hAnsi="Times New Roman" w:eastAsia="Times New Roman" w:cs="Times New Roman"/>
        </w:rPr>
        <w:t xml:space="preserve"> </w:t>
      </w:r>
      <w:r>
        <w:rPr>
          <w:rFonts w:ascii="Ebrima" w:hAnsi="Ebrima" w:eastAsia="Ebrima" w:cs="Ebrima"/>
        </w:rPr>
        <w:t>ߛߋ߲ߘߋ߲</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ߞߎ߲߬ߘߎ߫</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ߞߊ߬ߟߌ߬ߦߊ</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ߢߍ߫</w:t>
      </w:r>
      <w:r>
        <w:rPr>
          <w:rFonts w:ascii="Times New Roman" w:hAnsi="Times New Roman" w:eastAsia="Times New Roman" w:cs="Times New Roman"/>
        </w:rPr>
        <w:t xml:space="preserve"> </w:t>
      </w:r>
      <w:r>
        <w:rPr>
          <w:rFonts w:ascii="Ebrima" w:hAnsi="Ebrima" w:eastAsia="Ebrima" w:cs="Ebrima"/>
        </w:rPr>
        <w:t>ߛߋ߲ߘߋ߲</w:t>
      </w:r>
      <w:r>
        <w:rPr>
          <w:rFonts w:ascii="Times New Roman" w:hAnsi="Times New Roman" w:eastAsia="Times New Roman" w:cs="Times New Roman"/>
        </w:rPr>
        <w:t xml:space="preserve"> </w:t>
      </w:r>
      <w:r>
        <w:rPr>
          <w:rFonts w:ascii="Ebrima" w:hAnsi="Ebrima" w:eastAsia="Ebrima" w:cs="Ebrima"/>
        </w:rPr>
        <w:t>ߕߊ߬ߡߌ߲߬</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ߕߊ߬ߡߌ߲߬</w:t>
      </w:r>
      <w:r>
        <w:rPr>
          <w:rFonts w:ascii="Times New Roman" w:hAnsi="Times New Roman" w:eastAsia="Times New Roman" w:cs="Times New Roman"/>
        </w:rPr>
        <w:t xml:space="preserve"> </w:t>
      </w:r>
      <w:r>
        <w:rPr>
          <w:rFonts w:ascii="Ebrima" w:hAnsi="Ebrima" w:eastAsia="Ebrima" w:cs="Ebrima"/>
        </w:rPr>
        <w:t>ߣߊ߬ߓߐ߲߫</w:t>
      </w:r>
      <w:r>
        <w:rPr>
          <w:rFonts w:ascii="Times New Roman" w:hAnsi="Times New Roman" w:eastAsia="Times New Roman" w:cs="Times New Roman"/>
        </w:rPr>
        <w:t xml:space="preserve">، </w:t>
      </w:r>
      <w:r>
        <w:rPr>
          <w:rFonts w:ascii="Ebrima" w:hAnsi="Ebrima" w:eastAsia="Ebrima" w:cs="Ebrima"/>
        </w:rPr>
        <w:t>ߘߊߣߌߦߍߟߎ</w:t>
      </w:r>
      <w:r>
        <w:rPr>
          <w:rFonts w:ascii="Times New Roman" w:hAnsi="Times New Roman" w:eastAsia="Times New Roman" w:cs="Times New Roman"/>
        </w:rPr>
        <w:t xml:space="preserve"> </w:t>
      </w:r>
      <w:r>
        <w:rPr>
          <w:rFonts w:ascii="Ebrima" w:hAnsi="Ebrima" w:eastAsia="Ebrima" w:cs="Ebrima"/>
        </w:rPr>
        <w:t>ߛߘߍ߬ߜߍ</w:t>
      </w:r>
      <w:r>
        <w:rPr>
          <w:rFonts w:ascii="Times New Roman" w:hAnsi="Times New Roman" w:eastAsia="Times New Roman" w:cs="Times New Roman"/>
        </w:rPr>
        <w:t xml:space="preserve"> </w:t>
      </w:r>
      <w:r>
        <w:rPr>
          <w:rFonts w:ascii="Ebrima" w:hAnsi="Ebrima" w:eastAsia="Ebrima" w:cs="Ebrima"/>
        </w:rPr>
        <w:t>ߝߐ߬ߣߍ߲</w:t>
      </w:r>
      <w:r>
        <w:rPr>
          <w:rFonts w:ascii="Times New Roman" w:hAnsi="Times New Roman" w:eastAsia="Times New Roman" w:cs="Times New Roman"/>
        </w:rPr>
        <w:t xml:space="preserve"> </w:t>
      </w:r>
      <w:r>
        <w:rPr>
          <w:rFonts w:ascii="Ebrima" w:hAnsi="Ebrima" w:eastAsia="Ebrima" w:cs="Ebrima"/>
        </w:rPr>
        <w:t>ߕߌ߰ߞߊ߬</w:t>
      </w:r>
      <w:r>
        <w:rPr>
          <w:rFonts w:ascii="Times New Roman" w:hAnsi="Times New Roman" w:eastAsia="Times New Roman" w:cs="Times New Roman"/>
        </w:rPr>
        <w:t xml:space="preserve"> </w:t>
      </w:r>
      <w:r>
        <w:rPr>
          <w:rFonts w:ascii="Ebrima" w:hAnsi="Ebrima" w:eastAsia="Ebrima" w:cs="Ebrima"/>
        </w:rPr>
        <w:t>ߛߍ߲ߘߋ߲</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ߡߊߟߍ߲߫</w:t>
      </w:r>
      <w:r>
        <w:rPr>
          <w:rFonts w:ascii="Times New Roman" w:hAnsi="Times New Roman" w:eastAsia="Times New Roman" w:cs="Times New Roman"/>
        </w:rPr>
        <w:t xml:space="preserve"> </w:t>
      </w:r>
      <w:r>
        <w:rPr>
          <w:rFonts w:ascii="Ebrima" w:hAnsi="Ebrima" w:eastAsia="Ebrima" w:cs="Ebrima"/>
        </w:rPr>
        <w:t>ߞߍ߰ߣߍ߲</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ߘߊߦߟߍ߬ߡߊ߬ߣߍ߲</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ߡߌߟߍߙߌߕߌ</w:t>
      </w:r>
      <w:r>
        <w:rPr>
          <w:rFonts w:ascii="Times New Roman" w:hAnsi="Times New Roman" w:eastAsia="Times New Roman" w:cs="Times New Roman"/>
        </w:rPr>
        <w:t xml:space="preserve"> </w:t>
      </w:r>
      <w:r>
        <w:rPr>
          <w:rFonts w:ascii="Ebrima" w:hAnsi="Ebrima" w:eastAsia="Ebrima" w:cs="Ebrima"/>
        </w:rPr>
        <w:t>ߡߊ߬ߝߍ߬ߘߐ߲߬</w:t>
      </w:r>
      <w:r>
        <w:rPr>
          <w:rFonts w:ascii="Times New Roman" w:hAnsi="Times New Roman" w:eastAsia="Times New Roman" w:cs="Times New Roman"/>
        </w:rPr>
        <w:t xml:space="preserve"> </w:t>
      </w:r>
      <w:r>
        <w:rPr>
          <w:rFonts w:ascii="Ebrima" w:hAnsi="Ebrima" w:eastAsia="Ebrima" w:cs="Ebrima"/>
        </w:rPr>
        <w:t>ߠߊ߫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Naa ne awiei bere mu no, anafo hene no bɛpia no; na atifi hene no de nteaseɛnam, ne apɔnkɔsotefo, ne po so ahyɛn bebree bɛba atia no sɛ ahum; na ɔbɛhyɛn amanaman no mu, na ɔbɛbu afa so atwam. Daniel 11:40.</w:t>
      </w:r>
    </w:p>
    <w:p>
      <w:pPr>
        <w:pStyle w:val="ArticleBody"/>
        <w:jc w:val="left"/>
      </w:pPr>
      <w:r>
        <w:rPr>
          <w:rFonts w:ascii="Times New Roman" w:hAnsi="Times New Roman" w:eastAsia="Times New Roman" w:cs="Times New Roman"/>
        </w:rPr>
        <w:t>Aayatkani waxay tilmaamaysaa dagaal bilowday “wakhtiga dhammaadka” sannadkii 1798, oo u dhexeeyey boqorkii koonfureed iyo boqorkii woqooyi. Boqorkii koonfureed wuxuu matalayey Faransiiskii cawaannimada ku dhisnaa, kaas oo isla sannadkaas dhaawicii dilaaga ahaa gaadhsiiyey baabtiisnimada. Baabtiisnimadana halkaas waxaa lagu matalay boqorkii woqooyi. Faransiiska, si nebiyadeed marka loo eego sannadkii 1798, wuxuu ahaa boqortooyooyinka tobanka ah ee ku xusan Daanyeel cutubka toddobaad middood. Tobankaas boqortooyo waxay matalaan Roomaankii jaahiliga ahaa, Roomaankii jaahiliga ahaana wuxuu matalaa masduulaagga. Baabtiisnimadu (boqorkii woqooyi) waxay matalaysaa bahalka. Aayaddu waxay tilmaamaysaa in boqorkii woqooyi (baabtiisnimada), oo bilowga aayadda lagu sheegay in la siiyey dhaawicii dilaaga ahaa, uu ugu dambayntii ka aargudan doono boqorkii koonfureed (boqorkii cawaannimada). Markii baabtiisnimadu ay ka aargudatay, boqorkii cawaannimadu wuxuu ka soo guuray qarankii Faransiiska una guuray isbahaysigii Midowgii Soofiyeeti. Faransiisku wuxuu ahaa hal qaran; hase yeeshee markii baabtiisnimadu kaga aargudatay boqorkii koonfureed ee aayadda ku xusan, boqorkii koonfureed waxaa lagu tilmaamay “dalal,” sida uu ahaa Midowgii Soofiyeetiga hore.</w:t>
      </w:r>
    </w:p>
    <w:p>
      <w:pPr>
        <w:pStyle w:val="ArticleBody"/>
        <w:jc w:val="left"/>
      </w:pPr>
      <w:r>
        <w:rPr>
          <w:rFonts w:ascii="Times New Roman" w:hAnsi="Times New Roman" w:eastAsia="Times New Roman" w:cs="Times New Roman"/>
        </w:rPr>
        <w:t>Asew amoboaa no hene (papacy no) tɔɔ ne were so no, ɛde “nteaseɛnam,” “apɔnkɔsotefo,” ne “ahyɛn pii” bae. Nteaseɛnam ne apɔnkɔsotefo yɛ asraa ahoɔden ho nsɛnkyerɛnne, na ahyɛn nso yɛ sikasɛm ahoɔden ho nsɛnkyerɛnne. Tumi a ɛne papacy no yɛɛ apam a ɛho ntew, sɛnea ɛbɛma Soviet Union no ahwe ase no, ne United States; na United States no ahoɔden mmienu a Adiyisɛm ti dunsia no kyerɛ no, wɔde hu no sɛ ne tumi a ɔde akode ne sikasɛm ahoɔden bɛhyɛ wiase no ama wɔagye papacy no tumi agyirae no. Wɔbɛbara nnipa sɛ wɔrentumi ntɔ anaa wontumi ntɔn gye sɛ wɔwɔ saa agyirae no; na bio nso, sɛ wonni saa agyirae no a, wɔde wɔn bɛkɔ owu mu.</w:t>
      </w:r>
    </w:p>
    <w:p>
      <w:pPr>
        <w:pStyle w:val="ArticleBody"/>
        <w:jc w:val="left"/>
      </w:pPr>
      <w:r>
        <w:rPr>
          <w:rFonts w:ascii="Times New Roman" w:hAnsi="Times New Roman" w:eastAsia="Times New Roman" w:cs="Times New Roman"/>
        </w:rPr>
        <w:t>Ավետարանի քառասուներորդ համարը ուղիղ կերպով նույնականացնում է վիշապին (հարավի արքային), գազանին (պապականությանը) և սուտ մարգարեին (Միացյալ Նահանգներին)։ «Վերջի ժամանակի» համար 1989 թվականին հիմնարար համարվող այս համարը նույնականացնում է այն երեք ամայացնող ուժերը, որոնք աշխարհը առաջնորդում են դեպի Արմագեդոն, ինչպես որ միլլերական շարժման հիմնարար համարները նույնականացնում էին ամայացնող երկու ուժերը՝ հեթանոսությունը, որին հաջորդում էր պապականությունը։</w:t>
      </w:r>
    </w:p>
    <w:p>
      <w:pPr>
        <w:pStyle w:val="ArticleBody"/>
        <w:jc w:val="left"/>
      </w:pPr>
      <w:r>
        <w:rPr>
          <w:rFonts w:ascii="Times New Roman" w:hAnsi="Times New Roman" w:eastAsia="Times New Roman" w:cs="Times New Roman"/>
        </w:rPr>
        <w:t>Ayaanni kun lola gidduu mootii kibbaa fi mootii kaabaa gidduutti adeemsifameen jalqaba. Jalqaba aayaana kanaa keessatti (1798) mootii kibbaa injifata; garuu aayaana keessatti mootii kaabaa deebisee lola kaasee mootii kibbaa irratti injifata. Jalqabni aayaana kanaa lola mootii kaabaa fi mootii kibbaa gidduu jiru agarsiisa; akkasumas xumura ergaa aayaana keessatti qabame keessatti lolli walfakkaataan mootota kaabaa fi kibbaa gidduu jiru ibsameera, garuu bu’aa faallaa qabuun. Jalqabni sun bara 1798tti “yeroo dhumaa” mallatteesse; lolli xumuraa immoo bara 1989tti “yeroo dhumaa” mallatteessa. Aayanni kun ragaa barreeffamaa isaa keessatti mallattoo Alfaa fi Oomeegaa, jalqabaa fi xumuraa, of keessaa qaba.</w:t>
      </w:r>
    </w:p>
    <w:p>
      <w:pPr>
        <w:pStyle w:val="ArticleBody"/>
        <w:jc w:val="left"/>
      </w:pPr>
      <w:r>
        <w:rPr>
          <w:rFonts w:ascii="Microsoft YaHei" w:hAnsi="Microsoft YaHei" w:eastAsia="Microsoft YaHei" w:cs="Microsoft YaHei"/>
        </w:rPr>
        <w:t>历史上</w:t>
      </w:r>
      <w:r>
        <w:rPr>
          <w:rFonts w:ascii="Times New Roman" w:hAnsi="Times New Roman" w:eastAsia="Times New Roman" w:cs="Times New Roman"/>
        </w:rPr>
        <w:t>,</w:t>
      </w:r>
      <w:r>
        <w:rPr>
          <w:rFonts w:ascii="Microsoft YaHei" w:hAnsi="Microsoft YaHei" w:eastAsia="Microsoft YaHei" w:cs="Microsoft YaHei"/>
        </w:rPr>
        <w:t>这节经文的实际进程在</w:t>
      </w:r>
      <w:r>
        <w:rPr>
          <w:rFonts w:ascii="Times New Roman" w:hAnsi="Times New Roman" w:eastAsia="Times New Roman" w:cs="Times New Roman"/>
        </w:rPr>
        <w:t>1989</w:t>
      </w:r>
      <w:r>
        <w:rPr>
          <w:rFonts w:ascii="Microsoft YaHei" w:hAnsi="Microsoft YaHei" w:eastAsia="Microsoft YaHei" w:cs="Microsoft YaHei"/>
        </w:rPr>
        <w:t>年苏联解体之后仍继续推进</w:t>
      </w:r>
      <w:r>
        <w:rPr>
          <w:rFonts w:ascii="Times New Roman" w:hAnsi="Times New Roman" w:eastAsia="Times New Roman" w:cs="Times New Roman"/>
        </w:rPr>
        <w:t>,</w:t>
      </w:r>
      <w:r>
        <w:rPr>
          <w:rFonts w:ascii="Microsoft YaHei" w:hAnsi="Microsoft YaHei" w:eastAsia="Microsoft YaHei" w:cs="Microsoft YaHei"/>
        </w:rPr>
        <w:t>直到第四十一节所预示的星期日法案为止</w:t>
      </w:r>
      <w:r>
        <w:rPr>
          <w:rFonts w:ascii="Times New Roman" w:hAnsi="Times New Roman" w:eastAsia="Times New Roman" w:cs="Times New Roman"/>
        </w:rPr>
        <w:t>.</w:t>
      </w:r>
      <w:r>
        <w:rPr>
          <w:rFonts w:ascii="Microsoft YaHei" w:hAnsi="Microsoft YaHei" w:eastAsia="Microsoft YaHei" w:cs="Microsoft YaHei"/>
        </w:rPr>
        <w:t>在星期日法案之时</w:t>
      </w:r>
      <w:r>
        <w:rPr>
          <w:rFonts w:ascii="Times New Roman" w:hAnsi="Times New Roman" w:eastAsia="Times New Roman" w:cs="Times New Roman"/>
        </w:rPr>
        <w:t>,</w:t>
      </w:r>
      <w:r>
        <w:rPr>
          <w:rFonts w:ascii="Microsoft YaHei" w:hAnsi="Microsoft YaHei" w:eastAsia="Microsoft YaHei" w:cs="Microsoft YaHei"/>
        </w:rPr>
        <w:t>现代巴比伦的三重联合借着一连串迅速发生的事件而形成</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第四十节是从</w:t>
      </w:r>
      <w:r>
        <w:rPr>
          <w:rFonts w:ascii="Times New Roman" w:hAnsi="Times New Roman" w:eastAsia="Times New Roman" w:cs="Times New Roman"/>
        </w:rPr>
        <w:t>1798</w:t>
      </w:r>
      <w:r>
        <w:rPr>
          <w:rFonts w:ascii="Microsoft YaHei" w:hAnsi="Microsoft YaHei" w:eastAsia="Microsoft YaHei" w:cs="Microsoft YaHei"/>
        </w:rPr>
        <w:t>年致命伤被施加、推罗的淫妇被遗忘之时开始的</w:t>
      </w:r>
      <w:r>
        <w:rPr>
          <w:rFonts w:ascii="Times New Roman" w:hAnsi="Times New Roman" w:eastAsia="Times New Roman" w:cs="Times New Roman"/>
        </w:rPr>
        <w:t>.</w:t>
      </w:r>
      <w:r>
        <w:rPr>
          <w:rFonts w:ascii="Microsoft YaHei" w:hAnsi="Microsoft YaHei" w:eastAsia="Microsoft YaHei" w:cs="Microsoft YaHei"/>
        </w:rPr>
        <w:t>这节经文所代表的历史</w:t>
      </w:r>
      <w:r>
        <w:rPr>
          <w:rFonts w:ascii="Times New Roman" w:hAnsi="Times New Roman" w:eastAsia="Times New Roman" w:cs="Times New Roman"/>
        </w:rPr>
        <w:t>,</w:t>
      </w:r>
      <w:r>
        <w:rPr>
          <w:rFonts w:ascii="Microsoft YaHei" w:hAnsi="Microsoft YaHei" w:eastAsia="Microsoft YaHei" w:cs="Microsoft YaHei"/>
        </w:rPr>
        <w:t>直到第四十一节的星期日法案才完全结束</w:t>
      </w:r>
      <w:r>
        <w:rPr>
          <w:rFonts w:ascii="Times New Roman" w:hAnsi="Times New Roman" w:eastAsia="Times New Roman" w:cs="Times New Roman"/>
        </w:rPr>
        <w:t>;</w:t>
      </w:r>
      <w:r>
        <w:rPr>
          <w:rFonts w:ascii="Microsoft YaHei" w:hAnsi="Microsoft YaHei" w:eastAsia="Microsoft YaHei" w:cs="Microsoft YaHei"/>
        </w:rPr>
        <w:t>在那里</w:t>
      </w:r>
      <w:r>
        <w:rPr>
          <w:rFonts w:ascii="Times New Roman" w:hAnsi="Times New Roman" w:eastAsia="Times New Roman" w:cs="Times New Roman"/>
        </w:rPr>
        <w:t>,</w:t>
      </w:r>
      <w:r>
        <w:rPr>
          <w:rFonts w:ascii="Microsoft YaHei" w:hAnsi="Microsoft YaHei" w:eastAsia="Microsoft YaHei" w:cs="Microsoft YaHei"/>
        </w:rPr>
        <w:t>致命伤得医治</w:t>
      </w:r>
      <w:r>
        <w:rPr>
          <w:rFonts w:ascii="Times New Roman" w:hAnsi="Times New Roman" w:eastAsia="Times New Roman" w:cs="Times New Roman"/>
        </w:rPr>
        <w:t>,</w:t>
      </w:r>
      <w:r>
        <w:rPr>
          <w:rFonts w:ascii="Microsoft YaHei" w:hAnsi="Microsoft YaHei" w:eastAsia="Microsoft YaHei" w:cs="Microsoft YaHei"/>
        </w:rPr>
        <w:t>推罗的淫妇被记念</w:t>
      </w:r>
      <w:r>
        <w:rPr>
          <w:rFonts w:ascii="Times New Roman" w:hAnsi="Times New Roman" w:eastAsia="Times New Roman" w:cs="Times New Roman"/>
        </w:rPr>
        <w:t>.</w:t>
      </w:r>
      <w:r>
        <w:rPr>
          <w:rFonts w:ascii="Microsoft YaHei" w:hAnsi="Microsoft YaHei" w:eastAsia="Microsoft YaHei" w:cs="Microsoft YaHei"/>
        </w:rPr>
        <w:t>其开始与结束的标记</w:t>
      </w:r>
      <w:r>
        <w:rPr>
          <w:rFonts w:ascii="Times New Roman" w:hAnsi="Times New Roman" w:eastAsia="Times New Roman" w:cs="Times New Roman"/>
        </w:rPr>
        <w:t>,</w:t>
      </w:r>
      <w:r>
        <w:rPr>
          <w:rFonts w:ascii="Microsoft YaHei" w:hAnsi="Microsoft YaHei" w:eastAsia="Microsoft YaHei" w:cs="Microsoft YaHei"/>
        </w:rPr>
        <w:t>不仅写在该节经文的文本之中</w:t>
      </w:r>
      <w:r>
        <w:rPr>
          <w:rFonts w:ascii="Times New Roman" w:hAnsi="Times New Roman" w:eastAsia="Times New Roman" w:cs="Times New Roman"/>
        </w:rPr>
        <w:t>,</w:t>
      </w:r>
      <w:r>
        <w:rPr>
          <w:rFonts w:ascii="Microsoft YaHei" w:hAnsi="Microsoft YaHei" w:eastAsia="Microsoft YaHei" w:cs="Microsoft YaHei"/>
        </w:rPr>
        <w:t>也写在该节所代表的完整历史之上</w:t>
      </w:r>
      <w:r>
        <w:rPr>
          <w:rFonts w:ascii="Times New Roman" w:hAnsi="Times New Roman" w:eastAsia="Times New Roman" w:cs="Times New Roman"/>
        </w:rPr>
        <w:t>.</w:t>
      </w:r>
      <w:r>
        <w:rPr>
          <w:rFonts w:ascii="Microsoft YaHei" w:hAnsi="Microsoft YaHei" w:eastAsia="Microsoft YaHei" w:cs="Microsoft YaHei"/>
        </w:rPr>
        <w:t>这节经文所界定的</w:t>
      </w:r>
      <w:r>
        <w:rPr>
          <w:rFonts w:ascii="Times New Roman" w:hAnsi="Times New Roman" w:eastAsia="Times New Roman" w:cs="Times New Roman"/>
        </w:rPr>
        <w:t>,</w:t>
      </w:r>
      <w:r>
        <w:rPr>
          <w:rFonts w:ascii="Microsoft YaHei" w:hAnsi="Microsoft YaHei" w:eastAsia="Microsoft YaHei" w:cs="Microsoft YaHei"/>
        </w:rPr>
        <w:t>乃是一个先知性的架构</w:t>
      </w:r>
      <w:r>
        <w:rPr>
          <w:rFonts w:ascii="Times New Roman" w:hAnsi="Times New Roman" w:eastAsia="Times New Roman" w:cs="Times New Roman"/>
        </w:rPr>
        <w:t>;</w:t>
      </w:r>
      <w:r>
        <w:rPr>
          <w:rFonts w:ascii="Microsoft YaHei" w:hAnsi="Microsoft YaHei" w:eastAsia="Microsoft YaHei" w:cs="Microsoft YaHei"/>
        </w:rPr>
        <w:t>这架构并非仅仅建立在异教主义（龙）与教皇制度（兽）之上</w:t>
      </w:r>
      <w:r>
        <w:rPr>
          <w:rFonts w:ascii="Times New Roman" w:hAnsi="Times New Roman" w:eastAsia="Times New Roman" w:cs="Times New Roman"/>
        </w:rPr>
        <w:t>,</w:t>
      </w:r>
      <w:r>
        <w:rPr>
          <w:rFonts w:ascii="Microsoft YaHei" w:hAnsi="Microsoft YaHei" w:eastAsia="Microsoft YaHei" w:cs="Microsoft YaHei"/>
        </w:rPr>
        <w:t>而是指明那引领世界走向哈米吉多顿之三种行毁灭之势力的结构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Miller-wo prophetekan ti framework in naipakaammo ti yaay ti investigatibo a panangukom ti Dios, ket ti prophetekan a framework ti Future for America ket ipakaammona ti yaay ti ehekutibo a panangukom ti Dios. Iti “panawen ti panungpalan” idi 1989, nangrugi ti maysa a tallo-a-bannuar a proseso ti pannakasubok ken pannakadalus idi naibinglayan dagiti maudi nga innem a bersikulo ti Daniel onse iti pannakarba ti Soviet Union. Ti pannakaisina ni Miller a nakitana laeng ti paganismo ken papalismo, ket saan a nakitana ti apostata a Protestantismo, masapul a maawatan a husto tapno maawatan a husto ti sirmata ti Karayan Ulai a naibinglay idi 1798.</w:t>
      </w:r>
    </w:p>
    <w:p>
      <w:pPr>
        <w:pStyle w:val="ArticleBody"/>
        <w:jc w:val="left"/>
      </w:pPr>
      <w:r>
        <w:rPr>
          <w:rFonts w:ascii="Times New Roman" w:hAnsi="Times New Roman" w:eastAsia="Times New Roman" w:cs="Times New Roman"/>
        </w:rPr>
        <w:t>Nanu uywa yachachiyta qatiqkama hamuq qillqapi.</w:t>
      </w:r>
    </w:p>
    <w:p>
      <w:pPr>
        <w:pStyle w:val="ArticleScripture"/>
        <w:jc w:val="left"/>
      </w:pPr>
      <w:r>
        <w:rPr>
          <w:rFonts w:ascii="Times New Roman" w:hAnsi="Times New Roman" w:eastAsia="Times New Roman" w:cs="Times New Roman"/>
        </w:rPr>
        <w:t>“Ũrĩa tũrĩ na kĩhinda gĩa gũtũgĩrĩria ndĩkũ. Ibihe bia thĩna birĩ mbere yaitũ. Thĩ yothe nĩyonwo nĩ roho wa mbaara. O hĩndĩ ĩrĩ mbere, matukio ma thĩna marĩa moigĩtwo nĩũndũ wa mabani ma ũnabii nĩmakahingũra. Ũnabii wa Danieli mũno wa ikũmi na rimwe nĩũkinyĩte hagũcooka gũkũrũkia gũtimũthira gwake. Mĩhianano mingi ya ũtori ũrĩa wĩkĩte ũhoro wa gũkinyĩra ũnabii ũcio nĩigũcokio rĩngĩ.”</w:t>
      </w:r>
    </w:p>
    <w:p>
      <w:pPr>
        <w:pStyle w:val="ArticleScripture"/>
        <w:jc w:val="left"/>
      </w:pPr>
      <w:r>
        <w:rPr>
          <w:rFonts w:ascii="Times New Roman" w:hAnsi="Times New Roman" w:eastAsia="Times New Roman" w:cs="Times New Roman"/>
        </w:rPr>
        <w:t>„</w:t>
      </w:r>
      <w:r>
        <w:rPr>
          <w:rFonts w:ascii="Nirmala UI" w:hAnsi="Nirmala UI" w:eastAsia="Nirmala UI" w:cs="Nirmala UI"/>
        </w:rPr>
        <w:t>ત્રીસમો</w:t>
      </w:r>
      <w:r>
        <w:rPr>
          <w:rFonts w:ascii="Times New Roman" w:hAnsi="Times New Roman" w:eastAsia="Times New Roman" w:cs="Times New Roman"/>
        </w:rPr>
        <w:t xml:space="preserve"> </w:t>
      </w:r>
      <w:r>
        <w:rPr>
          <w:rFonts w:ascii="Nirmala UI" w:hAnsi="Nirmala UI" w:eastAsia="Nirmala UI" w:cs="Nirmala UI"/>
        </w:rPr>
        <w:t>શ્લોકમાં</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સત્તાનો</w:t>
      </w:r>
      <w:r>
        <w:rPr>
          <w:rFonts w:ascii="Times New Roman" w:hAnsi="Times New Roman" w:eastAsia="Times New Roman" w:cs="Times New Roman"/>
        </w:rPr>
        <w:t xml:space="preserve"> </w:t>
      </w:r>
      <w:r>
        <w:rPr>
          <w:rFonts w:ascii="Nirmala UI" w:hAnsi="Nirmala UI" w:eastAsia="Nirmala UI" w:cs="Nirmala UI"/>
        </w:rPr>
        <w:t>ઉલ્લેખ</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ત્રીસમાથી</w:t>
      </w:r>
      <w:r>
        <w:rPr>
          <w:rFonts w:ascii="Times New Roman" w:hAnsi="Times New Roman" w:eastAsia="Times New Roman" w:cs="Times New Roman"/>
        </w:rPr>
        <w:t xml:space="preserve"> </w:t>
      </w:r>
      <w:r>
        <w:rPr>
          <w:rFonts w:ascii="Nirmala UI" w:hAnsi="Nirmala UI" w:eastAsia="Nirmala UI" w:cs="Nirmala UI"/>
        </w:rPr>
        <w:t>છત્રીસમો</w:t>
      </w:r>
      <w:r>
        <w:rPr>
          <w:rFonts w:ascii="Times New Roman" w:hAnsi="Times New Roman" w:eastAsia="Times New Roman" w:cs="Times New Roman"/>
        </w:rPr>
        <w:t xml:space="preserve"> </w:t>
      </w:r>
      <w:r>
        <w:rPr>
          <w:rFonts w:ascii="Nirmala UI" w:hAnsi="Nirmala UI" w:eastAsia="Nirmala UI" w:cs="Nirmala UI"/>
        </w:rPr>
        <w:t>શ્લોક</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ઉદ્ધૃત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“Escenas semejantes a las descritas en estas palabras tendrán lugar”. Manuscript Releases, número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ᎾᏍᎩ ᏕᏂᏯᎵ ᎪᏪᎵ — ᏦᎢ ᏍᎪᎯ ᎯᏍᎩᎢ</dc:title>
  <dc:subject>Descubriendo el Marco Profético: La Perspicacia de William Miller y los Tres Poderes Desoladores que Conducen al Armagedón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