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شمارہ چھتیس</w:t>
      </w:r>
    </w:p>
    <w:p>
      <w:pPr>
        <w:pStyle w:val="ArticleSubtitle"/>
        <w:jc w:val="left"/>
      </w:pPr>
      <w:r>
        <w:rPr>
          <w:rFonts w:ascii="Leelawadee UI" w:hAnsi="Leelawadee UI" w:eastAsia="Leelawadee UI" w:cs="Leelawadee UI"/>
        </w:rPr>
        <w:t>នេប៊ូកាដ្នេស្សារ</w:t>
      </w:r>
      <w:r>
        <w:rPr>
          <w:rFonts w:ascii="Arial" w:hAnsi="Arial" w:eastAsia="Arial" w:cs="Arial"/>
        </w:rPr>
        <w:t xml:space="preserve"> </w:t>
      </w:r>
      <w:r>
        <w:rPr>
          <w:rFonts w:ascii="Leelawadee UI" w:hAnsi="Leelawadee UI" w:eastAsia="Leelawadee UI" w:cs="Leelawadee UI"/>
        </w:rPr>
        <w:t>និងនិមិត្តសញ្ញាព្យាករណ៍របស់គាត់៖</w:t>
      </w:r>
      <w:r>
        <w:rPr>
          <w:rFonts w:ascii="Arial" w:hAnsi="Arial" w:eastAsia="Arial" w:cs="Arial"/>
        </w:rPr>
        <w:t xml:space="preserve"> </w:t>
      </w:r>
      <w:r>
        <w:rPr>
          <w:rFonts w:ascii="Leelawadee UI" w:hAnsi="Leelawadee UI" w:eastAsia="Leelawadee UI" w:cs="Leelawadee UI"/>
        </w:rPr>
        <w:t>ការបើកបង្ហាញសញ្ញាសម្គាល់ប្រវត្តិសាស្ត្រនៃចលនាមិល្លឺរ៉ាយ</w:t>
      </w:r>
      <w:r>
        <w:rPr>
          <w:rFonts w:ascii="Arial" w:hAnsi="Arial" w:eastAsia="Arial" w:cs="Arial"/>
        </w:rPr>
        <w:t xml:space="preserve"> </w:t>
      </w:r>
      <w:r>
        <w:rPr>
          <w:rFonts w:ascii="Leelawadee UI" w:hAnsi="Leelawadee UI" w:eastAsia="Leelawadee UI" w:cs="Leelawadee UI"/>
        </w:rPr>
        <w:t>និងនិមិត្តដែលបានបិទត្រានៃទន្លេអ៊ុលាយ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Microsoft Himalaya" w:hAnsi="Microsoft Himalaya" w:eastAsia="Microsoft Himalaya" w:cs="Microsoft Himalaya"/>
        </w:rPr>
        <w:t>དཱ་ནི་ཨེལ་གྱི་ལེའུ་དང་པོས་</w:t>
      </w:r>
      <w:r>
        <w:rPr>
          <w:rFonts w:ascii="Times New Roman" w:hAnsi="Times New Roman" w:eastAsia="Times New Roman" w:cs="Times New Roman"/>
        </w:rPr>
        <w:t xml:space="preserve">1840 </w:t>
      </w:r>
      <w:r>
        <w:rPr>
          <w:rFonts w:ascii="Microsoft Himalaya" w:hAnsi="Microsoft Himalaya" w:eastAsia="Microsoft Himalaya" w:cs="Microsoft Himalaya"/>
        </w:rPr>
        <w:t>ལོའི་ཟླ་</w:t>
      </w:r>
      <w:r>
        <w:rPr>
          <w:rFonts w:ascii="Times New Roman" w:hAnsi="Times New Roman" w:eastAsia="Times New Roman" w:cs="Times New Roman"/>
        </w:rPr>
        <w:t xml:space="preserve"> 8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ནས་</w:t>
      </w:r>
      <w:r>
        <w:rPr>
          <w:rFonts w:ascii="Times New Roman" w:hAnsi="Times New Roman" w:eastAsia="Times New Roman" w:cs="Times New Roman"/>
        </w:rPr>
        <w:t xml:space="preserve">1844 </w:t>
      </w:r>
      <w:r>
        <w:rPr>
          <w:rFonts w:ascii="Microsoft Himalaya" w:hAnsi="Microsoft Himalaya" w:eastAsia="Microsoft Himalaya" w:cs="Microsoft Himalaya"/>
        </w:rPr>
        <w:t>ལོའི་ཟླ་</w:t>
      </w:r>
      <w:r>
        <w:rPr>
          <w:rFonts w:ascii="Times New Roman" w:hAnsi="Times New Roman" w:eastAsia="Times New Roman" w:cs="Times New Roman"/>
        </w:rPr>
        <w:t xml:space="preserve"> 10 </w:t>
      </w:r>
      <w:r>
        <w:rPr>
          <w:rFonts w:ascii="Microsoft Himalaya" w:hAnsi="Microsoft Himalaya" w:eastAsia="Microsoft Himalaya" w:cs="Microsoft Himalaya"/>
        </w:rPr>
        <w:t>ཚེས་</w:t>
      </w:r>
      <w:r>
        <w:rPr>
          <w:rFonts w:ascii="Times New Roman" w:hAnsi="Times New Roman" w:eastAsia="Times New Roman" w:cs="Times New Roman"/>
        </w:rPr>
        <w:t xml:space="preserve"> 22 </w:t>
      </w:r>
      <w:r>
        <w:rPr>
          <w:rFonts w:ascii="Microsoft Himalaya" w:hAnsi="Microsoft Himalaya" w:eastAsia="Microsoft Himalaya" w:cs="Microsoft Himalaya"/>
        </w:rPr>
        <w:t>བར་གྱི་དང་པོ་དང་གཉིས་པའི་ཕོ་ཉ་གཉིས་ཀྱི་ལོ་རྒྱུས་མཚོན་པ་ཡིན།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དཱ་ནི་ཨེལ་གྱི་ལེའུ་བཞི་པས་ཀྱང་</w:t>
      </w:r>
      <w:r>
        <w:rPr>
          <w:rFonts w:ascii="Times New Roman" w:hAnsi="Times New Roman" w:eastAsia="Times New Roman" w:cs="Times New Roman"/>
        </w:rPr>
        <w:t xml:space="preserve">723 BC </w:t>
      </w:r>
      <w:r>
        <w:rPr>
          <w:rFonts w:ascii="Microsoft Himalaya" w:hAnsi="Microsoft Himalaya" w:eastAsia="Microsoft Himalaya" w:cs="Microsoft Himalaya"/>
        </w:rPr>
        <w:t>ནས་</w:t>
      </w:r>
      <w:r>
        <w:rPr>
          <w:rFonts w:ascii="Times New Roman" w:hAnsi="Times New Roman" w:eastAsia="Times New Roman" w:cs="Times New Roman"/>
        </w:rPr>
        <w:t xml:space="preserve">1844 </w:t>
      </w:r>
      <w:r>
        <w:rPr>
          <w:rFonts w:ascii="Microsoft Himalaya" w:hAnsi="Microsoft Himalaya" w:eastAsia="Microsoft Himalaya" w:cs="Microsoft Himalaya"/>
        </w:rPr>
        <w:t>ལོའི་ཟླ་</w:t>
      </w:r>
      <w:r>
        <w:rPr>
          <w:rFonts w:ascii="Times New Roman" w:hAnsi="Times New Roman" w:eastAsia="Times New Roman" w:cs="Times New Roman"/>
        </w:rPr>
        <w:t xml:space="preserve"> 10 </w:t>
      </w:r>
      <w:r>
        <w:rPr>
          <w:rFonts w:ascii="Microsoft Himalaya" w:hAnsi="Microsoft Himalaya" w:eastAsia="Microsoft Himalaya" w:cs="Microsoft Himalaya"/>
        </w:rPr>
        <w:t>ཚེས་</w:t>
      </w:r>
      <w:r>
        <w:rPr>
          <w:rFonts w:ascii="Times New Roman" w:hAnsi="Times New Roman" w:eastAsia="Times New Roman" w:cs="Times New Roman"/>
        </w:rPr>
        <w:t xml:space="preserve"> 22 </w:t>
      </w:r>
      <w:r>
        <w:rPr>
          <w:rFonts w:ascii="Microsoft Himalaya" w:hAnsi="Microsoft Himalaya" w:eastAsia="Microsoft Himalaya" w:cs="Microsoft Himalaya"/>
        </w:rPr>
        <w:t>བར་གྱི་དང་པོ་དང་གཉིས་པའི་ཕོ་ཉ་གཉིས་ཀྱི་ལོ་རྒྱུས་ལ་ཡང་གཏད་དོ།</w:t>
      </w:r>
      <w:r>
        <w:rPr>
          <w:rFonts w:ascii="Times New Roman" w:hAnsi="Times New Roman" w:eastAsia="Times New Roman" w:cs="Times New Roman"/>
        </w:rPr>
        <w:t xml:space="preserve"> </w:t>
      </w:r>
      <w:r>
        <w:rPr>
          <w:rFonts w:ascii="Microsoft Himalaya" w:hAnsi="Microsoft Himalaya" w:eastAsia="Microsoft Himalaya" w:cs="Microsoft Himalaya"/>
        </w:rPr>
        <w:t>རེས་འཇོག་མར་ཆར་གྱི་</w:t>
      </w:r>
      <w:r>
        <w:rPr>
          <w:rFonts w:ascii="Times New Roman" w:hAnsi="Times New Roman" w:eastAsia="Times New Roman" w:cs="Times New Roman"/>
        </w:rPr>
        <w:t>“</w:t>
      </w:r>
      <w:r>
        <w:rPr>
          <w:rFonts w:ascii="Microsoft Himalaya" w:hAnsi="Microsoft Himalaya" w:eastAsia="Microsoft Himalaya" w:cs="Microsoft Himalaya"/>
        </w:rPr>
        <w:t>ཐིག་ཐོག་ཐིག</w:t>
      </w:r>
      <w:r>
        <w:rPr>
          <w:rFonts w:ascii="Times New Roman" w:hAnsi="Times New Roman" w:eastAsia="Times New Roman" w:cs="Times New Roman"/>
        </w:rPr>
        <w:t xml:space="preserve">” </w:t>
      </w:r>
      <w:r>
        <w:rPr>
          <w:rFonts w:ascii="Microsoft Himalaya" w:hAnsi="Microsoft Himalaya" w:eastAsia="Microsoft Himalaya" w:cs="Microsoft Himalaya"/>
        </w:rPr>
        <w:t>ཞེས་པའི་ཐབས་ལམ་མེད་ན།</w:t>
      </w:r>
      <w:r>
        <w:rPr>
          <w:rFonts w:ascii="Times New Roman" w:hAnsi="Times New Roman" w:eastAsia="Times New Roman" w:cs="Times New Roman"/>
        </w:rPr>
        <w:t xml:space="preserve"> </w:t>
      </w:r>
      <w:r>
        <w:rPr>
          <w:rFonts w:ascii="Microsoft Himalaya" w:hAnsi="Microsoft Himalaya" w:eastAsia="Microsoft Himalaya" w:cs="Microsoft Himalaya"/>
        </w:rPr>
        <w:t>འདི་ནི་མཐོང་མི་ནུས་པ་ཡིན་པ་ནི་ངེས་པར་ཡིན།</w:t>
      </w:r>
    </w:p>
    <w:p>
      <w:pPr>
        <w:pStyle w:val="ArticleBody"/>
        <w:jc w:val="left"/>
      </w:pP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जटिल</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उन्मोचन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p>
    <w:p>
      <w:pPr>
        <w:pStyle w:val="ArticleBody"/>
        <w:jc w:val="left"/>
      </w:pPr>
      <w:r>
        <w:rPr>
          <w:rFonts w:ascii="Times New Roman" w:hAnsi="Times New Roman" w:eastAsia="Times New Roman" w:cs="Times New Roman"/>
        </w:rPr>
        <w:t>Beynebîzzar’a xəbərdarlıq edilən hökmün gəlmə vaxtı yetişəndə, bu gəliş 22 Oktyabr 1844-cü ili, yəni təhqiqat hökmünün başlandığı zamanı timsal edirdi. Dördüncü fəsildə həm Daniyel tərəfindən verilən xəbərdarlıq ismarıcı, həm də həmin xəbərdarlıq ismarıcı ilə əlaqəli hökmün gəlişi “saat” sözü ilə təmsil olunmuşdu. Beynebîzzar’ın hökmünün “saat”ı, birinci mələyin ismarıcındakı Allahın hökmünün “saat”ını təmsil edirdi. Bu, həmçinin Allahın icraedici hökmünün başlandığı Bazar qanununun “saat”ını da timsal edirdi. Daniyel kitabının dördüncü fəslində birinci mələyin ismarıcının 1798-ci ildə gəlişini və 22 Oktyabr 1844-də üçüncü mələyin gəlişini — “saat” sözü ilə simvollaşdırılan bu hadisəni — təmsil edən hissə sonra təkrar olunur və genişləndirilir. Təkrar et və genişləndir üsulu peyğəmbərlikdə dəfələrlə rast gəlinən bir peyğəmbərlik üsuludur, lakin xüsusilə Daniyel kitabında.</w:t>
      </w:r>
    </w:p>
    <w:p>
      <w:pPr>
        <w:pStyle w:val="ArticleBody"/>
        <w:jc w:val="left"/>
      </w:pPr>
      <w:r>
        <w:rPr>
          <w:rFonts w:ascii="Times New Roman" w:hAnsi="Times New Roman" w:eastAsia="Times New Roman" w:cs="Times New Roman"/>
        </w:rPr>
        <w:t>Ka Nebukadnesar i bydel deg ar “awa” ti panangukom, dagiti “pito a panawen,” dayta ti panangukomna, ket kas ari ti akin-amianan, isu kalpasanna ti nangibagi iti panangukom a naipataw iti akin-amianan a pagarian ti Israel idi 723 BC. Naikkanna iti puso ti maysa a animal, ket ti animal ket maysa a pagarian iti padto ti Biblia, ket manipud idi 723 BC agingga iti 1798, inrepresentarna dagiti dua a langa ti pagano a kadawyan unay a pagsasaritaan iti libro ni Daniel.</w:t>
      </w:r>
    </w:p>
    <w:p>
      <w:pPr>
        <w:pStyle w:val="ArticleBody"/>
        <w:jc w:val="left"/>
      </w:pPr>
      <w:r>
        <w:rPr>
          <w:rFonts w:ascii="Times New Roman" w:hAnsi="Times New Roman" w:eastAsia="Times New Roman" w:cs="Times New Roman"/>
        </w:rPr>
        <w:t>Сиккəз йүз алтмыш көн дауамында, сиккəз йүз алтмыш йилни билдүрүп, у бутпәрәсликниң вәйран қилғучи қудритини вәкиллик қилди; андин йәнә сиккəз йүз алтмыш көн, сиккəз йүз алтмыш йилниң символи сүпитидә, у папилиқниң вәйран қилғучи қудритини вәкиллик қилди. Икки вәйран қилғучи қудритниң қәлби бир иди, чүнки папилиқ пәқәтла христианлиқ кәспини кийгән бутпәрәсликтур.</w:t>
      </w:r>
    </w:p>
    <w:p>
      <w:pPr>
        <w:pStyle w:val="ArticleBody"/>
        <w:jc w:val="left"/>
      </w:pPr>
      <w:r>
        <w:rPr>
          <w:rFonts w:ascii="Times New Roman" w:hAnsi="Times New Roman" w:eastAsia="Times New Roman" w:cs="Times New Roman"/>
        </w:rPr>
        <w:t>“amuybba akked ussan,” i d-yezga d asemmad yettwasnen deg yixef wis mraw sin n Danyal, i d-yeskanen “akud n taggara” deg 1798, tagelda-s tettwarr-d-as. Ccahda n Danyal 4, akked Ruḥ n Tineẓri, tettwasnekd-d belli mi tettwarr-d-as tgelda-s deg “amuybba akked ussan,” yella d argaz yettubeddlen. Sinna yuɣal d asemmad unbiyi n ukuz n tidets tixatartin. Yuɣal d tuqqna tanbiyyit gar tazmert n wezrem n tpaganit, i yemmugen deg uneggaru amezwaru n “saɛa n tikwal”-is, akked tazmert n weḥc, i yemmugen deg uneggaru aneggaru n “saɛa n tikwal”-is. S usemmad n snat-a n tezmar, mi yebdad d tagelda yettwarren deg 1798, sinna yemmal-d tazmert tis tlata n usexreb (nnbi n tkerkas), i ilaqen ad tḥekkem i saɛin n iseggasen izamulen, mi tettun d taɣilt n Ṭur. S lmelk n Babilun, Nabu-kadnazar yemmal-d tuqqna tanbiyyit gar tlata n tezmar ara yuɣalen d Babilun tamirant deg wussan ineggura, i d-iteddun s umadan meṛṛa ɣer Armageddun.</w:t>
      </w:r>
    </w:p>
    <w:p>
      <w:pPr>
        <w:pStyle w:val="ArticleBody"/>
        <w:jc w:val="left"/>
      </w:pPr>
      <w:r>
        <w:rPr>
          <w:rFonts w:ascii="Times New Roman" w:hAnsi="Times New Roman" w:eastAsia="Times New Roman" w:cs="Times New Roman"/>
        </w:rPr>
        <w:t>Tinin suyu net arar Amerika Bisriktin mawlid ki ay tawaqqaʻtam ugan yaʼanūm 1798 ka-lamb, tamšīl min khibrataw maqhūb. Tinin suyu net yarram šiḥatayn ʿalā ugan yaʼanūm, ka-Republicanism wa-Protestantism tamšīlin quwwat Amerika Bisriktin, wa-hāda huwwa al-lī attāhā li-tṣīr akṯar umma marḍiyya fī l-ʿālam. Lākin fī nihāyat as-sabʿīn sana ar-ramziyya, šiḥatayn dīk baʿd tinin suyu net tamšīlin ka-Republicanism murtadda wa-Protestantism murtadda, wa-kil šiḥa munqasima ilā ṣinfayn. Šiḥat Republicanism takūn min ḥizb ad-Democratic allī yajḥad ʿalāniyyan al-mabādiʼ al-muqaddasa li-d-Dustūr, wa-ḥizb ar-Republican allī yaʿtarif bi-annuhum ḥumāt wa-abṭāl ad-Dustūr, lākin fī l-ḥaqīqa yunkirūn al-mabādiʼ al-muqaddasa li-d-Dustūr, maʿa iḫtiyārihim at-taqālīd wa-l-ʿādāt li-tatafawwaq ʿalā al-mabādiʼ allī fī dhāk al-waṯīqa al-muqaddasa.</w:t>
      </w:r>
    </w:p>
    <w:p>
      <w:pPr>
        <w:pStyle w:val="ArticleBody"/>
        <w:jc w:val="left"/>
      </w:pPr>
      <w:r>
        <w:rPr>
          <w:rFonts w:ascii="Myanmar Text" w:hAnsi="Myanmar Text" w:eastAsia="Myanmar Text" w:cs="Myanmar Text"/>
        </w:rPr>
        <w:t>ဒီအုပ်စုနှစ်စုကို</w:t>
      </w:r>
      <w:r>
        <w:rPr>
          <w:rFonts w:ascii="Times New Roman" w:hAnsi="Times New Roman" w:eastAsia="Times New Roman" w:cs="Times New Roman"/>
        </w:rPr>
        <w:t xml:space="preserve"> </w:t>
      </w:r>
      <w:r>
        <w:rPr>
          <w:rFonts w:ascii="Myanmar Text" w:hAnsi="Myanmar Text" w:eastAsia="Myanmar Text" w:cs="Myanmar Text"/>
        </w:rPr>
        <w:t>ခရစ်တော်၏ခေတ်၌</w:t>
      </w:r>
      <w:r>
        <w:rPr>
          <w:rFonts w:ascii="Times New Roman" w:hAnsi="Times New Roman" w:eastAsia="Times New Roman" w:cs="Times New Roman"/>
        </w:rPr>
        <w:t xml:space="preserve"> </w:t>
      </w:r>
      <w:r>
        <w:rPr>
          <w:rFonts w:ascii="Myanmar Text" w:hAnsi="Myanmar Text" w:eastAsia="Myanmar Text" w:cs="Myanmar Text"/>
        </w:rPr>
        <w:t>စဒ္ဒုကဲများနှင့်</w:t>
      </w:r>
      <w:r>
        <w:rPr>
          <w:rFonts w:ascii="Times New Roman" w:hAnsi="Times New Roman" w:eastAsia="Times New Roman" w:cs="Times New Roman"/>
        </w:rPr>
        <w:t xml:space="preserve"> </w:t>
      </w:r>
      <w:r>
        <w:rPr>
          <w:rFonts w:ascii="Myanmar Text" w:hAnsi="Myanmar Text" w:eastAsia="Myanmar Text" w:cs="Myanmar Text"/>
        </w:rPr>
        <w:t>ဖာရိရှဲများအားဖြင့်</w:t>
      </w:r>
      <w:r>
        <w:rPr>
          <w:rFonts w:ascii="Times New Roman" w:hAnsi="Times New Roman" w:eastAsia="Times New Roman" w:cs="Times New Roman"/>
        </w:rPr>
        <w:t xml:space="preserve"> </w:t>
      </w:r>
      <w:r>
        <w:rPr>
          <w:rFonts w:ascii="Myanmar Text" w:hAnsi="Myanmar Text" w:eastAsia="Myanmar Text" w:cs="Myanmar Text"/>
        </w:rPr>
        <w:t>ပုံဆောင်ပြထားခဲ့သည်။</w:t>
      </w:r>
      <w:r>
        <w:rPr>
          <w:rFonts w:ascii="Times New Roman" w:hAnsi="Times New Roman" w:eastAsia="Times New Roman" w:cs="Times New Roman"/>
        </w:rPr>
        <w:t xml:space="preserve"> </w:t>
      </w:r>
      <w:r>
        <w:rPr>
          <w:rFonts w:ascii="Myanmar Text" w:hAnsi="Myanmar Text" w:eastAsia="Myanmar Text" w:cs="Myanmar Text"/>
        </w:rPr>
        <w:t>စဒ္ဒုကဲနှင့်</w:t>
      </w:r>
      <w:r>
        <w:rPr>
          <w:rFonts w:ascii="Times New Roman" w:hAnsi="Times New Roman" w:eastAsia="Times New Roman" w:cs="Times New Roman"/>
        </w:rPr>
        <w:t xml:space="preserve"> </w:t>
      </w:r>
      <w:r>
        <w:rPr>
          <w:rFonts w:ascii="Myanmar Text" w:hAnsi="Myanmar Text" w:eastAsia="Myanmar Text" w:cs="Myanmar Text"/>
        </w:rPr>
        <w:t>ဖာရိရှဲတို့၏ဝိညာဉ်သဘောသည်လည်း</w:t>
      </w:r>
      <w:r>
        <w:rPr>
          <w:rFonts w:ascii="Times New Roman" w:hAnsi="Times New Roman" w:eastAsia="Times New Roman" w:cs="Times New Roman"/>
        </w:rPr>
        <w:t xml:space="preserve"> </w:t>
      </w:r>
      <w:r>
        <w:rPr>
          <w:rFonts w:ascii="Myanmar Text" w:hAnsi="Myanmar Text" w:eastAsia="Myanmar Text" w:cs="Myanmar Text"/>
        </w:rPr>
        <w:t>အယူလွဲပရိုတက်စတင့်ဝါဒ၏</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ထင်ရှားပေါ်လွင်မည်ဖြစ်ပြီး၊</w:t>
      </w:r>
      <w:r>
        <w:rPr>
          <w:rFonts w:ascii="Times New Roman" w:hAnsi="Times New Roman" w:eastAsia="Times New Roman" w:cs="Times New Roman"/>
        </w:rPr>
        <w:t xml:space="preserve"> </w:t>
      </w:r>
      <w:r>
        <w:rPr>
          <w:rFonts w:ascii="Myanmar Text" w:hAnsi="Myanmar Text" w:eastAsia="Myanmar Text" w:cs="Myanmar Text"/>
        </w:rPr>
        <w:t>အုပ်စုတစ်စုက</w:t>
      </w:r>
      <w:r>
        <w:rPr>
          <w:rFonts w:ascii="Times New Roman" w:hAnsi="Times New Roman" w:eastAsia="Times New Roman" w:cs="Times New Roman"/>
        </w:rPr>
        <w:t xml:space="preserve"> </w:t>
      </w:r>
      <w:r>
        <w:rPr>
          <w:rFonts w:ascii="Myanmar Text" w:hAnsi="Myanmar Text" w:eastAsia="Myanmar Text" w:cs="Myanmar Text"/>
        </w:rPr>
        <w:t>တနင်္ဂနွေနေ့ဝတ်ပြုခြင်းကို</w:t>
      </w:r>
      <w:r>
        <w:rPr>
          <w:rFonts w:ascii="Times New Roman" w:hAnsi="Times New Roman" w:eastAsia="Times New Roman" w:cs="Times New Roman"/>
        </w:rPr>
        <w:t xml:space="preserve"> </w:t>
      </w:r>
      <w:r>
        <w:rPr>
          <w:rFonts w:ascii="Myanmar Text" w:hAnsi="Myanmar Text" w:eastAsia="Myanmar Text" w:cs="Myanmar Text"/>
        </w:rPr>
        <w:t>ထိန်းသိမ်းအားပေးကာ</w:t>
      </w:r>
      <w:r>
        <w:rPr>
          <w:rFonts w:ascii="Times New Roman" w:hAnsi="Times New Roman" w:eastAsia="Times New Roman" w:cs="Times New Roman"/>
        </w:rPr>
        <w:t xml:space="preserve"> </w:t>
      </w:r>
      <w:r>
        <w:rPr>
          <w:rFonts w:ascii="Myanmar Text" w:hAnsi="Myanmar Text" w:eastAsia="Myanmar Text" w:cs="Myanmar Text"/>
        </w:rPr>
        <w:t>အခြားအုပ်စုက</w:t>
      </w:r>
      <w:r>
        <w:rPr>
          <w:rFonts w:ascii="Times New Roman" w:hAnsi="Times New Roman" w:eastAsia="Times New Roman" w:cs="Times New Roman"/>
        </w:rPr>
        <w:t xml:space="preserve"> </w:t>
      </w:r>
      <w:r>
        <w:rPr>
          <w:rFonts w:ascii="Myanmar Text" w:hAnsi="Myanmar Text" w:eastAsia="Myanmar Text" w:cs="Myanmar Text"/>
        </w:rPr>
        <w:t>ဥပုသ်နေ့ဝတ်ပြုခြင်းကို</w:t>
      </w:r>
      <w:r>
        <w:rPr>
          <w:rFonts w:ascii="Times New Roman" w:hAnsi="Times New Roman" w:eastAsia="Times New Roman" w:cs="Times New Roman"/>
        </w:rPr>
        <w:t xml:space="preserve"> </w:t>
      </w:r>
      <w:r>
        <w:rPr>
          <w:rFonts w:ascii="Myanmar Text" w:hAnsi="Myanmar Text" w:eastAsia="Myanmar Text" w:cs="Myanmar Text"/>
        </w:rPr>
        <w:t>ထိန်းသိမ်းအားပေးမည်ဖြစ်သည်။</w:t>
      </w:r>
      <w:r>
        <w:rPr>
          <w:rFonts w:ascii="Times New Roman" w:hAnsi="Times New Roman" w:eastAsia="Times New Roman" w:cs="Times New Roman"/>
        </w:rPr>
        <w:t xml:space="preserve"> “</w:t>
      </w:r>
      <w:r>
        <w:rPr>
          <w:rFonts w:ascii="Myanmar Text" w:hAnsi="Myanmar Text" w:eastAsia="Myanmar Text" w:cs="Myanmar Text"/>
        </w:rPr>
        <w:t>ကာလတို့၏အဆုံး</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နေဗုခဒ်နေဇာ၏</w:t>
      </w:r>
      <w:r>
        <w:rPr>
          <w:rFonts w:ascii="Times New Roman" w:hAnsi="Times New Roman" w:eastAsia="Times New Roman" w:cs="Times New Roman"/>
        </w:rPr>
        <w:t xml:space="preserve"> </w:t>
      </w:r>
      <w:r>
        <w:rPr>
          <w:rFonts w:ascii="Myanmar Text" w:hAnsi="Myanmar Text" w:eastAsia="Myanmar Text" w:cs="Myanmar Text"/>
        </w:rPr>
        <w:t>ပြောင်းလဲခြင်းခံရသောအခြေအနေသည်</w:t>
      </w:r>
      <w:r>
        <w:rPr>
          <w:rFonts w:ascii="Times New Roman" w:hAnsi="Times New Roman" w:eastAsia="Times New Roman" w:cs="Times New Roman"/>
        </w:rPr>
        <w:t xml:space="preserve"> </w:t>
      </w:r>
      <w:r>
        <w:rPr>
          <w:rFonts w:ascii="Myanmar Text" w:hAnsi="Myanmar Text" w:eastAsia="Myanmar Text" w:cs="Myanmar Text"/>
        </w:rPr>
        <w:t>အမေရိကန်ပြည်ထောင်စုနှင့်</w:t>
      </w:r>
      <w:r>
        <w:rPr>
          <w:rFonts w:ascii="Times New Roman" w:hAnsi="Times New Roman" w:eastAsia="Times New Roman" w:cs="Times New Roman"/>
        </w:rPr>
        <w:t xml:space="preserve"> </w:t>
      </w:r>
      <w:r>
        <w:rPr>
          <w:rFonts w:ascii="Myanmar Text" w:hAnsi="Myanmar Text" w:eastAsia="Myanmar Text" w:cs="Myanmar Text"/>
        </w:rPr>
        <w:t>မြေတိရစ္ဆာန်၏</w:t>
      </w:r>
      <w:r>
        <w:rPr>
          <w:rFonts w:ascii="Times New Roman" w:hAnsi="Times New Roman" w:eastAsia="Times New Roman" w:cs="Times New Roman"/>
        </w:rPr>
        <w:t xml:space="preserve"> </w:t>
      </w:r>
      <w:r>
        <w:rPr>
          <w:rFonts w:ascii="Myanmar Text" w:hAnsi="Myanmar Text" w:eastAsia="Myanmar Text" w:cs="Myanmar Text"/>
        </w:rPr>
        <w:t>ချိုနှစ်ချောင်းစလုံးကို</w:t>
      </w:r>
      <w:r>
        <w:rPr>
          <w:rFonts w:ascii="Times New Roman" w:hAnsi="Times New Roman" w:eastAsia="Times New Roman" w:cs="Times New Roman"/>
        </w:rPr>
        <w:t xml:space="preserve"> </w:t>
      </w:r>
      <w:r>
        <w:rPr>
          <w:rFonts w:ascii="Myanmar Text" w:hAnsi="Myanmar Text" w:eastAsia="Myanmar Text" w:cs="Myanmar Text"/>
        </w:rPr>
        <w:t>သင့်လျော်စွာ</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ဤသင်္ကေတသုံးရပ်လုံး</w:t>
      </w:r>
      <w:r>
        <w:rPr>
          <w:rFonts w:ascii="Times New Roman" w:hAnsi="Times New Roman" w:eastAsia="Times New Roman" w:cs="Times New Roman"/>
        </w:rPr>
        <w:t>—</w:t>
      </w:r>
      <w:r>
        <w:rPr>
          <w:rFonts w:ascii="Myanmar Text" w:hAnsi="Myanmar Text" w:eastAsia="Myanmar Text" w:cs="Myanmar Text"/>
        </w:rPr>
        <w:t>မြေတိရစ္ဆာန်နှင့်</w:t>
      </w:r>
      <w:r>
        <w:rPr>
          <w:rFonts w:ascii="Times New Roman" w:hAnsi="Times New Roman" w:eastAsia="Times New Roman" w:cs="Times New Roman"/>
        </w:rPr>
        <w:t xml:space="preserve"> </w:t>
      </w:r>
      <w:r>
        <w:rPr>
          <w:rFonts w:ascii="Myanmar Text" w:hAnsi="Myanmar Text" w:eastAsia="Myanmar Text" w:cs="Myanmar Text"/>
        </w:rPr>
        <w:t>၎င်း၏ချိုနှစ်ချောင်း</w:t>
      </w:r>
      <w:r>
        <w:rPr>
          <w:rFonts w:ascii="Times New Roman" w:hAnsi="Times New Roman" w:eastAsia="Times New Roman" w:cs="Times New Roman"/>
        </w:rPr>
        <w:t>—</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သိုးကလေးမှ</w:t>
      </w:r>
      <w:r>
        <w:rPr>
          <w:rFonts w:ascii="Times New Roman" w:hAnsi="Times New Roman" w:eastAsia="Times New Roman" w:cs="Times New Roman"/>
        </w:rPr>
        <w:t xml:space="preserve"> </w:t>
      </w:r>
      <w:r>
        <w:rPr>
          <w:rFonts w:ascii="Myanmar Text" w:hAnsi="Myanmar Text" w:eastAsia="Myanmar Text" w:cs="Myanmar Text"/>
        </w:rPr>
        <w:t>နဂါးသို့</w:t>
      </w:r>
      <w:r>
        <w:rPr>
          <w:rFonts w:ascii="Times New Roman" w:hAnsi="Times New Roman" w:eastAsia="Times New Roman" w:cs="Times New Roman"/>
        </w:rPr>
        <w:t xml:space="preserve"> </w:t>
      </w:r>
      <w:r>
        <w:rPr>
          <w:rFonts w:ascii="Myanmar Text" w:hAnsi="Myanmar Text" w:eastAsia="Myanmar Text" w:cs="Myanmar Text"/>
        </w:rPr>
        <w:t>ပြောင်းလဲရမည့်</w:t>
      </w:r>
      <w:r>
        <w:rPr>
          <w:rFonts w:ascii="Times New Roman" w:hAnsi="Times New Roman" w:eastAsia="Times New Roman" w:cs="Times New Roman"/>
        </w:rPr>
        <w:t xml:space="preserve"> </w:t>
      </w:r>
      <w:r>
        <w:rPr>
          <w:rFonts w:ascii="Myanmar Text" w:hAnsi="Myanmar Text" w:eastAsia="Myanmar Text" w:cs="Myanmar Text"/>
        </w:rPr>
        <w:t>ကံကြမ္မာကို</w:t>
      </w:r>
      <w:r>
        <w:rPr>
          <w:rFonts w:ascii="Times New Roman" w:hAnsi="Times New Roman" w:eastAsia="Times New Roman" w:cs="Times New Roman"/>
        </w:rPr>
        <w:t xml:space="preserve"> </w:t>
      </w:r>
      <w:r>
        <w:rPr>
          <w:rFonts w:ascii="Myanmar Text" w:hAnsi="Myanmar Text" w:eastAsia="Myanmar Text" w:cs="Myanmar Text"/>
        </w:rPr>
        <w:t>ချမှတ်ခံထားရသည်။</w:t>
      </w:r>
    </w:p>
    <w:p>
      <w:pPr>
        <w:pStyle w:val="ArticleBody"/>
        <w:jc w:val="left"/>
      </w:pPr>
      <w:r>
        <w:rPr>
          <w:rFonts w:ascii="Times New Roman" w:hAnsi="Times New Roman" w:eastAsia="Times New Roman" w:cs="Times New Roman"/>
        </w:rPr>
        <w:t>Nabucodonosor, al término de sus «siete tiempos», representó el vínculo que identificaba su reino literal de Babilonia como el símbolo de la Babilonia moderna en los postreros días, la cual está compuesta por el dragón, la bestia y el falso profeta. También representó las tres entidades proféticas simbolizadas por la bestia de la tierra con dos cuernos, que se transforma de cordero en dragón durante los setenta años simbólicos en que la ramera de Tiro es olvidada. Es profundo que su reino literal sea precisamente el reino que tipifica el reino que reina durante setenta años simbólicos.</w:t>
      </w:r>
    </w:p>
    <w:p>
      <w:pPr>
        <w:pStyle w:val="ArticleBody"/>
        <w:jc w:val="left"/>
      </w:pPr>
      <w:r>
        <w:rPr>
          <w:rFonts w:ascii="Times New Roman" w:hAnsi="Times New Roman" w:eastAsia="Times New Roman" w:cs="Times New Roman"/>
        </w:rPr>
        <w:t>Simbolismu Nebuchadnezzar nian iha kapítulu haat tenke tau iha leten kapítulu ida. Bainhira aplikasaun ne’e halo, nia hamutuk marka dalan sira hosi istória Millerita, no confirma verdade barak hosi vizáun mota Ulai nian ne’ebé iha tempu ne’ebá mak loke tiha. Fundasaun no koluna sentrál husi movimentu Millerita mak pergunta no resposta hosi Daniel kapítulu hitu, no versíkulu sanulu resin tolu no sanulu resin haat. Pergunta ne’e mak, “To’o bainhira mak vizáun kona-ba sakrifísiu lorloron, no transgresaun husi dezolasaun, atu fó santuáriu no ehors no mós hoste atu hetan hakruuk iha ain okos?”</w:t>
      </w:r>
    </w:p>
    <w:p>
      <w:pPr>
        <w:pStyle w:val="ArticleBody"/>
        <w:jc w:val="left"/>
      </w:pPr>
      <w:r>
        <w:rPr>
          <w:rFonts w:ascii="Nirmala UI" w:hAnsi="Nirmala UI" w:eastAsia="Nirmala UI" w:cs="Nirmala UI"/>
        </w:rPr>
        <w:t>ಬೈಬಲ್</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ಸೇರಿಸಲ್ಪಟ್ಟ</w:t>
      </w:r>
      <w:r>
        <w:rPr>
          <w:rFonts w:ascii="Times New Roman" w:hAnsi="Times New Roman" w:eastAsia="Times New Roman" w:cs="Times New Roman"/>
        </w:rPr>
        <w:t xml:space="preserve"> </w:t>
      </w:r>
      <w:r>
        <w:rPr>
          <w:rFonts w:ascii="Nirmala UI" w:hAnsi="Nirmala UI" w:eastAsia="Nirmala UI" w:cs="Nirmala UI"/>
        </w:rPr>
        <w:t>ನೂರಾರು</w:t>
      </w:r>
      <w:r>
        <w:rPr>
          <w:rFonts w:ascii="Times New Roman" w:hAnsi="Times New Roman" w:eastAsia="Times New Roman" w:cs="Times New Roman"/>
        </w:rPr>
        <w:t xml:space="preserve">, </w:t>
      </w:r>
      <w:r>
        <w:rPr>
          <w:rFonts w:ascii="Nirmala UI" w:hAnsi="Nirmala UI" w:eastAsia="Nirmala UI" w:cs="Nirmala UI"/>
        </w:rPr>
        <w:t>ಇಲ್ಲವೇ</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w:t>
      </w:r>
      <w:r>
        <w:rPr>
          <w:rFonts w:ascii="Nirmala UI" w:hAnsi="Nirmala UI" w:eastAsia="Nirmala UI" w:cs="Nirmala UI"/>
        </w:rPr>
        <w:t>ಪದಗಳಲ್ಲಿ</w:t>
      </w:r>
      <w:r>
        <w:rPr>
          <w:rFonts w:ascii="Times New Roman" w:hAnsi="Times New Roman" w:eastAsia="Times New Roman" w:cs="Times New Roman"/>
        </w:rPr>
        <w:t xml:space="preserve">, </w:t>
      </w:r>
      <w:r>
        <w:rPr>
          <w:rFonts w:ascii="Nirmala UI" w:hAnsi="Nirmala UI" w:eastAsia="Nirmala UI" w:cs="Nirmala UI"/>
        </w:rPr>
        <w:t>ಪ್ರೇರಣೆಯು</w:t>
      </w:r>
      <w:r>
        <w:rPr>
          <w:rFonts w:ascii="Times New Roman" w:hAnsi="Times New Roman" w:eastAsia="Times New Roman" w:cs="Times New Roman"/>
        </w:rPr>
        <w:t xml:space="preserve"> </w:t>
      </w:r>
      <w:r>
        <w:rPr>
          <w:rFonts w:ascii="Nirmala UI" w:hAnsi="Nirmala UI" w:eastAsia="Nirmala UI" w:cs="Nirmala UI"/>
        </w:rPr>
        <w:t>ಪಾಠ್ಯಕ್ಕೆ</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ಗುರುತಿಸುವುದು</w:t>
      </w:r>
      <w:r>
        <w:rPr>
          <w:rFonts w:ascii="Times New Roman" w:hAnsi="Times New Roman" w:eastAsia="Times New Roman" w:cs="Times New Roman"/>
        </w:rPr>
        <w:t xml:space="preserve"> </w:t>
      </w:r>
      <w:r>
        <w:rPr>
          <w:rFonts w:ascii="Nirmala UI" w:hAnsi="Nirmala UI" w:eastAsia="Nirmala UI" w:cs="Nirmala UI"/>
        </w:rPr>
        <w:t>ಸೇರಿಸಲ್ಪಟ್ಟ</w:t>
      </w:r>
      <w:r>
        <w:rPr>
          <w:rFonts w:ascii="Times New Roman" w:hAnsi="Times New Roman" w:eastAsia="Times New Roman" w:cs="Times New Roman"/>
        </w:rPr>
        <w:t xml:space="preserve"> “</w:t>
      </w:r>
      <w:r>
        <w:rPr>
          <w:rFonts w:ascii="Nirmala UI" w:hAnsi="Nirmala UI" w:eastAsia="Nirmala UI" w:cs="Nirmala UI"/>
        </w:rPr>
        <w:t>ಬಲಿ</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ಪದವನ್ನೇ</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ಪದವನ್ನು</w:t>
      </w:r>
      <w:r>
        <w:rPr>
          <w:rFonts w:ascii="Times New Roman" w:hAnsi="Times New Roman" w:eastAsia="Times New Roman" w:cs="Times New Roman"/>
        </w:rPr>
        <w:t xml:space="preserve"> </w:t>
      </w:r>
      <w:r>
        <w:rPr>
          <w:rFonts w:ascii="Nirmala UI" w:hAnsi="Nirmala UI" w:eastAsia="Nirmala UI" w:cs="Nirmala UI"/>
        </w:rPr>
        <w:t>ಸರಿಯಾಗಿ</w:t>
      </w:r>
      <w:r>
        <w:rPr>
          <w:rFonts w:ascii="Times New Roman" w:hAnsi="Times New Roman" w:eastAsia="Times New Roman" w:cs="Times New Roman"/>
        </w:rPr>
        <w:t xml:space="preserve"> </w:t>
      </w:r>
      <w:r>
        <w:rPr>
          <w:rFonts w:ascii="Nirmala UI" w:hAnsi="Nirmala UI" w:eastAsia="Nirmala UI" w:cs="Nirmala UI"/>
        </w:rPr>
        <w:t>ತೆಗೆದುಹಾಕಿದಾಗ</w:t>
      </w:r>
      <w:r>
        <w:rPr>
          <w:rFonts w:ascii="Times New Roman" w:hAnsi="Times New Roman" w:eastAsia="Times New Roman" w:cs="Times New Roman"/>
        </w:rPr>
        <w:t>, “</w:t>
      </w:r>
      <w:r>
        <w:rPr>
          <w:rFonts w:ascii="Nirmala UI" w:hAnsi="Nirmala UI" w:eastAsia="Nirmala UI" w:cs="Nirmala UI"/>
        </w:rPr>
        <w:t>ನಿತ್ಯವೂ</w:t>
      </w:r>
      <w:r>
        <w:rPr>
          <w:rFonts w:ascii="Times New Roman" w:hAnsi="Times New Roman" w:eastAsia="Times New Roman" w:cs="Times New Roman"/>
        </w:rPr>
        <w:t xml:space="preserve"> </w:t>
      </w:r>
      <w:r>
        <w:rPr>
          <w:rFonts w:ascii="Nirmala UI" w:hAnsi="Nirmala UI" w:eastAsia="Nirmala UI" w:cs="Nirmala UI"/>
        </w:rPr>
        <w:t>ಅಪರಾಧವೂ</w:t>
      </w:r>
      <w:r>
        <w:rPr>
          <w:rFonts w:ascii="Times New Roman" w:hAnsi="Times New Roman" w:eastAsia="Times New Roman" w:cs="Times New Roman"/>
        </w:rPr>
        <w:t xml:space="preserve">” </w:t>
      </w:r>
      <w:r>
        <w:rPr>
          <w:rFonts w:ascii="Nirmala UI" w:hAnsi="Nirmala UI" w:eastAsia="Nirmala UI" w:cs="Nirmala UI"/>
        </w:rPr>
        <w:t>ಎಂಬವು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ವಿಭಿನ್ನ</w:t>
      </w:r>
      <w:r>
        <w:rPr>
          <w:rFonts w:ascii="Times New Roman" w:hAnsi="Times New Roman" w:eastAsia="Times New Roman" w:cs="Times New Roman"/>
        </w:rPr>
        <w:t xml:space="preserve"> </w:t>
      </w:r>
      <w:r>
        <w:rPr>
          <w:rFonts w:ascii="Nirmala UI" w:hAnsi="Nirmala UI" w:eastAsia="Nirmala UI" w:cs="Nirmala UI"/>
        </w:rPr>
        <w:t>ಹಾಳುಗೊಳಿಸುವ</w:t>
      </w:r>
      <w:r>
        <w:rPr>
          <w:rFonts w:ascii="Times New Roman" w:hAnsi="Times New Roman" w:eastAsia="Times New Roman" w:cs="Times New Roman"/>
        </w:rPr>
        <w:t xml:space="preserve"> </w:t>
      </w:r>
      <w:r>
        <w:rPr>
          <w:rFonts w:ascii="Nirmala UI" w:hAnsi="Nirmala UI" w:eastAsia="Nirmala UI" w:cs="Nirmala UI"/>
        </w:rPr>
        <w:t>ಅಧಿಕಾರಗಳೆಂದು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ಸ್ಪಷ್ಟವಾಗಿ</w:t>
      </w:r>
      <w:r>
        <w:rPr>
          <w:rFonts w:ascii="Times New Roman" w:hAnsi="Times New Roman" w:eastAsia="Times New Roman" w:cs="Times New Roman"/>
        </w:rPr>
        <w:t xml:space="preserve"> </w:t>
      </w:r>
      <w:r>
        <w:rPr>
          <w:rFonts w:ascii="Nirmala UI" w:hAnsi="Nirmala UI" w:eastAsia="Nirmala UI" w:cs="Nirmala UI"/>
        </w:rPr>
        <w:t>ತೋರಿಸುತ್ತದೆ</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ಬಲಿ</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ಪದವು</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ಜ್ಞಾನದಿಂದ</w:t>
      </w:r>
      <w:r>
        <w:rPr>
          <w:rFonts w:ascii="Times New Roman" w:hAnsi="Times New Roman" w:eastAsia="Times New Roman" w:cs="Times New Roman"/>
        </w:rPr>
        <w:t xml:space="preserve"> </w:t>
      </w:r>
      <w:r>
        <w:rPr>
          <w:rFonts w:ascii="Nirmala UI" w:hAnsi="Nirmala UI" w:eastAsia="Nirmala UI" w:cs="Nirmala UI"/>
        </w:rPr>
        <w:t>ಸೇರಿಸಲ್ಪಟ್ಟದ್ದು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ಪಾಠ್ಯಕ್ಕೆ</w:t>
      </w:r>
      <w:r>
        <w:rPr>
          <w:rFonts w:ascii="Times New Roman" w:hAnsi="Times New Roman" w:eastAsia="Times New Roman" w:cs="Times New Roman"/>
        </w:rPr>
        <w:t xml:space="preserve"> </w:t>
      </w:r>
      <w:r>
        <w:rPr>
          <w:rFonts w:ascii="Nirmala UI" w:hAnsi="Nirmala UI" w:eastAsia="Nirmala UI" w:cs="Nirmala UI"/>
        </w:rPr>
        <w:t>ಅನ್ವಯಿಸುವುದಿಲ್ಲ</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ವಿಶೇಷವಾಗಿ</w:t>
      </w:r>
      <w:r>
        <w:rPr>
          <w:rFonts w:ascii="Times New Roman" w:hAnsi="Times New Roman" w:eastAsia="Times New Roman" w:cs="Times New Roman"/>
        </w:rPr>
        <w:t xml:space="preserve"> </w:t>
      </w:r>
      <w:r>
        <w:rPr>
          <w:rFonts w:ascii="Nirmala UI" w:hAnsi="Nirmala UI" w:eastAsia="Nirmala UI" w:cs="Nirmala UI"/>
        </w:rPr>
        <w:t>ಗುರುತಿಸುತ್ತಾರೆ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ಉಲ್ಲೇಖದಲ್ಲಿ</w:t>
      </w:r>
      <w:r>
        <w:rPr>
          <w:rFonts w:ascii="Times New Roman" w:hAnsi="Times New Roman" w:eastAsia="Times New Roman" w:cs="Times New Roman"/>
        </w:rPr>
        <w:t>, “</w:t>
      </w:r>
      <w:r>
        <w:rPr>
          <w:rFonts w:ascii="Nirmala UI" w:hAnsi="Nirmala UI" w:eastAsia="Nirmala UI" w:cs="Nirmala UI"/>
        </w:rPr>
        <w:t>ನಿತ್ಯ</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ಪೌರಾಣಿಕ</w:t>
      </w:r>
      <w:r>
        <w:rPr>
          <w:rFonts w:ascii="Times New Roman" w:hAnsi="Times New Roman" w:eastAsia="Times New Roman" w:cs="Times New Roman"/>
        </w:rPr>
        <w:t xml:space="preserve"> </w:t>
      </w:r>
      <w:r>
        <w:rPr>
          <w:rFonts w:ascii="Nirmala UI" w:hAnsi="Nirmala UI" w:eastAsia="Nirmala UI" w:cs="Nirmala UI"/>
        </w:rPr>
        <w:t>ಮತವೆಂದು</w:t>
      </w:r>
      <w:r>
        <w:rPr>
          <w:rFonts w:ascii="Times New Roman" w:hAnsi="Times New Roman" w:eastAsia="Times New Roman" w:cs="Times New Roman"/>
        </w:rPr>
        <w:t xml:space="preserve"> </w:t>
      </w:r>
      <w:r>
        <w:rPr>
          <w:rFonts w:ascii="Nirmala UI" w:hAnsi="Nirmala UI" w:eastAsia="Nirmala UI" w:cs="Nirmala UI"/>
        </w:rPr>
        <w:t>ಗುರುತಿಸುವಲ್ಲಿ</w:t>
      </w:r>
      <w:r>
        <w:rPr>
          <w:rFonts w:ascii="Times New Roman" w:hAnsi="Times New Roman" w:eastAsia="Times New Roman" w:cs="Times New Roman"/>
        </w:rPr>
        <w:t xml:space="preserve"> </w:t>
      </w:r>
      <w:r>
        <w:rPr>
          <w:rFonts w:ascii="Nirmala UI" w:hAnsi="Nirmala UI" w:eastAsia="Nirmala UI" w:cs="Nirmala UI"/>
        </w:rPr>
        <w:t>ಮಿಲ್ಲರೈಟರು</w:t>
      </w:r>
      <w:r>
        <w:rPr>
          <w:rFonts w:ascii="Times New Roman" w:hAnsi="Times New Roman" w:eastAsia="Times New Roman" w:cs="Times New Roman"/>
        </w:rPr>
        <w:t xml:space="preserve"> </w:t>
      </w:r>
      <w:r>
        <w:rPr>
          <w:rFonts w:ascii="Nirmala UI" w:hAnsi="Nirmala UI" w:eastAsia="Nirmala UI" w:cs="Nirmala UI"/>
        </w:rPr>
        <w:t>ಸರಿಯಾಗಿದ್ದರು</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ಗುರುತಿಸುತ್ತಾರೆ</w:t>
      </w:r>
      <w:r>
        <w:rPr>
          <w:rFonts w:ascii="Times New Roman" w:hAnsi="Times New Roman" w:eastAsia="Times New Roman" w:cs="Times New Roman"/>
        </w:rPr>
        <w:t xml:space="preserve">. </w:t>
      </w:r>
      <w:r>
        <w:rPr>
          <w:rFonts w:ascii="Nirmala UI" w:hAnsi="Nirmala UI" w:eastAsia="Nirmala UI" w:cs="Nirmala UI"/>
        </w:rPr>
        <w:t>ಹದಿಮೂರನೇ</w:t>
      </w:r>
      <w:r>
        <w:rPr>
          <w:rFonts w:ascii="Times New Roman" w:hAnsi="Times New Roman" w:eastAsia="Times New Roman" w:cs="Times New Roman"/>
        </w:rPr>
        <w:t xml:space="preserve"> </w:t>
      </w:r>
      <w:r>
        <w:rPr>
          <w:rFonts w:ascii="Nirmala UI" w:hAnsi="Nirmala UI" w:eastAsia="Nirmala UI" w:cs="Nirmala UI"/>
        </w:rPr>
        <w:t>ವಚನದ</w:t>
      </w:r>
      <w:r>
        <w:rPr>
          <w:rFonts w:ascii="Times New Roman" w:hAnsi="Times New Roman" w:eastAsia="Times New Roman" w:cs="Times New Roman"/>
        </w:rPr>
        <w:t xml:space="preserve"> </w:t>
      </w:r>
      <w:r>
        <w:rPr>
          <w:rFonts w:ascii="Nirmala UI" w:hAnsi="Nirmala UI" w:eastAsia="Nirmala UI" w:cs="Nirmala UI"/>
        </w:rPr>
        <w:t>ಪ್ರಶ್ನೆಯೊಳಗಿನ</w:t>
      </w:r>
      <w:r>
        <w:rPr>
          <w:rFonts w:ascii="Times New Roman" w:hAnsi="Times New Roman" w:eastAsia="Times New Roman" w:cs="Times New Roman"/>
        </w:rPr>
        <w:t xml:space="preserve"> </w:t>
      </w:r>
      <w:r>
        <w:rPr>
          <w:rFonts w:ascii="Nirmala UI" w:hAnsi="Nirmala UI" w:eastAsia="Nirmala UI" w:cs="Nirmala UI"/>
        </w:rPr>
        <w:t>ವ್ಯಾಕರಣಾತ್ಮಕ</w:t>
      </w:r>
      <w:r>
        <w:rPr>
          <w:rFonts w:ascii="Times New Roman" w:hAnsi="Times New Roman" w:eastAsia="Times New Roman" w:cs="Times New Roman"/>
        </w:rPr>
        <w:t xml:space="preserve"> </w:t>
      </w:r>
      <w:r>
        <w:rPr>
          <w:rFonts w:ascii="Nirmala UI" w:hAnsi="Nirmala UI" w:eastAsia="Nirmala UI" w:cs="Nirmala UI"/>
        </w:rPr>
        <w:t>ಅಂಶಗಳನ್ನು</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ಬರಹಗಳ</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ಜಾಗರೂಕತೆಯಿಂದ</w:t>
      </w:r>
      <w:r>
        <w:rPr>
          <w:rFonts w:ascii="Times New Roman" w:hAnsi="Times New Roman" w:eastAsia="Times New Roman" w:cs="Times New Roman"/>
        </w:rPr>
        <w:t xml:space="preserve"> </w:t>
      </w:r>
      <w:r>
        <w:rPr>
          <w:rFonts w:ascii="Nirmala UI" w:hAnsi="Nirmala UI" w:eastAsia="Nirmala UI" w:cs="Nirmala UI"/>
        </w:rPr>
        <w:t>ಗುರುತಿಸಿದ್ದನು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ಪಾಠ್ಯಗಳನ್ನೂ</w:t>
      </w:r>
      <w:r>
        <w:rPr>
          <w:rFonts w:ascii="Times New Roman" w:hAnsi="Times New Roman" w:eastAsia="Times New Roman" w:cs="Times New Roman"/>
        </w:rPr>
        <w:t xml:space="preserve"> </w:t>
      </w:r>
      <w:r>
        <w:rPr>
          <w:rFonts w:ascii="Nirmala UI" w:hAnsi="Nirmala UI" w:eastAsia="Nirmala UI" w:cs="Nirmala UI"/>
        </w:rPr>
        <w:t>ಸೇರಿಸಲ್ಪಟ್ಟ</w:t>
      </w:r>
      <w:r>
        <w:rPr>
          <w:rFonts w:ascii="Times New Roman" w:hAnsi="Times New Roman" w:eastAsia="Times New Roman" w:cs="Times New Roman"/>
        </w:rPr>
        <w:t xml:space="preserve"> </w:t>
      </w:r>
      <w:r>
        <w:rPr>
          <w:rFonts w:ascii="Nirmala UI" w:hAnsi="Nirmala UI" w:eastAsia="Nirmala UI" w:cs="Nirmala UI"/>
        </w:rPr>
        <w:t>ಪ್ರೇರಿತ</w:t>
      </w:r>
      <w:r>
        <w:rPr>
          <w:rFonts w:ascii="Times New Roman" w:hAnsi="Times New Roman" w:eastAsia="Times New Roman" w:cs="Times New Roman"/>
        </w:rPr>
        <w:t xml:space="preserve"> </w:t>
      </w:r>
      <w:r>
        <w:rPr>
          <w:rFonts w:ascii="Nirmala UI" w:hAnsi="Nirmala UI" w:eastAsia="Nirmala UI" w:cs="Nirmala UI"/>
        </w:rPr>
        <w:t>ನಿರ್ದೇಶನಗಳನ್ನೂ</w:t>
      </w:r>
      <w:r>
        <w:rPr>
          <w:rFonts w:ascii="Times New Roman" w:hAnsi="Times New Roman" w:eastAsia="Times New Roman" w:cs="Times New Roman"/>
        </w:rPr>
        <w:t xml:space="preserve"> </w:t>
      </w:r>
      <w:r>
        <w:rPr>
          <w:rFonts w:ascii="Nirmala UI" w:hAnsi="Nirmala UI" w:eastAsia="Nirmala UI" w:cs="Nirmala UI"/>
        </w:rPr>
        <w:t>ಆಧಾರವನ್ನಾಗಿ</w:t>
      </w:r>
      <w:r>
        <w:rPr>
          <w:rFonts w:ascii="Times New Roman" w:hAnsi="Times New Roman" w:eastAsia="Times New Roman" w:cs="Times New Roman"/>
        </w:rPr>
        <w:t xml:space="preserve"> </w:t>
      </w:r>
      <w:r>
        <w:rPr>
          <w:rFonts w:ascii="Nirmala UI" w:hAnsi="Nirmala UI" w:eastAsia="Nirmala UI" w:cs="Nirmala UI"/>
        </w:rPr>
        <w:t>ಮಾಡಿಕೊಂಡಾಗ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ಪ್ರಶ್ನೆ</w:t>
      </w:r>
      <w:r>
        <w:rPr>
          <w:rFonts w:ascii="Times New Roman" w:hAnsi="Times New Roman" w:eastAsia="Times New Roman" w:cs="Times New Roman"/>
        </w:rPr>
        <w:t xml:space="preserve"> </w:t>
      </w:r>
      <w:r>
        <w:rPr>
          <w:rFonts w:ascii="Nirmala UI" w:hAnsi="Nirmala UI" w:eastAsia="Nirmala UI" w:cs="Nirmala UI"/>
        </w:rPr>
        <w:t>ಹೀಗಿದೆ</w:t>
      </w:r>
      <w:r>
        <w:rPr>
          <w:rFonts w:ascii="Times New Roman" w:hAnsi="Times New Roman" w:eastAsia="Times New Roman" w:cs="Times New Roman"/>
        </w:rPr>
        <w:t>: “</w:t>
      </w:r>
      <w:r>
        <w:rPr>
          <w:rFonts w:ascii="Nirmala UI" w:hAnsi="Nirmala UI" w:eastAsia="Nirmala UI" w:cs="Nirmala UI"/>
        </w:rPr>
        <w:t>ಪವಿತ್ರಾಲಯವನ್ನೂ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ಜನರನ್ನೂ</w:t>
      </w:r>
      <w:r>
        <w:rPr>
          <w:rFonts w:ascii="Times New Roman" w:hAnsi="Times New Roman" w:eastAsia="Times New Roman" w:cs="Times New Roman"/>
        </w:rPr>
        <w:t xml:space="preserve"> </w:t>
      </w:r>
      <w:r>
        <w:rPr>
          <w:rFonts w:ascii="Nirmala UI" w:hAnsi="Nirmala UI" w:eastAsia="Nirmala UI" w:cs="Nirmala UI"/>
        </w:rPr>
        <w:t>ತುಳಿದುಹಾಕಬೇಕಾಗಿದ್ದ</w:t>
      </w:r>
      <w:r>
        <w:rPr>
          <w:rFonts w:ascii="Times New Roman" w:hAnsi="Times New Roman" w:eastAsia="Times New Roman" w:cs="Times New Roman"/>
        </w:rPr>
        <w:t xml:space="preserve"> </w:t>
      </w:r>
      <w:r>
        <w:rPr>
          <w:rFonts w:ascii="Nirmala UI" w:hAnsi="Nirmala UI" w:eastAsia="Nirmala UI" w:cs="Nirmala UI"/>
        </w:rPr>
        <w:t>ಪೌರಾಣಿಕ</w:t>
      </w:r>
      <w:r>
        <w:rPr>
          <w:rFonts w:ascii="Times New Roman" w:hAnsi="Times New Roman" w:eastAsia="Times New Roman" w:cs="Times New Roman"/>
        </w:rPr>
        <w:t xml:space="preserve"> </w:t>
      </w:r>
      <w:r>
        <w:rPr>
          <w:rFonts w:ascii="Nirmala UI" w:hAnsi="Nirmala UI" w:eastAsia="Nirmala UI" w:cs="Nirmala UI"/>
        </w:rPr>
        <w:t>ಮತ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ಪಾಪಸತ್ವ</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ಹಾಳುಗೊಳಿಸುವ</w:t>
      </w:r>
      <w:r>
        <w:rPr>
          <w:rFonts w:ascii="Times New Roman" w:hAnsi="Times New Roman" w:eastAsia="Times New Roman" w:cs="Times New Roman"/>
        </w:rPr>
        <w:t xml:space="preserve"> </w:t>
      </w:r>
      <w:r>
        <w:rPr>
          <w:rFonts w:ascii="Nirmala UI" w:hAnsi="Nirmala UI" w:eastAsia="Nirmala UI" w:cs="Nirmala UI"/>
        </w:rPr>
        <w:t>ಅಧಿಕಾರಗಳ</w:t>
      </w:r>
      <w:r>
        <w:rPr>
          <w:rFonts w:ascii="Times New Roman" w:hAnsi="Times New Roman" w:eastAsia="Times New Roman" w:cs="Times New Roman"/>
        </w:rPr>
        <w:t xml:space="preserve"> </w:t>
      </w:r>
      <w:r>
        <w:rPr>
          <w:rFonts w:ascii="Nirmala UI" w:hAnsi="Nirmala UI" w:eastAsia="Nirmala UI" w:cs="Nirmala UI"/>
        </w:rPr>
        <w:t>ವಿಷಯವಾದ</w:t>
      </w:r>
      <w:r>
        <w:rPr>
          <w:rFonts w:ascii="Times New Roman" w:hAnsi="Times New Roman" w:eastAsia="Times New Roman" w:cs="Times New Roman"/>
        </w:rPr>
        <w:t xml:space="preserve"> </w:t>
      </w:r>
      <w:r>
        <w:rPr>
          <w:rFonts w:ascii="Nirmala UI" w:hAnsi="Nirmala UI" w:eastAsia="Nirmala UI" w:cs="Nirmala UI"/>
        </w:rPr>
        <w:t>ದರ್ಶನವು</w:t>
      </w:r>
      <w:r>
        <w:rPr>
          <w:rFonts w:ascii="Times New Roman" w:hAnsi="Times New Roman" w:eastAsia="Times New Roman" w:cs="Times New Roman"/>
        </w:rPr>
        <w:t xml:space="preserve"> </w:t>
      </w:r>
      <w:r>
        <w:rPr>
          <w:rFonts w:ascii="Nirmala UI" w:hAnsi="Nirmala UI" w:eastAsia="Nirmala UI" w:cs="Nirmala UI"/>
        </w:rPr>
        <w:t>ಎಷ್ಟು</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ಇರಲಿದೆ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Por lo tanto, cuando Nabucodonosor es situado en el “tiempo del fin”, en 1798, está representando a un hombre convertido y, por consiguiente, representa a los “sabios” que habrían de entender la columna central y el fundamento del adventismo. Su conversión identifica a los “sabios” que entienden el “aumento del conocimiento” que fue revelado en aquel tiempo; pero su propio simbolismo profético ilustra directamente la historia que es el tema de la pregunta: “¿Hasta cuándo durará la visión del poder desolador del paganismo y del papado, que hollaría al pueblo de Dios (el ejército) y al santuario de Dios?”. Como símbolo de una “virgen prudente” que entiende el “aumento del conocimiento”, él representa a Guillermo Miller, pues Miller es el símbolo de aquellos que fueron “sabios” en la historia que comenzó en el “tiempo del fin”, en 1798.</w:t>
      </w:r>
    </w:p>
    <w:p>
      <w:pPr>
        <w:pStyle w:val="ArticleBody"/>
        <w:jc w:val="left"/>
      </w:pP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w:t>
      </w:r>
      <w:r>
        <w:rPr>
          <w:rFonts w:ascii="Nirmala UI" w:hAnsi="Nirmala UI" w:eastAsia="Nirmala UI" w:cs="Nirmala UI"/>
        </w:rPr>
        <w:t>ದ</w:t>
      </w:r>
      <w:r>
        <w:rPr>
          <w:rFonts w:ascii="Times New Roman" w:hAnsi="Times New Roman" w:eastAsia="Times New Roman" w:cs="Times New Roman"/>
        </w:rPr>
        <w:t xml:space="preserve"> </w:t>
      </w:r>
      <w:r>
        <w:rPr>
          <w:rFonts w:ascii="Nirmala UI" w:hAnsi="Nirmala UI" w:eastAsia="Nirmala UI" w:cs="Nirmala UI"/>
        </w:rPr>
        <w:t>ಮಾರ್ಗಚಿಹ್ನೆಯ</w:t>
      </w:r>
      <w:r>
        <w:rPr>
          <w:rFonts w:ascii="Times New Roman" w:hAnsi="Times New Roman" w:eastAsia="Times New Roman" w:cs="Times New Roman"/>
        </w:rPr>
        <w:t xml:space="preserve"> </w:t>
      </w:r>
      <w:r>
        <w:rPr>
          <w:rFonts w:ascii="Nirmala UI" w:hAnsi="Nirmala UI" w:eastAsia="Nirmala UI" w:cs="Nirmala UI"/>
        </w:rPr>
        <w:t>ಪ್ರತೀಕನಾಗಿದ್ದಾನೆ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ಅನ್ವಯಿಸಿದಾಗ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ಕಾಲದಲ್ಲಿ</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ಆಗಮನವನ್ನೂ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ನಾಲ್ಕನೇ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ನೇಬೂಕದ್ನೆಚ್ಚರಿಗೆ</w:t>
      </w:r>
      <w:r>
        <w:rPr>
          <w:rFonts w:ascii="Times New Roman" w:hAnsi="Times New Roman" w:eastAsia="Times New Roman" w:cs="Times New Roman"/>
        </w:rPr>
        <w:t xml:space="preserve"> </w:t>
      </w:r>
      <w:r>
        <w:rPr>
          <w:rFonts w:ascii="Nirmala UI" w:hAnsi="Nirmala UI" w:eastAsia="Nirmala UI" w:cs="Nirmala UI"/>
        </w:rPr>
        <w:t>ಎಚ್ಚರಿಕೆಯ</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ನೀಡುವ</w:t>
      </w:r>
      <w:r>
        <w:rPr>
          <w:rFonts w:ascii="Times New Roman" w:hAnsi="Times New Roman" w:eastAsia="Times New Roman" w:cs="Times New Roman"/>
        </w:rPr>
        <w:t xml:space="preserve"> “</w:t>
      </w:r>
      <w:r>
        <w:rPr>
          <w:rFonts w:ascii="Nirmala UI" w:hAnsi="Nirmala UI" w:eastAsia="Nirmala UI" w:cs="Nirmala UI"/>
        </w:rPr>
        <w:t>ಗಂಟೆ</w:t>
      </w:r>
      <w:r>
        <w:rPr>
          <w:rFonts w:ascii="Times New Roman" w:hAnsi="Times New Roman" w:eastAsia="Times New Roman" w:cs="Times New Roman"/>
        </w:rPr>
        <w:t>”</w:t>
      </w:r>
      <w:r>
        <w:rPr>
          <w:rFonts w:ascii="Nirmala UI" w:hAnsi="Nirmala UI" w:eastAsia="Nirmala UI" w:cs="Nirmala UI"/>
        </w:rPr>
        <w:t>ಯು</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ಆಗಮಿಸಿದ</w:t>
      </w:r>
      <w:r>
        <w:rPr>
          <w:rFonts w:ascii="Times New Roman" w:hAnsi="Times New Roman" w:eastAsia="Times New Roman" w:cs="Times New Roman"/>
        </w:rPr>
        <w:t xml:space="preserve"> </w:t>
      </w:r>
      <w:r>
        <w:rPr>
          <w:rFonts w:ascii="Nirmala UI" w:hAnsi="Nirmala UI" w:eastAsia="Nirmala UI" w:cs="Nirmala UI"/>
        </w:rPr>
        <w:t>ಕಾಲವನ್ನು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1798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ನ್ಯಾಯತೀರ್ಪು</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ಗಂಟೆ</w:t>
      </w:r>
      <w:r>
        <w:rPr>
          <w:rFonts w:ascii="Times New Roman" w:hAnsi="Times New Roman" w:eastAsia="Times New Roman" w:cs="Times New Roman"/>
        </w:rPr>
        <w:t>”</w:t>
      </w:r>
      <w:r>
        <w:rPr>
          <w:rFonts w:ascii="Nirmala UI" w:hAnsi="Nirmala UI" w:eastAsia="Nirmala UI" w:cs="Nirmala UI"/>
        </w:rPr>
        <w:t>ಯು</w:t>
      </w:r>
      <w:r>
        <w:rPr>
          <w:rFonts w:ascii="Times New Roman" w:hAnsi="Times New Roman" w:eastAsia="Times New Roman" w:cs="Times New Roman"/>
        </w:rPr>
        <w:t>, 1844</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ಪರಿಶೋಧನಾತ್ಮಕ</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ಆರಂಭದ</w:t>
      </w:r>
      <w:r>
        <w:rPr>
          <w:rFonts w:ascii="Times New Roman" w:hAnsi="Times New Roman" w:eastAsia="Times New Roman" w:cs="Times New Roman"/>
        </w:rPr>
        <w:t xml:space="preserve"> “</w:t>
      </w:r>
      <w:r>
        <w:rPr>
          <w:rFonts w:ascii="Nirmala UI" w:hAnsi="Nirmala UI" w:eastAsia="Nirmala UI" w:cs="Nirmala UI"/>
        </w:rPr>
        <w:t>ಗಂಟೆ</w:t>
      </w:r>
      <w:r>
        <w:rPr>
          <w:rFonts w:ascii="Times New Roman" w:hAnsi="Times New Roman" w:eastAsia="Times New Roman" w:cs="Times New Roman"/>
        </w:rPr>
        <w:t>”</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ಪ್ರತಿನಿಧಿಸಿತು</w:t>
      </w:r>
      <w:r>
        <w:rPr>
          <w:rFonts w:ascii="Times New Roman" w:hAnsi="Times New Roman" w:eastAsia="Times New Roman" w:cs="Times New Roman"/>
        </w:rPr>
        <w:t xml:space="preserve">. </w:t>
      </w:r>
      <w:r>
        <w:rPr>
          <w:rFonts w:ascii="Nirmala UI" w:hAnsi="Nirmala UI" w:eastAsia="Nirmala UI" w:cs="Nirmala UI"/>
        </w:rPr>
        <w:t>ನಾಲ್ಕನೇ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ಪ್ರತೀಕತ್ವದಿಂದ</w:t>
      </w:r>
      <w:r>
        <w:rPr>
          <w:rFonts w:ascii="Times New Roman" w:hAnsi="Times New Roman" w:eastAsia="Times New Roman" w:cs="Times New Roman"/>
        </w:rPr>
        <w:t xml:space="preserve"> </w:t>
      </w:r>
      <w:r>
        <w:rPr>
          <w:rFonts w:ascii="Nirmala UI" w:hAnsi="Nirmala UI" w:eastAsia="Nirmala UI" w:cs="Nirmala UI"/>
        </w:rPr>
        <w:t>ಉತ್ಪನ್ನವಾಗುವ</w:t>
      </w:r>
      <w:r>
        <w:rPr>
          <w:rFonts w:ascii="Times New Roman" w:hAnsi="Times New Roman" w:eastAsia="Times New Roman" w:cs="Times New Roman"/>
        </w:rPr>
        <w:t xml:space="preserve"> </w:t>
      </w:r>
      <w:r>
        <w:rPr>
          <w:rFonts w:ascii="Nirmala UI" w:hAnsi="Nirmala UI" w:eastAsia="Nirmala UI" w:cs="Nirmala UI"/>
        </w:rPr>
        <w:t>ಮಾರ್ಗಚಿಹ್ನೆಗಳು</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723, 538, 1798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1844</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ዝርከቡ</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ብይሆያቂም</w:t>
      </w:r>
      <w:r>
        <w:rPr>
          <w:rFonts w:ascii="Times New Roman" w:hAnsi="Times New Roman" w:eastAsia="Times New Roman" w:cs="Times New Roman"/>
        </w:rPr>
        <w:t xml:space="preserve"> </w:t>
      </w:r>
      <w:r>
        <w:rPr>
          <w:rFonts w:ascii="Ebrima" w:hAnsi="Ebrima" w:eastAsia="Ebrima" w:cs="Ebrima"/>
        </w:rPr>
        <w:t>ይጅምሩ፤</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ዝበጽሐ</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ምብርታዕ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ብይሆያቂም</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ምብርታዕ</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11 </w:t>
      </w:r>
      <w:r>
        <w:rPr>
          <w:rFonts w:ascii="Ebrima" w:hAnsi="Ebrima" w:eastAsia="Ebrima" w:cs="Ebrima"/>
        </w:rPr>
        <w:t>ነሓሰ</w:t>
      </w:r>
      <w:r>
        <w:rPr>
          <w:rFonts w:ascii="Times New Roman" w:hAnsi="Times New Roman" w:eastAsia="Times New Roman" w:cs="Times New Roman"/>
        </w:rPr>
        <w:t xml:space="preserve"> 1840 </w:t>
      </w:r>
      <w:r>
        <w:rPr>
          <w:rFonts w:ascii="Ebrima" w:hAnsi="Ebrima" w:eastAsia="Ebrima" w:cs="Ebrima"/>
        </w:rPr>
        <w:t>ይምልከት።</w:t>
      </w:r>
      <w:r>
        <w:rPr>
          <w:rFonts w:ascii="Times New Roman" w:hAnsi="Times New Roman" w:eastAsia="Times New Roman" w:cs="Times New Roman"/>
        </w:rPr>
        <w:t xml:space="preserve"> </w:t>
      </w:r>
      <w:r>
        <w:rPr>
          <w:rFonts w:ascii="Ebrima" w:hAnsi="Ebrima" w:eastAsia="Ebrima" w:cs="Ebrima"/>
        </w:rPr>
        <w:t>ምምላኽ</w:t>
      </w:r>
      <w:r>
        <w:rPr>
          <w:rFonts w:ascii="Times New Roman" w:hAnsi="Times New Roman" w:eastAsia="Times New Roman" w:cs="Times New Roman"/>
        </w:rPr>
        <w:t xml:space="preserve"> </w:t>
      </w:r>
      <w:r>
        <w:rPr>
          <w:rFonts w:ascii="Ebrima" w:hAnsi="Ebrima" w:eastAsia="Ebrima" w:cs="Ebrima"/>
        </w:rPr>
        <w:t>ይሆያቂም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ሰብዓ</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ግዝኣት</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ብኣዋጅ</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ይውዳእ።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w:t>
      </w:r>
      <w:r>
        <w:rPr>
          <w:rFonts w:ascii="Ebrima" w:hAnsi="Ebrima" w:eastAsia="Ebrima" w:cs="Ebrima"/>
        </w:rPr>
        <w:t>ደረጃታት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ይግለጽ፤</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ምግቢ</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ቀጺሉ</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ርእይቶ</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ይኸውን፣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ብናይ</w:t>
      </w:r>
      <w:r>
        <w:rPr>
          <w:rFonts w:ascii="Times New Roman" w:hAnsi="Times New Roman" w:eastAsia="Times New Roman" w:cs="Times New Roman"/>
        </w:rPr>
        <w:t xml:space="preserve"> </w:t>
      </w:r>
      <w:r>
        <w:rPr>
          <w:rFonts w:ascii="Ebrima" w:hAnsi="Ebrima" w:eastAsia="Ebrima" w:cs="Ebrima"/>
        </w:rPr>
        <w:t>መለክዒ</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ይውዳእ።</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ፈተናታት</w:t>
      </w:r>
      <w:r>
        <w:rPr>
          <w:rFonts w:ascii="Times New Roman" w:hAnsi="Times New Roman" w:eastAsia="Times New Roman" w:cs="Times New Roman"/>
        </w:rPr>
        <w:t xml:space="preserve"> 11 </w:t>
      </w:r>
      <w:r>
        <w:rPr>
          <w:rFonts w:ascii="Ebrima" w:hAnsi="Ebrima" w:eastAsia="Ebrima" w:cs="Ebrima"/>
        </w:rPr>
        <w:t>ነሓሰ</w:t>
      </w:r>
      <w:r>
        <w:rPr>
          <w:rFonts w:ascii="Times New Roman" w:hAnsi="Times New Roman" w:eastAsia="Times New Roman" w:cs="Times New Roman"/>
        </w:rPr>
        <w:t xml:space="preserve"> 1840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ሓያል</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ንእሽቶ</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ወሪዱ፣</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ዝንእስ</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ኣይነበረን፣</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በቲ</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ክ</w:t>
      </w:r>
      <w:r>
        <w:rPr>
          <w:rFonts w:ascii="Times New Roman" w:hAnsi="Times New Roman" w:eastAsia="Times New Roman" w:cs="Times New Roman"/>
        </w:rPr>
        <w:t>“</w:t>
      </w:r>
      <w:r>
        <w:rPr>
          <w:rFonts w:ascii="Ebrima" w:hAnsi="Ebrima" w:eastAsia="Ebrima" w:cs="Ebrima"/>
        </w:rPr>
        <w:t>በልዕዎ</w:t>
      </w:r>
      <w:r>
        <w:rPr>
          <w:rFonts w:ascii="Times New Roman" w:hAnsi="Times New Roman" w:eastAsia="Times New Roman" w:cs="Times New Roman"/>
        </w:rPr>
        <w:t xml:space="preserve">” </w:t>
      </w:r>
      <w:r>
        <w:rPr>
          <w:rFonts w:ascii="Ebrima" w:hAnsi="Ebrima" w:eastAsia="Ebrima" w:cs="Ebrima"/>
        </w:rPr>
        <w:t>ዝግባእ</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ዳንኤልን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ክቡራትን</w:t>
      </w:r>
      <w:r>
        <w:rPr>
          <w:rFonts w:ascii="Times New Roman" w:hAnsi="Times New Roman" w:eastAsia="Times New Roman" w:cs="Times New Roman"/>
        </w:rPr>
        <w:t xml:space="preserve"> </w:t>
      </w:r>
      <w:r>
        <w:rPr>
          <w:rFonts w:ascii="Ebrima" w:hAnsi="Ebrima" w:eastAsia="Ebrima" w:cs="Ebrima"/>
        </w:rPr>
        <w:t>ንምግቢ</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ክንዲ</w:t>
      </w:r>
      <w:r>
        <w:rPr>
          <w:rFonts w:ascii="Times New Roman" w:hAnsi="Times New Roman" w:eastAsia="Times New Roman" w:cs="Times New Roman"/>
        </w:rPr>
        <w:t xml:space="preserve"> </w:t>
      </w:r>
      <w:r>
        <w:rPr>
          <w:rFonts w:ascii="Ebrima" w:hAnsi="Ebrima" w:eastAsia="Ebrima" w:cs="Ebrima"/>
        </w:rPr>
        <w:t>ምምራጽ፣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ጥራጥሬ</w:t>
      </w:r>
      <w:r>
        <w:rPr>
          <w:rFonts w:ascii="Times New Roman" w:hAnsi="Times New Roman" w:eastAsia="Times New Roman" w:cs="Times New Roman"/>
        </w:rPr>
        <w:t xml:space="preserve"> </w:t>
      </w:r>
      <w:r>
        <w:rPr>
          <w:rFonts w:ascii="Ebrima" w:hAnsi="Ebrima" w:eastAsia="Ebrima" w:cs="Ebrima"/>
        </w:rPr>
        <w:t>ምግቢ</w:t>
      </w:r>
      <w:r>
        <w:rPr>
          <w:rFonts w:ascii="Times New Roman" w:hAnsi="Times New Roman" w:eastAsia="Times New Roman" w:cs="Times New Roman"/>
        </w:rPr>
        <w:t xml:space="preserve"> </w:t>
      </w:r>
      <w:r>
        <w:rPr>
          <w:rFonts w:ascii="Ebrima" w:hAnsi="Ebrima" w:eastAsia="Ebrima" w:cs="Ebrima"/>
        </w:rPr>
        <w:t>ዝመረጹ።</w:t>
      </w:r>
    </w:p>
    <w:p>
      <w:pPr>
        <w:pStyle w:val="ArticleBody"/>
        <w:jc w:val="left"/>
      </w:pPr>
      <w:r>
        <w:rPr>
          <w:rFonts w:ascii="Times New Roman" w:hAnsi="Times New Roman" w:eastAsia="Times New Roman" w:cs="Times New Roman"/>
        </w:rPr>
        <w:t>Иккинчи сыноо ошол жараяндын Миллердин кабарын (биринчи периштенин кабарын) протестант чиркөөлөрү четке каккандыгынын айкын болушун билдирген; ошондо Миллерит кыймылы менен өздөрүнүн пайгамбарлык ролун чындыктан четтеген протестантизм катары баштаган протестант чиркөөлөрүнүн ортосунда айырма көрүнө баштаган. Бул эки топтун ортосундагы айырма, асмандан берилген тамакты жеп, Бабылдын ырыскысынан баш тарткандыктан, Даниел менен үч жигиттин өңү алда канча жакшырып, денеси толугураак көрүнгөндөй эле, ушунчалык даана болгон. Ал айырма 1843-жылдагы ыйык китептик жылдын аягында (1844-жылдын 19-апрелинде), он кыз жөнүндөгү мисалдын кечигүү убагы келгенде, айкын белгиленген.</w:t>
      </w:r>
    </w:p>
    <w:p>
      <w:pPr>
        <w:pStyle w:val="ArticleBody"/>
        <w:jc w:val="left"/>
      </w:pPr>
      <w:r>
        <w:rPr>
          <w:rFonts w:ascii="Times New Roman" w:hAnsi="Times New Roman" w:eastAsia="Times New Roman" w:cs="Times New Roman"/>
        </w:rPr>
        <w:t>تەجرىبەى ئۈچۈنچى، يەنى لىتموس سىناقى، 1844-يىل 22-ئۆكتەبىرنى ئىپادىلەيتتى؛ شۇ كۈنى، ئۈچ يىلدىن كېيىن، «سائەت» يېتىپ كېلىپ، نىبۇكەدنەسەرنىڭ ئۆزى دانىيال بىلەن ئۈچ سادىق ياشنى بابىل دانىشمەنلىرىدىن «ئون ھەسسە» ياخشى دەپ ھۆكۈم چىقىرىپ ئېلان قىلغان ئىدى. دانىيال كىتابىنىڭ تۆتىنچى بابىنى بىرىنچى باب ئۈستىگە قويۇش، مىللىرىتلار تارىخىنىڭ يول بەلگىلىرىنى پەيدا قىلىدۇ؛ بۇ تارىخ 1798-يىلدىكى «ئاخىر زامان ۋاقتى»دىن باشلىنىپ، 1840-يىل 11-ئاۋغۇستتا بىرىنچى پەرىشتىنىڭ خەۋىرىنىڭ كۈچلەندۈرۈلۈشىنى، 1844-يىل 19-ئاپرېلدىكى بىرىنچى ئۈمىدسىزلىنىشنى، ۋە 1844-يىل 22-ئۆكتەبىردىكى چوڭ ئۈمىدسىزلىنىشنى ئۆز ئىچىگە ئالىدۇ.</w:t>
      </w:r>
    </w:p>
    <w:p>
      <w:pPr>
        <w:pStyle w:val="ArticleBody"/>
        <w:jc w:val="left"/>
      </w:pPr>
      <w:r>
        <w:rPr>
          <w:rFonts w:ascii="Times New Roman" w:hAnsi="Times New Roman" w:eastAsia="Times New Roman" w:cs="Times New Roman"/>
        </w:rPr>
        <w:t>Markanqa tarihçesinin özgül işaret taşlarını belirlemenin ötesinde, iki bölüm, “satır üzerine satır” bir araya getirildiğinde, birinci meleğin mesajını gözler önüne serer, iki bin üç yüz günün temel öğretisinin konusu olan iki yıkıcı gücü tanımlar ve ayrıca Daniel on ikinin, Daniel kitabı mühürden çözüldüğünde her zaman ortaya çıkan üç aşamalı sınama sürecini de ortaya koyar.</w:t>
      </w:r>
    </w:p>
    <w:p>
      <w:pPr>
        <w:pStyle w:val="ArticleBody"/>
        <w:jc w:val="left"/>
      </w:pPr>
      <w:r>
        <w:rPr>
          <w:rFonts w:ascii="Times New Roman" w:hAnsi="Times New Roman" w:eastAsia="Times New Roman" w:cs="Times New Roman"/>
        </w:rPr>
        <w:t>También identifican que Nabucodonosor, como símbolo de los sabios en 1798, en relación con su segundo sueño en el capítulo cuatro, representa a William Miller, cuyo movimiento había de llegar a ser el verdadero cuerno protestante. La obra de William Miller, que representa las verdades fundamentales del adventismo, está representada sobre las dos tablas de Habacuc, y Dios dirigió la producción de ambas de esas sagradas tablas.</w:t>
      </w:r>
    </w:p>
    <w:p>
      <w:pPr>
        <w:pStyle w:val="ArticleBody"/>
        <w:jc w:val="left"/>
      </w:pPr>
      <w:r>
        <w:rPr>
          <w:rFonts w:ascii="Times New Roman" w:hAnsi="Times New Roman" w:eastAsia="Times New Roman" w:cs="Times New Roman"/>
        </w:rPr>
        <w:t>Miiller prophetic history vantage point-apa aniat aqnaqhaghmi, Miller-qa ilaat prophetic truth-at nangyugngitkalrit tamatkumi takunrituq, una-llu ilagigai pingasut desolating power-at; paganismlaall’ (dragon), papalismlaall’ (beast), taikunganek apostate Protestantism-llu (false prophet). God-im providence-anun, Miller-m prophetic understanding-ai, taikunga history-mi vantage point-ani killilriit, Habakkuk-im malruk sacred table-ainun qalarutengqertutun nunritut.</w:t>
      </w:r>
    </w:p>
    <w:p>
      <w:pPr>
        <w:pStyle w:val="ArticleBody"/>
        <w:jc w:val="left"/>
      </w:pPr>
      <w:r>
        <w:rPr>
          <w:rFonts w:ascii="Times New Roman" w:hAnsi="Times New Roman" w:eastAsia="Times New Roman" w:cs="Times New Roman"/>
        </w:rPr>
        <w:t>Даниелийн дөрөвдүгээр бүлэгт гардаг Небухаднезарын хоёр дахь зүүд нь Вильям Миллерийн хоёр дахь зүүдийг төлөөлдөг. Хоёр зүүд хоёулаа “долоон цаг”-ийг авч үздэг бөгөөд Миллерийн зүүд нь 1863 онд эхэлсэн түүний ажлын няцаалтыг илтгэж, энэ нь Шөнө дундын хашхираан хүртэл улам ширүүсдэг. Хоёр зүүдийн аль аль нь тараагдлын хугацааны дараа хаанчлал сэргээгдсэнээр төгсөнө. Ийм учраас 1798 онд лац нь тайлагдсан Улай голын үзэгдлийг шууд авч үзэхээс өмнө Миллерийн хоёр дахь зүүдийг авч үзье.</w:t>
      </w:r>
    </w:p>
    <w:p>
      <w:pPr>
        <w:pStyle w:val="ArticleScripture"/>
        <w:jc w:val="left"/>
      </w:pPr>
      <w:r>
        <w:rPr>
          <w:rFonts w:ascii="Times New Roman" w:hAnsi="Times New Roman" w:eastAsia="Times New Roman" w:cs="Times New Roman"/>
        </w:rPr>
        <w:t>“Uchën bëraz se Yus Dios, me ën man inbisibli, ma manda guata un casket maraviusamenti trahá, komo dies pulgada largu ku seis kuadrá, hasí di ébano i perla finu inkrustá. Na e casket tabatin un yabi pegá. Mesora mi a kohe e yabi i habri e casket, ora ku, pa mi admirashon i sorpresa, mi a top’é yená ku tur sorto i grandura di joya, diamante, piedra presioso, i moneda di oro i plata di tur dimension i balor, bunita organizá den nan lugá respektivo den e casket; i asina organisá nan ta reflekshá un lus i gloria ku solamente por wòrdu igualá pa solo.”</w:t>
      </w:r>
    </w:p>
    <w:p>
      <w:pPr>
        <w:pStyle w:val="ArticleScripture"/>
        <w:jc w:val="left"/>
      </w:pPr>
      <w:r>
        <w:rPr>
          <w:rFonts w:ascii="Times New Roman" w:hAnsi="Times New Roman" w:eastAsia="Times New Roman" w:cs="Times New Roman"/>
        </w:rPr>
        <w:t>«Саны ҳаиә аџьашьахә змоу ари аҭыҧҵа сымҩаҧсхьаны сара сзакәнызаҵәык ауп ҳәа сымхәыцит, ҳҳәатәыс, уи иҵакыз ахшыҩрра, абзиара, аҵакы рала сгәы даара иҭәын. Убри аҟнытә, уи сҭыҧуадаҿы иҟоу ацентртә стол өҫына иныҩынҵаны, изҭаху зегьы ицәыргеит, рыларц һәмазеихьыз, ари ҳаԥсҭазаараҿы ауаҩы ибахьоу зегьы иреиҳаӡоу, еиҳа иџьашьахәу, еиҳа иҵәлашәараӡоу аҭыҧҵа рбарц.»</w:t>
      </w:r>
    </w:p>
    <w:p>
      <w:pPr>
        <w:pStyle w:val="ArticleScripture"/>
        <w:jc w:val="left"/>
      </w:pPr>
      <w:r>
        <w:rPr>
          <w:rFonts w:ascii="Times New Roman" w:hAnsi="Times New Roman" w:eastAsia="Times New Roman" w:cs="Times New Roman"/>
        </w:rPr>
        <w:t>“Арад ирж эхэлсэн нь анхандаа цөөн тоотой байсан боловч аажмаар үй олон болж өсөв. Тэд авдрын дотор анх харахдаа гайхан биширч, баярын дуу хашхирдаг байлаа. Харин үзэгчид олшрох үед хүн бүр эрдэнийн чулуунуудад гар хүрч, тэдгээрийг авдраас гарган ширээн дээр нэг нэгээр нь тарааж эхлэв. Тэгэхэд би эзэн нь авдрыг болон эрдэнийн чулуунуудыг дахин надаас нэхэх болно гэж бодож эхэлсэн; хэрэв би тэднийг ийнхүү тараагдахыг зөвшөөрвөл, урьдын адил тэднийг дахин авдрын дотор өөр өөрийн байранд нь байрлуулж хэзээ ч чадахгүй; мөн надад ногдох хариуцлагыг хэзээ ч дааж чадахгүй мэт санагдсан, учир нь тэр нь асар их байх байв. Тэгээд би хүмүүсээс тэдэнд гар хүрэхгүй байхыг, мөн авдраас гаргахгүй байхыг гуйн эхэлсэн; гэвч би хэдий чинээ гуйна, төдий чинээ тэд тараасаар байв; эдүгээ тэд тэдгээрийг өрөө даяар, шалан дээр болон өрөөн доторх тавилгын бүх эд дээр хүртэл нэгэн адил тарааж байх шиг санагдав.</w:t>
      </w:r>
    </w:p>
    <w:p>
      <w:pPr>
        <w:pStyle w:val="ArticleScripture"/>
        <w:jc w:val="left"/>
      </w:pPr>
      <w:r>
        <w:rPr>
          <w:rFonts w:ascii="Times New Roman" w:hAnsi="Times New Roman" w:eastAsia="Times New Roman" w:cs="Times New Roman"/>
        </w:rPr>
        <w:t>«Уаҧстәи игәрахаҳҭаз ахьаҳатәреи аҭынҵәаҟиеи рыбжьара дара иршәандоз ашәҟәымҭах ҟәымшәышәым аҵәаса-кәыршаҳәеи аԥара-мцеи рхыԥхьаӡарашгүй аҟара. Саргьы рлаҟәышьеи рмыџьџьахьеи даара исцәымӷхеит, убри азы срыхшыҩын, срықәыӡбон, срықәыԥхашьон; аха шаҟа срыхшыҩуаз аҟара, еиҳа еиҳагьы урҭ ашәҟәымҭах ҟәымшәышәым аҵәаса-кәыршаҳәеи аԥара-мцеи рҭаԥсон ҳақиқатәи ршьаҭа-хәызбақәеи аԥареи рыбжьара.»</w:t>
      </w:r>
    </w:p>
    <w:p>
      <w:pPr>
        <w:pStyle w:val="ArticleScripture"/>
        <w:jc w:val="left"/>
      </w:pPr>
      <w:r>
        <w:rPr>
          <w:rFonts w:ascii="Times New Roman" w:hAnsi="Times New Roman" w:eastAsia="Times New Roman" w:cs="Times New Roman"/>
        </w:rPr>
        <w:t>«Seusidi sa vexé en mi alma física e comensé a usar força física por empuxá-les fora del cuarto; ma mentre yo empuxava fora a uno, tres más entrava e traía suciedá e virutas e arena e toda manera de basora, hasta que cubríron cada una de las verdaderas joyas, diamantes e monedas, las cuales quedáron todas excluídas de la vista. Tamién desgarráron en pedazos mi cofrecillo e lo esparcíron entre la basora. Yo pensaba que ningún hombre reparaba en mi dolor ni en mi ira. Quedé enteramente desanimado e descorazonado, e me senté e lloré.</w:t>
      </w:r>
    </w:p>
    <w:p>
      <w:pPr>
        <w:pStyle w:val="ArticleScripture"/>
        <w:jc w:val="left"/>
      </w:pPr>
      <w:r>
        <w:rPr>
          <w:rFonts w:ascii="Times New Roman" w:hAnsi="Times New Roman" w:eastAsia="Times New Roman" w:cs="Times New Roman"/>
        </w:rPr>
        <w:t>«Mientras yo lloraba y hacía duelo de esta manera por mi gran pérdida y responsabilidad, me acordé de Dios y oré con fervor para que Él me enviara ayuda. Inmediatamente se abrió la puerta, y un hombre entró en la habitación; entonces toda la gente salió de ella. Y él, llevando en la mano un cepillo para el polvo, abrió las ventanas y comenzó a barrer de la habitación la suciedad y la basura.</w:t>
      </w:r>
    </w:p>
    <w:p>
      <w:pPr>
        <w:pStyle w:val="ArticleScripture"/>
        <w:jc w:val="left"/>
      </w:pPr>
      <w:r>
        <w:rPr>
          <w:rFonts w:ascii="Times New Roman" w:hAnsi="Times New Roman" w:eastAsia="Times New Roman" w:cs="Times New Roman"/>
        </w:rPr>
        <w:t>“</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ਜਾਏ</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ਮਲਬੇ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ਕੀਮਤੀ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w:t>
      </w:r>
      <w:r>
        <w:rPr>
          <w:rFonts w:ascii="Nirmala UI" w:hAnsi="Nirmala UI" w:eastAsia="Nirmala UI" w:cs="Nirmala UI"/>
        </w:rPr>
        <w:t>ਜਵਾਹਰ</w:t>
      </w:r>
      <w:r>
        <w:rPr>
          <w:rFonts w:ascii="Times New Roman" w:hAnsi="Times New Roman" w:eastAsia="Times New Roman" w:cs="Times New Roman"/>
        </w:rPr>
        <w:t xml:space="preserve"> </w:t>
      </w:r>
      <w:r>
        <w:rPr>
          <w:rFonts w:ascii="Nirmala UI" w:hAnsi="Nirmala UI" w:eastAsia="Nirmala UI" w:cs="Nirmala UI"/>
        </w:rPr>
        <w:t>ਬਿਖਰੇ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Él mi disse: ‘n’ameja, ta kuidá di nan.’</w:t>
      </w:r>
    </w:p>
    <w:p>
      <w:pPr>
        <w:pStyle w:val="ArticleScripture"/>
        <w:jc w:val="left"/>
      </w:pPr>
      <w:r>
        <w:rPr>
          <w:rFonts w:ascii="Times New Roman" w:hAnsi="Times New Roman" w:eastAsia="Times New Roman" w:cs="Times New Roman"/>
        </w:rPr>
        <w:t>«Ahin, ntseesee no na ɔrepopa mfutuma ne fĩ, aboɔden aboɔ ne sika a wɔayɛ no atorɔ nyinaa sɔree na wɔfaa mpɔtam so fii mfɛnsere no mu te sɛ omununkum, na mframa no de wɔn kɔe. Gyegyeegye no mu no, mebɔɔ m’ani too so kakra; bere a mebuee bio no, na fĩ no nyinaa asa. Aboɔden aboɔ a ɛsom bo, diamant, sika ne dwetɛ mpɔwguw no da hwetee wɔ dan no nyinaa mu wɔ mmoroso so.</w:t>
      </w:r>
    </w:p>
    <w:p>
      <w:pPr>
        <w:pStyle w:val="ArticleScripture"/>
        <w:jc w:val="left"/>
      </w:pPr>
      <w:r>
        <w:rPr>
          <w:rFonts w:ascii="Times New Roman" w:hAnsi="Times New Roman" w:eastAsia="Times New Roman" w:cs="Times New Roman"/>
        </w:rPr>
        <w:t>«آنگاه صندوقچه‌ای بر میز نهاد، بسی بزرگ‌تر و زیباتر از پیشین، و گوهرها و الماس‌ها و سکّه‌ها را مشت‌مشت برگرفت و در آن صندوقچه افکند، تا آنکه یکی نیز بر جای نماند، هرچند برخی از آن الماس‌ها از سرِ سنجاقی بزرگ‌تر نبودند.»</w:t>
      </w:r>
    </w:p>
    <w:p>
      <w:pPr>
        <w:pStyle w:val="ArticleScripture"/>
        <w:jc w:val="left"/>
      </w:pPr>
      <w:r>
        <w:rPr>
          <w:rFonts w:ascii="Times New Roman" w:hAnsi="Times New Roman" w:eastAsia="Times New Roman" w:cs="Times New Roman"/>
        </w:rPr>
        <w:t>«Дараа нь тэр надад “ирж, үз” хэмээн дуудсан.»</w:t>
      </w:r>
    </w:p>
    <w:p>
      <w:pPr>
        <w:pStyle w:val="ArticleScripture"/>
        <w:jc w:val="left"/>
      </w:pPr>
      <w:r>
        <w:rPr>
          <w:rFonts w:ascii="Times New Roman" w:hAnsi="Times New Roman" w:eastAsia="Times New Roman" w:cs="Times New Roman"/>
        </w:rPr>
        <w:t>«Би авс руу шагайж харсан боловч тэнд үзэгдсэн зүйлээс нүд минь гялбаж байлаа. Тэд өмнөх алдраасаа арав дахин илүүгээр гялалзаж байв. Тэднийг шороонд тараан цацаж, гишгэн талхалсан тэр хорон хүмүүсийн хөлөөр элсэнд үрэгдэн өнгөлөгдсөн мэт надад санагдсан. Тэд авсан дотор үзэсгэлэнт дэг журмаар, хүн бүр өөрийн байранд, тэднийг тийш нь шидэж хийсэн хүний хөдөлмөрийн ямар ч ул мөр үл үзэгдэм байдлаар эмхлэгдэн байв. Би баяр хөөрөөсөө чангаар дуу алдаж, тэр дуу алдалт намайг сэрээв.» Early Writings, 81–83.</w:t>
      </w:r>
    </w:p>
    <w:p>
      <w:pPr>
        <w:pStyle w:val="ArticleBody"/>
        <w:jc w:val="left"/>
      </w:pPr>
      <w:r>
        <w:rPr>
          <w:rFonts w:ascii="Nirmala UI" w:hAnsi="Nirmala UI" w:eastAsia="Nirmala UI" w:cs="Nirmala UI"/>
        </w:rPr>
        <w:t>మిల్లర్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స్వప్నాన్ని</w:t>
      </w:r>
      <w:r>
        <w:rPr>
          <w:rFonts w:ascii="Times New Roman" w:hAnsi="Times New Roman" w:eastAsia="Times New Roman" w:cs="Times New Roman"/>
        </w:rPr>
        <w:t xml:space="preserve"> </w:t>
      </w:r>
      <w:r>
        <w:rPr>
          <w:rFonts w:ascii="Nirmala UI" w:hAnsi="Nirmala UI" w:eastAsia="Nirmala UI" w:cs="Nirmala UI"/>
        </w:rPr>
        <w:t>తదుపరి</w:t>
      </w:r>
      <w:r>
        <w:rPr>
          <w:rFonts w:ascii="Times New Roman" w:hAnsi="Times New Roman" w:eastAsia="Times New Roman" w:cs="Times New Roman"/>
        </w:rPr>
        <w:t xml:space="preserve"> </w:t>
      </w:r>
      <w:r>
        <w:rPr>
          <w:rFonts w:ascii="Nirmala UI" w:hAnsi="Nirmala UI" w:eastAsia="Nirmala UI" w:cs="Nirmala UI"/>
        </w:rPr>
        <w:t>వ్యాసంలో</w:t>
      </w:r>
      <w:r>
        <w:rPr>
          <w:rFonts w:ascii="Times New Roman" w:hAnsi="Times New Roman" w:eastAsia="Times New Roman" w:cs="Times New Roman"/>
        </w:rPr>
        <w:t xml:space="preserve"> </w:t>
      </w:r>
      <w:r>
        <w:rPr>
          <w:rFonts w:ascii="Nirmala UI" w:hAnsi="Nirmala UI" w:eastAsia="Nirmala UI" w:cs="Nirmala UI"/>
        </w:rPr>
        <w:t>పరిశీలిస్తాము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Daqaman nayi William Miller qiman ayi qisiqta, James White Advent Herald-q Miller-pa qiman ayin qichqasqanpim qillqarqan.</w:t>
      </w:r>
    </w:p>
    <w:p>
      <w:pPr>
        <w:pStyle w:val="ArticleScripture"/>
        <w:jc w:val="left"/>
      </w:pPr>
      <w:r>
        <w:rPr>
          <w:rFonts w:ascii="Times New Roman" w:hAnsi="Times New Roman" w:eastAsia="Times New Roman" w:cs="Times New Roman"/>
        </w:rPr>
        <w:t>«ئەخىرقى تۆۋەندىكى چۈش ئىككى يىلدىن ئارتۇق ۋاقىت ئىلگىرى Advent Herald دا نەشر قىلىنغان ئىدى. شۇ ۋاقىتتا مەن ئۇنىڭ بىزنىڭ ئۆتكەن ئىككىنچى مەسىھنىڭ كېلىشى ھەققىدىكى تەجرىبىمىزنى ئېنىق كۆرسىتىپ بەرگەنلىكىنى، ۋە خۇدانىڭ بۇ چۈشنى تارقاق پادىغا مەنپەئەت يەتكۈزۈش ئۈچۈن بەرگەنلىكىنى كۆردۈم.»</w:t>
      </w:r>
    </w:p>
    <w:p>
      <w:pPr>
        <w:pStyle w:val="ArticleScripture"/>
        <w:jc w:val="left"/>
      </w:pPr>
      <w:r>
        <w:rPr>
          <w:rFonts w:ascii="Times New Roman" w:hAnsi="Times New Roman" w:eastAsia="Times New Roman" w:cs="Times New Roman"/>
        </w:rPr>
        <w:t>“Rabbiiwwan mallattoowwan dhihaannaa guyyaa guddaa fi sodaachisaa Gooftaa keessaa tokko, Waaqayyo abjuu kaa’eera. Ilaali Yo’el 2:28–31; Hojii Ergamootaa 2:17–20. Abjuun karaa sadiin dhufuu danda’a; inni jalqabaa, ‘baay’ina hojii’ irraa. Ilaali Lallaba 5:3. Inni lammaffaan, warri hafuura xuraa’aa fi gowwoomsaa Seexanaa jalatti jiran dhiibbaa isaa irraa kan ka’e abjuu argachuu danda’u. Ilaali Keessa Deebii Seeraa 8:1–5; Ermiyaas 23:25–28; 27:9; 29:8; Zakkaariyaas 10:2; Yihudaa 8. Inni sadaffaan immoo, Waaqayyo yeroo hundumaa ummata isaa abjuudhaan, hamma tokkoo fi hamma biraatiin barsiisaa ture, ammas barsiisaa jira; abjuun kunis tajaajila ergamootaa fi Hafuura Qulqulluudhaan dhufa. Warri ifa qulqulluu dhugaa keessa dhaabatan yeroo Waaqayyo abjuu isaanii kennu ni beeku; warri akkasii immoo abjuu sobaatiin hin gowwoomfaman, karaa irraa immoo hin jal’ataman.”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ဝ</w:t>
      </w:r>
      <w:r>
        <w:rPr>
          <w:rFonts w:ascii="Times New Roman" w:hAnsi="Times New Roman" w:eastAsia="Times New Roman" w:cs="Times New Roman"/>
        </w:rPr>
        <w:t xml:space="preserve"> </w:t>
      </w:r>
      <w:r>
        <w:rPr>
          <w:rFonts w:ascii="Myanmar Text" w:hAnsi="Myanmar Text" w:eastAsia="Myanmar Text" w:cs="Myanmar Text"/>
        </w:rPr>
        <w:t>သတိတော်မူကြလော့၊</w:t>
      </w:r>
      <w:r>
        <w:rPr>
          <w:rFonts w:ascii="Times New Roman" w:hAnsi="Times New Roman" w:eastAsia="Times New Roman" w:cs="Times New Roman"/>
        </w:rPr>
        <w:t xml:space="preserve"> </w:t>
      </w:r>
      <w:r>
        <w:rPr>
          <w:rFonts w:ascii="Myanmar Text" w:hAnsi="Myanmar Text" w:eastAsia="Myanmar Text" w:cs="Myanmar Text"/>
        </w:rPr>
        <w:t>ငါ၏စကားတို့ကို</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သင်တို့အထဲ၌</w:t>
      </w:r>
      <w:r>
        <w:rPr>
          <w:rFonts w:ascii="Times New Roman" w:hAnsi="Times New Roman" w:eastAsia="Times New Roman" w:cs="Times New Roman"/>
        </w:rPr>
        <w:t xml:space="preserve"> </w:t>
      </w:r>
      <w:r>
        <w:rPr>
          <w:rFonts w:ascii="Myanmar Text" w:hAnsi="Myanmar Text" w:eastAsia="Myanmar Text" w:cs="Myanmar Text"/>
        </w:rPr>
        <w:t>ပရောဖက်တစ်ဦးရှိလျှင်၊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ဗျာဒိတ်ရူပါရုံအားဖြင့်</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ကိုယ်ကို</w:t>
      </w:r>
      <w:r>
        <w:rPr>
          <w:rFonts w:ascii="Times New Roman" w:hAnsi="Times New Roman" w:eastAsia="Times New Roman" w:cs="Times New Roman"/>
        </w:rPr>
        <w:t xml:space="preserve"> </w:t>
      </w:r>
      <w:r>
        <w:rPr>
          <w:rFonts w:ascii="Myanmar Text" w:hAnsi="Myanmar Text" w:eastAsia="Myanmar Text" w:cs="Myanmar Text"/>
        </w:rPr>
        <w:t>ထင်ရှားစေမည်၊</w:t>
      </w:r>
      <w:r>
        <w:rPr>
          <w:rFonts w:ascii="Times New Roman" w:hAnsi="Times New Roman" w:eastAsia="Times New Roman" w:cs="Times New Roman"/>
        </w:rPr>
        <w:t xml:space="preserve"> </w:t>
      </w:r>
      <w:r>
        <w:rPr>
          <w:rFonts w:ascii="Myanmar Text" w:hAnsi="Myanmar Text" w:eastAsia="Myanmar Text" w:cs="Myanmar Text"/>
        </w:rPr>
        <w:t>အိပ်မက်အားဖြင့်လည်း</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စကားပြောမည်။</w:t>
      </w:r>
      <w:r>
        <w:rPr>
          <w:rFonts w:ascii="Times New Roman" w:hAnsi="Times New Roman" w:eastAsia="Times New Roman" w:cs="Times New Roman"/>
        </w:rPr>
        <w:t xml:space="preserve">’ </w:t>
      </w:r>
      <w:r>
        <w:rPr>
          <w:rFonts w:ascii="Myanmar Text" w:hAnsi="Myanmar Text" w:eastAsia="Myanmar Text" w:cs="Myanmar Text"/>
        </w:rPr>
        <w:t>တောလည်ရာ</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ယာကုပ်ကလည်း၊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အိပ်မက်ထဲ၌</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ဆိုခဲ့သည်။</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ဘုရားသခင်သည်လည်း</w:t>
      </w:r>
      <w:r>
        <w:rPr>
          <w:rFonts w:ascii="Times New Roman" w:hAnsi="Times New Roman" w:eastAsia="Times New Roman" w:cs="Times New Roman"/>
        </w:rPr>
        <w:t xml:space="preserve"> </w:t>
      </w:r>
      <w:r>
        <w:rPr>
          <w:rFonts w:ascii="Myanmar Text" w:hAnsi="Myanmar Text" w:eastAsia="Myanmar Text" w:cs="Myanmar Text"/>
        </w:rPr>
        <w:t>ညဉ့်အိပ်မက်ထဲ၌</w:t>
      </w:r>
      <w:r>
        <w:rPr>
          <w:rFonts w:ascii="Times New Roman" w:hAnsi="Times New Roman" w:eastAsia="Times New Roman" w:cs="Times New Roman"/>
        </w:rPr>
        <w:t xml:space="preserve"> </w:t>
      </w:r>
      <w:r>
        <w:rPr>
          <w:rFonts w:ascii="Myanmar Text" w:hAnsi="Myanmar Text" w:eastAsia="Myanmar Text" w:cs="Myanmar Text"/>
        </w:rPr>
        <w:t>ရှုရိလူ</w:t>
      </w:r>
      <w:r>
        <w:rPr>
          <w:rFonts w:ascii="Times New Roman" w:hAnsi="Times New Roman" w:eastAsia="Times New Roman" w:cs="Times New Roman"/>
        </w:rPr>
        <w:t xml:space="preserve"> </w:t>
      </w:r>
      <w:r>
        <w:rPr>
          <w:rFonts w:ascii="Myanmar Text" w:hAnsi="Myanmar Text" w:eastAsia="Myanmar Text" w:cs="Myanmar Text"/>
        </w:rPr>
        <w:t>လာဗန်ထံသို့</w:t>
      </w:r>
      <w:r>
        <w:rPr>
          <w:rFonts w:ascii="Times New Roman" w:hAnsi="Times New Roman" w:eastAsia="Times New Roman" w:cs="Times New Roman"/>
        </w:rPr>
        <w:t xml:space="preserve"> </w:t>
      </w:r>
      <w:r>
        <w:rPr>
          <w:rFonts w:ascii="Myanmar Text" w:hAnsi="Myanmar Text" w:eastAsia="Myanmar Text" w:cs="Myanmar Text"/>
        </w:rPr>
        <w:t>ကြွလာတော်မူ၏။</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w:t>
      </w:r>
      <w:r>
        <w:rPr>
          <w:rFonts w:ascii="Myanmar Text" w:hAnsi="Myanmar Text" w:eastAsia="Myanmar Text" w:cs="Myanmar Text"/>
        </w:rPr>
        <w:t>၂၄။</w:t>
      </w:r>
      <w:r>
        <w:rPr>
          <w:rFonts w:ascii="Times New Roman" w:hAnsi="Times New Roman" w:eastAsia="Times New Roman" w:cs="Times New Roman"/>
        </w:rPr>
        <w:t xml:space="preserve"> </w:t>
      </w:r>
      <w:r>
        <w:rPr>
          <w:rFonts w:ascii="Myanmar Text" w:hAnsi="Myanmar Text" w:eastAsia="Myanmar Text" w:cs="Myanmar Text"/>
        </w:rPr>
        <w:t>ယောသပ်၏</w:t>
      </w:r>
      <w:r>
        <w:rPr>
          <w:rFonts w:ascii="Times New Roman" w:hAnsi="Times New Roman" w:eastAsia="Times New Roman" w:cs="Times New Roman"/>
        </w:rPr>
        <w:t xml:space="preserve"> </w:t>
      </w:r>
      <w:r>
        <w:rPr>
          <w:rFonts w:ascii="Myanmar Text" w:hAnsi="Myanmar Text" w:eastAsia="Myanmar Text" w:cs="Myanmar Text"/>
        </w:rPr>
        <w:t>အိပ်မက်များကို</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၃၇</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ဖတ်ရှုကြလော့၊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အဲဂုတ္တုပြည်၌</w:t>
      </w:r>
      <w:r>
        <w:rPr>
          <w:rFonts w:ascii="Times New Roman" w:hAnsi="Times New Roman" w:eastAsia="Times New Roman" w:cs="Times New Roman"/>
        </w:rPr>
        <w:t xml:space="preserve"> </w:t>
      </w:r>
      <w:r>
        <w:rPr>
          <w:rFonts w:ascii="Myanmar Text" w:hAnsi="Myanmar Text" w:eastAsia="Myanmar Text" w:cs="Myanmar Text"/>
        </w:rPr>
        <w:t>ထိုအိပ်မက်တို့</w:t>
      </w:r>
      <w:r>
        <w:rPr>
          <w:rFonts w:ascii="Times New Roman" w:hAnsi="Times New Roman" w:eastAsia="Times New Roman" w:cs="Times New Roman"/>
        </w:rPr>
        <w:t xml:space="preserve"> </w:t>
      </w:r>
      <w:r>
        <w:rPr>
          <w:rFonts w:ascii="Myanmar Text" w:hAnsi="Myanmar Text" w:eastAsia="Myanmar Text" w:cs="Myanmar Text"/>
        </w:rPr>
        <w:t>ပြည့်စုံလာပုံ၏</w:t>
      </w:r>
      <w:r>
        <w:rPr>
          <w:rFonts w:ascii="Times New Roman" w:hAnsi="Times New Roman" w:eastAsia="Times New Roman" w:cs="Times New Roman"/>
        </w:rPr>
        <w:t xml:space="preserve"> </w:t>
      </w:r>
      <w:r>
        <w:rPr>
          <w:rFonts w:ascii="Myanmar Text" w:hAnsi="Myanmar Text" w:eastAsia="Myanmar Text" w:cs="Myanmar Text"/>
        </w:rPr>
        <w:t>စိတ်ဝင်စားဖွယ်ရာ</w:t>
      </w:r>
      <w:r>
        <w:rPr>
          <w:rFonts w:ascii="Times New Roman" w:hAnsi="Times New Roman" w:eastAsia="Times New Roman" w:cs="Times New Roman"/>
        </w:rPr>
        <w:t xml:space="preserve"> </w:t>
      </w:r>
      <w:r>
        <w:rPr>
          <w:rFonts w:ascii="Myanmar Text" w:hAnsi="Myanmar Text" w:eastAsia="Myanmar Text" w:cs="Myanmar Text"/>
        </w:rPr>
        <w:t>သမိုင်းကိုလည်း</w:t>
      </w:r>
      <w:r>
        <w:rPr>
          <w:rFonts w:ascii="Times New Roman" w:hAnsi="Times New Roman" w:eastAsia="Times New Roman" w:cs="Times New Roman"/>
        </w:rPr>
        <w:t xml:space="preserve"> </w:t>
      </w:r>
      <w:r>
        <w:rPr>
          <w:rFonts w:ascii="Myanmar Text" w:hAnsi="Myanmar Text" w:eastAsia="Myanmar Text" w:cs="Myanmar Text"/>
        </w:rPr>
        <w:t>ဖတ်ရှုကြလော့။</w:t>
      </w:r>
      <w:r>
        <w:rPr>
          <w:rFonts w:ascii="Times New Roman" w:hAnsi="Times New Roman" w:eastAsia="Times New Roman" w:cs="Times New Roman"/>
        </w:rPr>
        <w:t xml:space="preserve"> ‘</w:t>
      </w:r>
      <w:r>
        <w:rPr>
          <w:rFonts w:ascii="Myanmar Text" w:hAnsi="Myanmar Text" w:eastAsia="Myanmar Text" w:cs="Myanmar Text"/>
        </w:rPr>
        <w:t>ဂိဘောင်၌</w:t>
      </w:r>
      <w:r>
        <w:rPr>
          <w:rFonts w:ascii="Times New Roman" w:hAnsi="Times New Roman" w:eastAsia="Times New Roman" w:cs="Times New Roman"/>
        </w:rPr>
        <w:t xml:space="preserve"> </w:t>
      </w:r>
      <w:r>
        <w:rPr>
          <w:rFonts w:ascii="Myanmar Text" w:hAnsi="Myanmar Text" w:eastAsia="Myanmar Text" w:cs="Myanmar Text"/>
        </w:rPr>
        <w:t>ညဉ့်အခါ</w:t>
      </w:r>
      <w:r>
        <w:rPr>
          <w:rFonts w:ascii="Times New Roman" w:hAnsi="Times New Roman" w:eastAsia="Times New Roman" w:cs="Times New Roman"/>
        </w:rPr>
        <w:t xml:space="preserve"> </w:t>
      </w:r>
      <w:r>
        <w:rPr>
          <w:rFonts w:ascii="Myanmar Text" w:hAnsi="Myanmar Text" w:eastAsia="Myanmar Text" w:cs="Myanmar Text"/>
        </w:rPr>
        <w:t>အိပ်မက်ထဲတွင်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ရှောလမုန်အား</w:t>
      </w:r>
      <w:r>
        <w:rPr>
          <w:rFonts w:ascii="Times New Roman" w:hAnsi="Times New Roman" w:eastAsia="Times New Roman" w:cs="Times New Roman"/>
        </w:rPr>
        <w:t xml:space="preserve"> </w:t>
      </w:r>
      <w:r>
        <w:rPr>
          <w:rFonts w:ascii="Myanmar Text" w:hAnsi="Myanmar Text" w:eastAsia="Myanmar Text" w:cs="Myanmar Text"/>
        </w:rPr>
        <w:t>ပေါ်ထွန်းတော်မူ၏။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ဧကရာဇ်</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အလွန်အရေးကြီးသော</w:t>
      </w:r>
      <w:r>
        <w:rPr>
          <w:rFonts w:ascii="Times New Roman" w:hAnsi="Times New Roman" w:eastAsia="Times New Roman" w:cs="Times New Roman"/>
        </w:rPr>
        <w:t xml:space="preserve"> </w:t>
      </w:r>
      <w:r>
        <w:rPr>
          <w:rFonts w:ascii="Myanmar Text" w:hAnsi="Myanmar Text" w:eastAsia="Myanmar Text" w:cs="Myanmar Text"/>
        </w:rPr>
        <w:t>ရုပ်တုကြီးကိုလည်း</w:t>
      </w:r>
      <w:r>
        <w:rPr>
          <w:rFonts w:ascii="Times New Roman" w:hAnsi="Times New Roman" w:eastAsia="Times New Roman" w:cs="Times New Roman"/>
        </w:rPr>
        <w:t xml:space="preserve"> </w:t>
      </w:r>
      <w:r>
        <w:rPr>
          <w:rFonts w:ascii="Myanmar Text" w:hAnsi="Myanmar Text" w:eastAsia="Myanmar Text" w:cs="Myanmar Text"/>
        </w:rPr>
        <w:t>အိပ်မက်အားဖြင့်</w:t>
      </w:r>
      <w:r>
        <w:rPr>
          <w:rFonts w:ascii="Times New Roman" w:hAnsi="Times New Roman" w:eastAsia="Times New Roman" w:cs="Times New Roman"/>
        </w:rPr>
        <w:t xml:space="preserve"> </w:t>
      </w:r>
      <w:r>
        <w:rPr>
          <w:rFonts w:ascii="Myanmar Text" w:hAnsi="Myanmar Text" w:eastAsia="Myanmar Text" w:cs="Myanmar Text"/>
        </w:rPr>
        <w:t>ပေးတော်မူခဲ့ပြီး၊</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သားရဲလေးကောင်</w:t>
      </w:r>
      <w:r>
        <w:rPr>
          <w:rFonts w:ascii="Times New Roman" w:hAnsi="Times New Roman" w:eastAsia="Times New Roman" w:cs="Times New Roman"/>
        </w:rPr>
        <w:t xml:space="preserve"> </w:t>
      </w:r>
      <w:r>
        <w:rPr>
          <w:rFonts w:ascii="Myanmar Text" w:hAnsi="Myanmar Text" w:eastAsia="Myanmar Text" w:cs="Myanmar Text"/>
        </w:rPr>
        <w:t>စသည်တို့ကိုလည်း</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ပေးတော်မူခဲ့သည်။</w:t>
      </w:r>
      <w:r>
        <w:rPr>
          <w:rFonts w:ascii="Times New Roman" w:hAnsi="Times New Roman" w:eastAsia="Times New Roman" w:cs="Times New Roman"/>
        </w:rPr>
        <w:t xml:space="preserve"> </w:t>
      </w:r>
      <w:r>
        <w:rPr>
          <w:rFonts w:ascii="Myanmar Text" w:hAnsi="Myanmar Text" w:eastAsia="Myanmar Text" w:cs="Myanmar Text"/>
        </w:rPr>
        <w:t>ဟေရုဒ်သည်</w:t>
      </w:r>
      <w:r>
        <w:rPr>
          <w:rFonts w:ascii="Times New Roman" w:hAnsi="Times New Roman" w:eastAsia="Times New Roman" w:cs="Times New Roman"/>
        </w:rPr>
        <w:t xml:space="preserve"> </w:t>
      </w:r>
      <w:r>
        <w:rPr>
          <w:rFonts w:ascii="Myanmar Text" w:hAnsi="Myanmar Text" w:eastAsia="Myanmar Text" w:cs="Myanmar Text"/>
        </w:rPr>
        <w:t>နို့စို့ကယ်တင်ရှင်ကို</w:t>
      </w:r>
      <w:r>
        <w:rPr>
          <w:rFonts w:ascii="Times New Roman" w:hAnsi="Times New Roman" w:eastAsia="Times New Roman" w:cs="Times New Roman"/>
        </w:rPr>
        <w:t xml:space="preserve"> </w:t>
      </w:r>
      <w:r>
        <w:rPr>
          <w:rFonts w:ascii="Myanmar Text" w:hAnsi="Myanmar Text" w:eastAsia="Myanmar Text" w:cs="Myanmar Text"/>
        </w:rPr>
        <w:t>ဖျက်ဆီးရန်</w:t>
      </w:r>
      <w:r>
        <w:rPr>
          <w:rFonts w:ascii="Times New Roman" w:hAnsi="Times New Roman" w:eastAsia="Times New Roman" w:cs="Times New Roman"/>
        </w:rPr>
        <w:t xml:space="preserve"> </w:t>
      </w:r>
      <w:r>
        <w:rPr>
          <w:rFonts w:ascii="Myanmar Text" w:hAnsi="Myanmar Text" w:eastAsia="Myanmar Text" w:cs="Myanmar Text"/>
        </w:rPr>
        <w:t>ရှာကြံသောအခါ၊</w:t>
      </w:r>
      <w:r>
        <w:rPr>
          <w:rFonts w:ascii="Times New Roman" w:hAnsi="Times New Roman" w:eastAsia="Times New Roman" w:cs="Times New Roman"/>
        </w:rPr>
        <w:t xml:space="preserve"> </w:t>
      </w:r>
      <w:r>
        <w:rPr>
          <w:rFonts w:ascii="Myanmar Text" w:hAnsi="Myanmar Text" w:eastAsia="Myanmar Text" w:cs="Myanmar Text"/>
        </w:rPr>
        <w:t>ယောသပ်သည်</w:t>
      </w:r>
      <w:r>
        <w:rPr>
          <w:rFonts w:ascii="Times New Roman" w:hAnsi="Times New Roman" w:eastAsia="Times New Roman" w:cs="Times New Roman"/>
        </w:rPr>
        <w:t xml:space="preserve"> </w:t>
      </w:r>
      <w:r>
        <w:rPr>
          <w:rFonts w:ascii="Myanmar Text" w:hAnsi="Myanmar Text" w:eastAsia="Myanmar Text" w:cs="Myanmar Text"/>
        </w:rPr>
        <w:t>အဲဂုတ္တုပြည်သို့</w:t>
      </w:r>
      <w:r>
        <w:rPr>
          <w:rFonts w:ascii="Times New Roman" w:hAnsi="Times New Roman" w:eastAsia="Times New Roman" w:cs="Times New Roman"/>
        </w:rPr>
        <w:t xml:space="preserve"> </w:t>
      </w:r>
      <w:r>
        <w:rPr>
          <w:rFonts w:ascii="Myanmar Text" w:hAnsi="Myanmar Text" w:eastAsia="Myanmar Text" w:cs="Myanmar Text"/>
        </w:rPr>
        <w:t>ထွက်ပြေးရန်</w:t>
      </w:r>
      <w:r>
        <w:rPr>
          <w:rFonts w:ascii="Times New Roman" w:hAnsi="Times New Roman" w:eastAsia="Times New Roman" w:cs="Times New Roman"/>
        </w:rPr>
        <w:t xml:space="preserve"> </w:t>
      </w:r>
      <w:r>
        <w:rPr>
          <w:rFonts w:ascii="Myanmar Text" w:hAnsi="Myanmar Text" w:eastAsia="Myanmar Text" w:cs="Myanmar Text"/>
        </w:rPr>
        <w:t>အိပ်မက်ထဲတွင်</w:t>
      </w:r>
      <w:r>
        <w:rPr>
          <w:rFonts w:ascii="Times New Roman" w:hAnsi="Times New Roman" w:eastAsia="Times New Roman" w:cs="Times New Roman"/>
        </w:rPr>
        <w:t xml:space="preserve"> </w:t>
      </w:r>
      <w:r>
        <w:rPr>
          <w:rFonts w:ascii="Myanmar Text" w:hAnsi="Myanmar Text" w:eastAsia="Myanmar Text" w:cs="Myanmar Text"/>
        </w:rPr>
        <w:t>သတိပေးခံခဲ့ရသည်။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၁၃။</w:t>
      </w:r>
    </w:p>
    <w:p>
      <w:pPr>
        <w:pStyle w:val="ArticleScripture"/>
        <w:jc w:val="left"/>
      </w:pPr>
      <w:r>
        <w:rPr>
          <w:rFonts w:ascii="Times New Roman" w:hAnsi="Times New Roman" w:eastAsia="Times New Roman" w:cs="Times New Roman"/>
        </w:rPr>
        <w:t>“‘U ngamëyong du ko ci ŊAAY MU MUJJ, ne Yàlla, dinaa tuur sama Xel ci kaw mboolem ñu nekk nit: seeni doom yu góor ak seeni doom yu jigéen dinañu wax ci turu Yàlla, seeni ndaw yu góor dinañu gis ay peeñ, te seeni mag yu góor dinañu gént ay gént.’ Jëf ya 2:17.</w:t>
      </w:r>
    </w:p>
    <w:p>
      <w:pPr>
        <w:pStyle w:val="ArticleScripture"/>
        <w:jc w:val="left"/>
      </w:pPr>
      <w:r>
        <w:rPr>
          <w:rFonts w:ascii="Times New Roman" w:hAnsi="Times New Roman" w:eastAsia="Times New Roman" w:cs="Times New Roman"/>
        </w:rPr>
        <w:t>“Ang kaloob ng propesiya, sa pamamagitan ng mga damgo kag mga panan-awon, amo diri ang bunga sang Balaan nga Espiritu, kag sa katapusan nga mga adlaw ipahayag ini sing igo agod mangin isa ka timailhan. Isa ini sa mga kaloob sang iglesya sang ebanghelyo.</w:t>
      </w:r>
    </w:p>
    <w:p>
      <w:pPr>
        <w:pStyle w:val="ArticleScripture"/>
        <w:jc w:val="left"/>
      </w:pPr>
      <w:r>
        <w:rPr>
          <w:rFonts w:ascii="Times New Roman" w:hAnsi="Times New Roman" w:eastAsia="Times New Roman" w:cs="Times New Roman"/>
        </w:rPr>
        <w:t>«“And he gave some apostles; and some PROPHETS; and some evangelists; and some pastors and teachers; For the perfecting of the saints, for the work of the ministry, for the edifying of the body of Christ.” Efesios 4:11–12.»</w:t>
      </w:r>
    </w:p>
    <w:p>
      <w:pPr>
        <w:pStyle w:val="ArticleScripture"/>
        <w:jc w:val="left"/>
      </w:pPr>
      <w:r>
        <w:rPr>
          <w:rFonts w:ascii="Times New Roman" w:hAnsi="Times New Roman" w:eastAsia="Times New Roman" w:cs="Times New Roman"/>
        </w:rPr>
        <w:t>“‘Ana Gotwen le ganang an chechi, waad tsiichi apasitooreta, waad lami PROPHETS,’ wdg. 1 Corinthians 12:28. ‘Yaad koneynin PROPHESYINGS.’ 1 Thessalonians 5:20. Hekka qassi Acts 13:1; 21:9; Romans 7:6; 1 Corinthians 14:1, 24, 39. Prophets wo PROPHESYINGS Christos chechiya kehaa keeshshanau; qassi Wongeltsa qaalatappe eta evangelists, pastors nna teachers appe kaseeraappe kaseera geetettanau danddayiya ay malla de7enna. SHin ixxiyaagee, ‘Daroppe daro worddida visions nna dreams de7ido gishshau, hega mala ooninne ta ammanetethanau danddayikke’ gees. Hegaa tumu; Seexaanassi ba counterfeit de7ees. I ubba wode worddida prophets de7ees; qassi baagaa he wurssetha bolla cimmidoyssa nna xalaalayya sa7atan nuuni etau ha77i expect oottanau bessana. Counterfeit de7ees gishshau he mala add-special revelations ixxiyaageeti, hegaadankka guuttaa sinttaukko Godi oonakki dream woykko visionan ba huuphi asaassi qonccissidai de7ennawa geetidi kaddanau danddayana; aissi giikko counterfeit ubba wode de7ees.”</w:t>
      </w:r>
    </w:p>
    <w:p>
      <w:pPr>
        <w:pStyle w:val="ArticleScripture"/>
        <w:jc w:val="left"/>
      </w:pPr>
      <w:r>
        <w:rPr>
          <w:rFonts w:ascii="Times New Roman" w:hAnsi="Times New Roman" w:eastAsia="Times New Roman" w:cs="Times New Roman"/>
        </w:rPr>
        <w:t>«Энүүд ба үзэгдэлнүүд бол Бурхан хүнтүр өөрийгөө илчилсэн хэрэгсэл мөн. Энэ хэрэгсэлээр Тэр эш үзүүлэгчдүр хэлсэн; Тэр эш үзүүллиин бэлэгые сайн мэдээний чуулганы бэлэгнүүдэй дунда байрлуулсан бөгөөд энүүд ба үзэгдэлнүүдые “ЭСХАТОН ЦАГУУД”-ай бусад тэмдэгнүүдтэй нэгэн адляар тоолсон. Амен.</w:t>
      </w:r>
    </w:p>
    <w:p>
      <w:pPr>
        <w:pStyle w:val="ArticleScripture"/>
        <w:jc w:val="left"/>
      </w:pPr>
      <w:r>
        <w:rPr>
          <w:rFonts w:ascii="Times New Roman" w:hAnsi="Times New Roman" w:eastAsia="Times New Roman" w:cs="Times New Roman"/>
        </w:rPr>
        <w:t>“</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മുകളിലെ</w:t>
      </w:r>
      <w:r>
        <w:rPr>
          <w:rFonts w:ascii="Times New Roman" w:hAnsi="Times New Roman" w:eastAsia="Times New Roman" w:cs="Times New Roman"/>
        </w:rPr>
        <w:t xml:space="preserve"> </w:t>
      </w:r>
      <w:r>
        <w:rPr>
          <w:rFonts w:ascii="Nirmala UI" w:hAnsi="Nirmala UI" w:eastAsia="Nirmala UI" w:cs="Nirmala UI"/>
        </w:rPr>
        <w:t>പരാമർശങ്ങളിലെ</w:t>
      </w:r>
      <w:r>
        <w:rPr>
          <w:rFonts w:ascii="Times New Roman" w:hAnsi="Times New Roman" w:eastAsia="Times New Roman" w:cs="Times New Roman"/>
        </w:rPr>
        <w:t xml:space="preserve"> </w:t>
      </w:r>
      <w:r>
        <w:rPr>
          <w:rFonts w:ascii="Nirmala UI" w:hAnsi="Nirmala UI" w:eastAsia="Nirmala UI" w:cs="Nirmala UI"/>
        </w:rPr>
        <w:t>ലക്ഷ്യം</w:t>
      </w:r>
      <w:r>
        <w:rPr>
          <w:rFonts w:ascii="Times New Roman" w:hAnsi="Times New Roman" w:eastAsia="Times New Roman" w:cs="Times New Roman"/>
        </w:rPr>
        <w:t xml:space="preserve"> </w:t>
      </w:r>
      <w:r>
        <w:rPr>
          <w:rFonts w:ascii="Nirmala UI" w:hAnsi="Nirmala UI" w:eastAsia="Nirmala UI" w:cs="Nirmala UI"/>
        </w:rPr>
        <w:t>എതിർപ്പുകൾ</w:t>
      </w:r>
      <w:r>
        <w:rPr>
          <w:rFonts w:ascii="Times New Roman" w:hAnsi="Times New Roman" w:eastAsia="Times New Roman" w:cs="Times New Roman"/>
        </w:rPr>
        <w:t xml:space="preserve"> </w:t>
      </w:r>
      <w:r>
        <w:rPr>
          <w:rFonts w:ascii="Nirmala UI" w:hAnsi="Nirmala UI" w:eastAsia="Nirmala UI" w:cs="Nirmala UI"/>
        </w:rPr>
        <w:t>വേദപുസ്തകസമ്മതമായ</w:t>
      </w:r>
      <w:r>
        <w:rPr>
          <w:rFonts w:ascii="Times New Roman" w:hAnsi="Times New Roman" w:eastAsia="Times New Roman" w:cs="Times New Roman"/>
        </w:rPr>
        <w:t xml:space="preserve"> </w:t>
      </w:r>
      <w:r>
        <w:rPr>
          <w:rFonts w:ascii="Nirmala UI" w:hAnsi="Nirmala UI" w:eastAsia="Nirmala UI" w:cs="Nirmala UI"/>
        </w:rPr>
        <w:t>രീതിയിൽ</w:t>
      </w:r>
      <w:r>
        <w:rPr>
          <w:rFonts w:ascii="Times New Roman" w:hAnsi="Times New Roman" w:eastAsia="Times New Roman" w:cs="Times New Roman"/>
        </w:rPr>
        <w:t xml:space="preserve"> </w:t>
      </w:r>
      <w:r>
        <w:rPr>
          <w:rFonts w:ascii="Nirmala UI" w:hAnsi="Nirmala UI" w:eastAsia="Nirmala UI" w:cs="Nirmala UI"/>
        </w:rPr>
        <w:t>നീക്കിക്കളഞ്ഞ്</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വരുന്നതിന്</w:t>
      </w:r>
      <w:r>
        <w:rPr>
          <w:rFonts w:ascii="Times New Roman" w:hAnsi="Times New Roman" w:eastAsia="Times New Roman" w:cs="Times New Roman"/>
        </w:rPr>
        <w:t xml:space="preserve"> </w:t>
      </w:r>
      <w:r>
        <w:rPr>
          <w:rFonts w:ascii="Nirmala UI" w:hAnsi="Nirmala UI" w:eastAsia="Nirmala UI" w:cs="Nirmala UI"/>
        </w:rPr>
        <w:t>വായനക്കാരന്റെ</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ഒരുക്കുക</w:t>
      </w:r>
      <w:r>
        <w:rPr>
          <w:rFonts w:ascii="Times New Roman" w:hAnsi="Times New Roman" w:eastAsia="Times New Roman" w:cs="Times New Roman"/>
        </w:rPr>
        <w:t xml:space="preserve"> </w:t>
      </w:r>
      <w:r>
        <w:rPr>
          <w:rFonts w:ascii="Nirmala UI" w:hAnsi="Nirmala UI" w:eastAsia="Nirmala UI" w:cs="Nirmala UI"/>
        </w:rPr>
        <w:t>എന്നതാണ്</w:t>
      </w:r>
      <w:r>
        <w:rPr>
          <w:rFonts w:ascii="Times New Roman" w:hAnsi="Times New Roman" w:eastAsia="Times New Roman" w:cs="Times New Roman"/>
        </w:rPr>
        <w:t xml:space="preserve">.” — </w:t>
      </w:r>
      <w:r>
        <w:rPr>
          <w:rFonts w:ascii="Nirmala UI" w:hAnsi="Nirmala UI" w:eastAsia="Nirmala UI" w:cs="Nirmala UI"/>
        </w:rPr>
        <w:t>ജെയിംസ്</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شمارہ چھتیس</dc:title>
  <dc:subject>នេប៊ូកាដ្នេស្សារ និងនិមិត្តសញ្ញាព្យាករណ៍របស់គាត់៖ ការបើកបង្ហាញសញ្ញាសម្គាល់ប្រវត្តិសាស្ត្រនៃចលនា​មិល្លឺរ៉ាយ និងនិមិត្តដែលបានបិទត្រានៃទន្លេ​អ៊ុលាយ</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