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пророка Даниила — № тридцать девять</w:t>
      </w:r>
    </w:p>
    <w:p>
      <w:pPr>
        <w:pStyle w:val="ArticleSubtitle"/>
        <w:jc w:val="left"/>
      </w:pPr>
      <w:r>
        <w:rPr>
          <w:rFonts w:ascii="Segoe UI" w:hAnsi="Segoe UI" w:eastAsia="Segoe UI" w:cs="Segoe UI"/>
        </w:rPr>
        <w:t>تار</w:t>
      </w:r>
      <w:r>
        <w:rPr>
          <w:rFonts w:ascii="Arial" w:hAnsi="Arial" w:eastAsia="Arial" w:cs="Arial"/>
        </w:rPr>
        <w:t xml:space="preserve"> </w:t>
      </w:r>
      <w:r>
        <w:rPr>
          <w:rFonts w:ascii="Segoe UI" w:hAnsi="Segoe UI" w:eastAsia="Segoe UI" w:cs="Segoe UI"/>
        </w:rPr>
        <w:t>دەکردنی</w:t>
      </w:r>
      <w:r>
        <w:rPr>
          <w:rFonts w:ascii="Arial" w:hAnsi="Arial" w:eastAsia="Arial" w:cs="Arial"/>
        </w:rPr>
        <w:t xml:space="preserve"> </w:t>
      </w:r>
      <w:r>
        <w:rPr>
          <w:rFonts w:ascii="Segoe UI" w:hAnsi="Segoe UI" w:eastAsia="Segoe UI" w:cs="Segoe UI"/>
        </w:rPr>
        <w:t>نەخشەی</w:t>
      </w:r>
      <w:r>
        <w:rPr>
          <w:rFonts w:ascii="Arial" w:hAnsi="Arial" w:eastAsia="Arial" w:cs="Arial"/>
        </w:rPr>
        <w:t xml:space="preserve"> </w:t>
      </w:r>
      <w:r>
        <w:rPr>
          <w:rFonts w:ascii="Segoe UI" w:hAnsi="Segoe UI" w:eastAsia="Segoe UI" w:cs="Segoe UI"/>
        </w:rPr>
        <w:t>پێغەمبەرانە</w:t>
      </w:r>
      <w:r>
        <w:rPr>
          <w:rFonts w:ascii="Arial" w:hAnsi="Arial" w:eastAsia="Arial" w:cs="Arial"/>
        </w:rPr>
        <w:t xml:space="preserve">: </w:t>
      </w:r>
      <w:r>
        <w:rPr>
          <w:rFonts w:ascii="Segoe UI" w:hAnsi="Segoe UI" w:eastAsia="Segoe UI" w:cs="Segoe UI"/>
        </w:rPr>
        <w:t>خەونی</w:t>
      </w:r>
      <w:r>
        <w:rPr>
          <w:rFonts w:ascii="Arial" w:hAnsi="Arial" w:eastAsia="Arial" w:cs="Arial"/>
        </w:rPr>
        <w:t xml:space="preserve"> </w:t>
      </w:r>
      <w:r>
        <w:rPr>
          <w:rFonts w:ascii="Segoe UI" w:hAnsi="Segoe UI" w:eastAsia="Segoe UI" w:cs="Segoe UI"/>
        </w:rPr>
        <w:t>ویلیام</w:t>
      </w:r>
      <w:r>
        <w:rPr>
          <w:rFonts w:ascii="Arial" w:hAnsi="Arial" w:eastAsia="Arial" w:cs="Arial"/>
        </w:rPr>
        <w:t xml:space="preserve"> </w:t>
      </w:r>
      <w:r>
        <w:rPr>
          <w:rFonts w:ascii="Segoe UI" w:hAnsi="Segoe UI" w:eastAsia="Segoe UI" w:cs="Segoe UI"/>
        </w:rPr>
        <w:t>میلەر</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گەڕاندنەوەی</w:t>
      </w:r>
      <w:r>
        <w:rPr>
          <w:rFonts w:ascii="Arial" w:hAnsi="Arial" w:eastAsia="Arial" w:cs="Arial"/>
        </w:rPr>
        <w:t xml:space="preserve"> </w:t>
      </w:r>
      <w:r>
        <w:rPr>
          <w:rFonts w:ascii="Segoe UI" w:hAnsi="Segoe UI" w:eastAsia="Segoe UI" w:cs="Segoe UI"/>
        </w:rPr>
        <w:t>ڕاستییە</w:t>
      </w:r>
      <w:r>
        <w:rPr>
          <w:rFonts w:ascii="Arial" w:hAnsi="Arial" w:eastAsia="Arial" w:cs="Arial"/>
        </w:rPr>
        <w:t xml:space="preserve"> </w:t>
      </w:r>
      <w:r>
        <w:rPr>
          <w:rFonts w:ascii="Segoe UI" w:hAnsi="Segoe UI" w:eastAsia="Segoe UI" w:cs="Segoe UI"/>
        </w:rPr>
        <w:t>بنەڕەتییەکان</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ڕۆژانی</w:t>
      </w:r>
      <w:r>
        <w:rPr>
          <w:rFonts w:ascii="Arial" w:hAnsi="Arial" w:eastAsia="Arial" w:cs="Arial"/>
        </w:rPr>
        <w:t xml:space="preserve"> </w:t>
      </w:r>
      <w:r>
        <w:rPr>
          <w:rFonts w:ascii="Segoe UI" w:hAnsi="Segoe UI" w:eastAsia="Segoe UI" w:cs="Segoe UI"/>
        </w:rPr>
        <w:t>دواییدا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Li t'utijoj pa ruxaq q'ij re ruwachib'al ri sxik’inem re William Miller pa taq ri q'ij k’isb’äl, achike k’o ronojel taq q’alajisab’äl nik’ulwachij ri tz’aqät rujik’oxik. Ri sxik’inem re Miller nuk’ut ri rilik, ri ruya’ik pa rutzil, ri retzelaxik, ri mukuxik, xuquje’ ri k’amik chik pa k’aslemal re ri taq ruxe’el taq q’ijab’al rech ri Adventismo, ri xkimol rumal ri patanijem re Miller. Ri taq ruxe’el taq q’ijab’al la’ e k’o pa kiwi’ ri q’ijab’al ri xjaqataj pa 1798. Ri q’ijab’al la’ e k’o pa kiwi’ pa ri k’utb’al re ri ya’ re Ulai. Ri sxik’inem re Miller, jas ri tz’ib’atal pa ri wuj Early Writings, are’ ri ruka’n sxik’inem; xuquje’ ri sxik’inem la’ xux mayijixik rumal ri ruka’n sxik’inem re Nabucodonosor, jas che ri Miller mismo xux mayijixik rumal Nabucodonosor.</w:t>
      </w:r>
    </w:p>
    <w:p>
      <w:pPr>
        <w:pStyle w:val="ArticleBody"/>
        <w:jc w:val="left"/>
      </w:pPr>
      <w:r>
        <w:rPr>
          <w:rFonts w:ascii="Times New Roman" w:hAnsi="Times New Roman" w:eastAsia="Times New Roman" w:cs="Times New Roman"/>
        </w:rPr>
        <w:t>مقالاتو پېشین نشانه ده‌ون که پایانِ زِندگیِ نَبوکدنصر که «هَفت زمان» ره با دِلِ حیوانی زِندگی کد، به‌گونۀ نمادین در سال 1798 خاتمه یافت. پادشاهیِ او پس از او بازگردانده شُد، و برای نخستین بار، نَبوکدنصر نمایندۀ مردی کاملآ تغییر‌یافته و ایماندار شُد. از نگاهِ «زمانِ آخر»، در سال 1798، او نمایندۀ «خِرَدمندان» بود. همچنان، ما تشخیص داده‌ایم که نَبوکدنصر، به‌حیثِ نخستین پادشاهِ بابل، در داوریِ «هفت زمان» خود، نمونۀ پیشاپیشِ داوریِ دو هزار و پنج‌صد و بیست‌گانۀ بِلشصر بود (mene, mene, tekel, upharsin)، که او آخرین پادشاهِ بابل بود.</w:t>
      </w:r>
    </w:p>
    <w:p>
      <w:pPr>
        <w:pStyle w:val="ArticleScripture"/>
        <w:jc w:val="left"/>
      </w:pPr>
      <w:r>
        <w:rPr>
          <w:rFonts w:ascii="Times New Roman" w:hAnsi="Times New Roman" w:eastAsia="Times New Roman" w:cs="Times New Roman"/>
        </w:rPr>
        <w:t>«Բաբելոնի վերջին իշխանի վրա, ինչպես նախատիպորեն նրա առաջինի վրա, եկել էր աստվածային Դիտորդի դատավճիռը. “Ո՛վ թագավոր, … քեզ է ասվում. թագավորությունը հեռացել է քեզնից”։ Դանիել 4:31»։ Մարգարեներ և Թագավորներ, 533։</w:t>
      </w:r>
    </w:p>
    <w:p>
      <w:pPr>
        <w:pStyle w:val="ArticleBody"/>
        <w:jc w:val="left"/>
      </w:pPr>
      <w:r>
        <w:rPr>
          <w:rFonts w:ascii="Times New Roman" w:hAnsi="Times New Roman" w:eastAsia="Times New Roman" w:cs="Times New Roman"/>
        </w:rPr>
        <w:t>Уайт апа өзүнүн сот саатында Белшатсарды «акылсыз падыша» деп аныктаган. Небухаданасардын сот саатынын акырында ал «акылдуу падышаны» билдирет, анткени ал «жети убакыт»ка созулган соттон пайда алды, ал эми Белшатсар болсо, бул тарыхты билсе да, андан пайда алуудан баш тартты.</w:t>
      </w:r>
    </w:p>
    <w:p>
      <w:pPr>
        <w:pStyle w:val="ArticleScripture"/>
        <w:jc w:val="left"/>
      </w:pPr>
      <w:r>
        <w:rPr>
          <w:rFonts w:ascii="Times New Roman" w:hAnsi="Times New Roman" w:eastAsia="Times New Roman" w:cs="Times New Roman"/>
        </w:rPr>
        <w:t>«کینتو بەلشازارپا قوشارگییچه ھەم ئۆزینی ئۇلۇغلاشتۇرۇشقا بولغان سۆيگۈسى ئۇ ھەرگىز ئۇنتۇماسلىقى كېرەك بولغان سەۋاقلارنى ئۆچۈرۈپ تاشلىدى؛ ۋە ئۇ نەۋۇخادنەسار ئۈستىگە روشەن ھۆكۈملەرنى كەلتۈرگەن گۇناھلارغا ئوخشاش گۇناھلارنى قىلدى. ئۇ ئۆزىگە مېھىر-شەپقەت بىلەن بېرىلگەن پۇرسەتلەرنى زايا قىلدى، قولى يەتكەن پۇرسەتلەردىن پايدىلانماي، ھەقىقەت بىلەن تونۇشۇپ چىقىشنى سەل قارىدى. “قۇتقۇزۇلۇشۇم ئۈچۈن مەن نېمە قىلىشىم كېرەك؟” دېگەن سوئالنى ئۇ بۈيۈك، ئەمما ئەقلسىز پادىشاھ بىپەرۋالىق بىلەن يېنىدىن ئۆتكۈزۈپ يۇباردى.» Bible Echo, April 25, 1898.</w:t>
      </w:r>
    </w:p>
    <w:p>
      <w:pPr>
        <w:pStyle w:val="ArticleBody"/>
        <w:jc w:val="left"/>
      </w:pPr>
      <w:r>
        <w:rPr>
          <w:rFonts w:ascii="Nirmala UI" w:hAnsi="Nirmala UI" w:eastAsia="Nirmala UI" w:cs="Nirmala UI"/>
        </w:rPr>
        <w:t>நெபுகத்நேச்சர்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1798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ஞானிகளின்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அடையாளமாகும்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முடிவுக்காலத்தில்</w:t>
      </w:r>
      <w:r>
        <w:rPr>
          <w:rFonts w:ascii="Times New Roman" w:hAnsi="Times New Roman" w:eastAsia="Times New Roman" w:cs="Times New Roman"/>
        </w:rPr>
        <w:t xml:space="preserve"> </w:t>
      </w:r>
      <w:r>
        <w:rPr>
          <w:rFonts w:ascii="Nirmala UI" w:hAnsi="Nirmala UI" w:eastAsia="Nirmala UI" w:cs="Nirmala UI"/>
        </w:rPr>
        <w:t>அறிவு</w:t>
      </w:r>
      <w:r>
        <w:rPr>
          <w:rFonts w:ascii="Times New Roman" w:hAnsi="Times New Roman" w:eastAsia="Times New Roman" w:cs="Times New Roman"/>
        </w:rPr>
        <w:t xml:space="preserve"> </w:t>
      </w:r>
      <w:r>
        <w:rPr>
          <w:rFonts w:ascii="Nirmala UI" w:hAnsi="Nirmala UI" w:eastAsia="Nirmala UI" w:cs="Nirmala UI"/>
        </w:rPr>
        <w:t>பெருகுதலைப்</w:t>
      </w:r>
      <w:r>
        <w:rPr>
          <w:rFonts w:ascii="Times New Roman" w:hAnsi="Times New Roman" w:eastAsia="Times New Roman" w:cs="Times New Roman"/>
        </w:rPr>
        <w:t xml:space="preserve"> </w:t>
      </w:r>
      <w:r>
        <w:rPr>
          <w:rFonts w:ascii="Nirmala UI" w:hAnsi="Nirmala UI" w:eastAsia="Nirmala UI" w:cs="Nirmala UI"/>
        </w:rPr>
        <w:t>புரிந்துகொள்கிறவர்கள்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mapagpalalong paghahambog ay bahagya pa lamang nakalalabas sa kaniyang mga labi, nang isang tinig mula sa Langit ang nagsabi sa kaniya na ang takdang panahon ng paghatol ng Diyos ay dumating na. Sa isang sandali ay nawala ang kaniyang katinuan, at siya’y naging gaya ng isang hayop. Sa loob ng pitong taon ay gayon siyang ibinaba. Sa katapusan ng panahong ito ay naibalik sa kaniya ang kaniyang katinuan, at nang siya’y tumingala sa dakilang Diyos ng Langit taglay ang kapakumbabaan, kinilala niya ang banal na kamay sa pagpaparusahang ito, at muling naibalik sa kaniya ang kaniyang trono.”</w:t>
      </w:r>
    </w:p>
    <w:p>
      <w:pPr>
        <w:pStyle w:val="ArticleScripture"/>
        <w:jc w:val="left"/>
      </w:pPr>
      <w:r>
        <w:rPr>
          <w:rFonts w:ascii="Times New Roman" w:hAnsi="Times New Roman" w:eastAsia="Times New Roman" w:cs="Times New Roman"/>
        </w:rPr>
        <w:t>«Нийтийн тунхаглалд Небухаднезар хаан өөрийн гэм бурууг хүлээн зөвшөөрч, өөрийг нь сэргээн босгосон Бурханы агуу өршөөлийг хүлээн зөвшөөрсөн юм. Энэ нь Ариун Түүхэнд тэмдэглэгдсэнээр түүний амьдралын сүүлчийн үйлдэл байлаа.» Review and Herald, February 1, 1881.</w:t>
      </w:r>
    </w:p>
    <w:p>
      <w:pPr>
        <w:pStyle w:val="ArticleBody"/>
        <w:jc w:val="left"/>
      </w:pPr>
      <w:r>
        <w:rPr>
          <w:rFonts w:ascii="Times New Roman" w:hAnsi="Times New Roman" w:eastAsia="Times New Roman" w:cs="Times New Roman"/>
        </w:rPr>
        <w:t>Набуходоносор өзүнүн «жети мезгилинин» аягында жалпыга ачык жарлык чыгарып, анын ичине ачык моюнга алуу да киргизген. Набуходоносор катары Миллер соңку мезгилдеги билимдин көбөйүшүн түшүнгөн 1798-жылдагы «акылдууларды» символдоштурат. Экөөнүн тең экиден түшү болгон, жана алардын ар биринин экинчи түшү символдук түрдө «жети мезгилди» аныктайт. Мурунку макалаларда көрсөтүлгөндөй, «жети мезгил» өтүүчү бурулуш чекитин белгилейт.</w:t>
      </w:r>
    </w:p>
    <w:p>
      <w:pPr>
        <w:pStyle w:val="ArticleBody"/>
        <w:jc w:val="left"/>
      </w:pPr>
      <w:r>
        <w:rPr>
          <w:rFonts w:ascii="Times New Roman" w:hAnsi="Times New Roman" w:eastAsia="Times New Roman" w:cs="Times New Roman"/>
        </w:rPr>
        <w:t>Sól 1798 ba Nebukadnetsar da báa tsęh níhííł łeh hólǫ́ǫgo, dóó t’áá ajiłii’ígíí biyi’di łágo ádinilní. Biyi’di t’áá łikanígo yáhoot’ééłígíí ałhidadiilya. 1798, ałtsé Bible prophecy biyi’di kingdom ashdlá’ii dóó hastą́ą́dii naaki bitwééh nitsáhákees biyi’di tł’éédáá’ ádinilní. Aoo’, ałtsé angel atahgo yił nááhóódlǫ́ǫ́zh, áádóó áłah nidaanishgo dispensation yáhoot’ééł ádinilní, dóó judgment yiká ajiłii’ígíí bíla’ashdla’ii kingdom Bible prophecy biyi’di deadly wound bee hólǫ́ doo t’áá ajiłii’ígíí yáhoot’ééł da.</w:t>
      </w:r>
    </w:p>
    <w:p>
      <w:pPr>
        <w:pStyle w:val="ArticleScripture"/>
        <w:jc w:val="left"/>
      </w:pPr>
      <w:r>
        <w:rPr>
          <w:rFonts w:ascii="Times New Roman" w:hAnsi="Times New Roman" w:eastAsia="Times New Roman" w:cs="Times New Roman"/>
        </w:rPr>
        <w:t>“Мессиҷ һада афра та афрыуаӡеиҭ иара ирзаанагоит аамҭазы ари аусқәа шьақәгылараны иҟоу. Иаҳәо иҟоуп уи «еиԥымҵәауа Аевангелие» иахәҭакны; насгьы уи аӡбаратә сааҭ аартра аанацҳауеит. Аиқәырхара амессиҷ абжьы зхы иақәиҭны иаҳәахьан аамҭақәа зегьы рҿы; аха ари амессиҷ Аевангелиеиу ахәҭахьы иаҵанакуеит, аҵыхәтәантәи амшқәа рҿы мацара иҳәазар ҟалоит, избанзар усҟан мацара акәын ииашахараны иҟоу аӡбаратә сааҭ шааиз. Апророчествақәа иаадырԥшуеит ахҭысқәа рышьҭа-шьҭанеиԥшынра, аӡба аартра аҟынӡа инеиуа. Ари хазы ирласны иубарҭоуп Даниил иашәҟәаҿы. Аха ипророчество уи ахәҭа, аҵыхәтәантәи амшқәа ирызку, Даниил иеиҳәеит иҵыҩны иԥхьаркырц, иҳәарҭахарц «ахыркәшаратә аамҭа аҟынӡа». Ари аамҭанӡа ҳанымнеицыз, ари апророчествақәа рынагӡара ашьаҭала аӡба иазку амессиҷ аӡәырҩы ирзеиҭҳәаны иԥыржәара алшомызт. Аха ахыркәшаратә аамҭазы, аԥааимбар иҳәоит, «көпҩы иана-ара иныҟәалоит, адыррагьы иацлоит». Даниил 12:4.</w:t>
      </w:r>
    </w:p>
    <w:p>
      <w:pPr>
        <w:pStyle w:val="ArticleScripture"/>
        <w:jc w:val="left"/>
      </w:pPr>
      <w:r>
        <w:rPr>
          <w:rFonts w:ascii="Times New Roman" w:hAnsi="Times New Roman" w:eastAsia="Times New Roman" w:cs="Times New Roman"/>
        </w:rPr>
        <w:t>«رسول پاول کلیسا را هشدار داد که در روزگار خودش در انتظار آمدن مسیح نباشد. او می‌گوید: “آن روز نخواهد آمد، مگر آنکه نخست ارتدادی واقع شود و آن مرد گناه آشکار گردد.” ۲ تسالونیکیان ۲:۳. تنها پس از ارتداد عظیم، و دورهٔ طولانی فرمانرواییِ “مرد گناه”، می‌توانیم در انتظار ظهورِ سرورمان باشیم. “مرد گناه” که همچنین “سرّ بی‌دینی”، “فرزند هلاکت”، و “آن شریر” نیز نامیده شده است، نمایانگر پاپیّت است؛ همان قدرتی که، چنان‌که در نبوت پیشگویی شده بود، می‌بایست برتری خود را به مدت ۱۲۶۰ سال حفظ کند. این دوره در سال ۱۷۹۸ پایان یافت. آمدنِ مسیح نمی‌توانست پیش از آن زمان واقع شود. پاول در هشدار خود، تمام عصر مسیحی را تا سال ۱۷۹۸ در بر می‌گیرد. این از این سویِ آن زمان است که پیامِ آمدنِ دوبارهٔ مسیح باید اعلام شود.»</w:t>
      </w:r>
    </w:p>
    <w:p>
      <w:pPr>
        <w:pStyle w:val="ArticleScripture"/>
        <w:jc w:val="left"/>
      </w:pPr>
      <w:r>
        <w:rPr>
          <w:rFonts w:ascii="Times New Roman" w:hAnsi="Times New Roman" w:eastAsia="Times New Roman" w:cs="Times New Roman"/>
        </w:rPr>
        <w:t>«اس طرح کا کوئی پیغام گزشتہ زمانوں میں کبھی نہیں دیا گیا۔ پولُس نے، جیسا کہ ہم دیکھ چکے ہیں، اسے منادی نہیں کیا؛ بلکہ اُس نے اپنے بھائیوں کو خداوند کی آمد کے لیے اُس وقت کے لحاظ سے ابھی بہت دُور مستقبل کی طرف متوجہ کیا۔ مصلحین نے بھی اس کا اعلان نہیں کیا۔ مارٹن لوتھر نے عدالتِ الٰہی کو اپنے زمانے سے تقریباً تین سو برس بعد کا واقعہ قرار دیا۔ لیکن 1798 سے کتابِ دانی ایل کی مُہر کھول دی گئی ہے، نبوتوں کا علم بڑھ گیا ہے، اور بہت سوں نے قریب آ پہنچی عدالت کا سنجیدہ پیغام سنایا ہے۔» The Great Controversy, 356.</w:t>
      </w:r>
    </w:p>
    <w:p>
      <w:pPr>
        <w:pStyle w:val="ArticleBody"/>
        <w:jc w:val="left"/>
      </w:pPr>
      <w:r>
        <w:rPr>
          <w:rFonts w:ascii="Times New Roman" w:hAnsi="Times New Roman" w:eastAsia="Times New Roman" w:cs="Times New Roman"/>
        </w:rPr>
        <w:t>1798 йылында ҡотолоу эшенең яңы осоро килде, һәм был яңы осор 1844 йылда башланасаҡ икенсе бер осор тураһында иҫкәртеү бирҙе. Ошо осор алмашынғанда, бер ишек ябылыр, ә бер ишек асылыр ине.</w:t>
      </w:r>
    </w:p>
    <w:p>
      <w:pPr>
        <w:pStyle w:val="ArticleScripture"/>
        <w:jc w:val="left"/>
      </w:pP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ਦਾਊਦ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3:7, 8.</w:t>
      </w:r>
    </w:p>
    <w:p>
      <w:pPr>
        <w:pStyle w:val="ArticleBody"/>
        <w:jc w:val="left"/>
      </w:pPr>
      <w:r>
        <w:rPr>
          <w:rFonts w:ascii="Times New Roman" w:hAnsi="Times New Roman" w:eastAsia="Times New Roman" w:cs="Times New Roman"/>
        </w:rPr>
        <w:t>آغازه‌کردنی دەرگا نیشانەی دەورێکی نوێی تەدبیرییە. گۆڕانکارییەکی تەدبیری لە پاشایەتییەکان و لە پەیامدا لە ساڵی 1798 هاتەدی، لە کۆتایی یەکەم تووڕەیی، ئەوەی کە لە 723 پێش زایینەوە تا 1798 تەواو کرا. هەروەها گۆڕانکارییەکی تەدبیریش لە ساڵی 1844 هاتەدی، لە کۆتایی دواهەمین تووڕەیی، ئەوەی کە لە 677 پێش زایینەوە تا 1844 تەواو کرا. لە 1798دا، دەوری تەدبیری پەیامی فریشتەی یەکەم، کە ئاگاداری لە دادوەریی نزیکبووەوە دەدا، گەیشتبوو. هەردووکیان، نەبووخەدنەسر و Miller، وەک «داناکان» نیشان دراون، لە «کاتی کۆتایی»، کاتێک «دەرگا» کراوە بوو بۆ دەوری ناوەوەی تەدبیری پەیامی فریشتەی یەکەم و بۆ گۆڕانکارییە دەرەکییە تەدبیرییەکە لە دڕندەی دەریا بۆ دڕندەی زەوی. دەوری تەدبیری پەیامی فریشتەی یەکەم تەواو بوو کاتێک دەرگای چوونە ژوورە پیرۆزترینەکە لە 22ی ئۆکتۆبری 1844 کرا، و دەوری تەدبیری فریشتەی سێیەم، و دادوەریی لێکۆڵینەوەیی، هاتەدی.</w:t>
      </w:r>
    </w:p>
    <w:p>
      <w:pPr>
        <w:pStyle w:val="ArticleBody"/>
        <w:jc w:val="left"/>
      </w:pPr>
      <w:r>
        <w:rPr>
          <w:rFonts w:ascii="Nirmala UI" w:hAnsi="Nirmala UI" w:eastAsia="Nirmala UI" w:cs="Nirmala UI"/>
        </w:rPr>
        <w:t>ದೊಡ್ಡ</w:t>
      </w:r>
      <w:r>
        <w:rPr>
          <w:rFonts w:ascii="Times New Roman" w:hAnsi="Times New Roman" w:eastAsia="Times New Roman" w:cs="Times New Roman"/>
        </w:rPr>
        <w:t xml:space="preserve"> </w:t>
      </w:r>
      <w:r>
        <w:rPr>
          <w:rFonts w:ascii="Nirmala UI" w:hAnsi="Nirmala UI" w:eastAsia="Nirmala UI" w:cs="Nirmala UI"/>
        </w:rPr>
        <w:t>ರಾತ್ರಿ</w:t>
      </w:r>
      <w:r>
        <w:rPr>
          <w:rFonts w:ascii="Times New Roman" w:hAnsi="Times New Roman" w:eastAsia="Times New Roman" w:cs="Times New Roman"/>
        </w:rPr>
        <w:t xml:space="preserve"> </w:t>
      </w:r>
      <w:r>
        <w:rPr>
          <w:rFonts w:ascii="Nirmala UI" w:hAnsi="Nirmala UI" w:eastAsia="Nirmala UI" w:cs="Nirmala UI"/>
        </w:rPr>
        <w:t>ಕೂಗುವ</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ಘೋಷಿಸುವುದಕ್ಕಾಗಿ</w:t>
      </w:r>
      <w:r>
        <w:rPr>
          <w:rFonts w:ascii="Times New Roman" w:hAnsi="Times New Roman" w:eastAsia="Times New Roman" w:cs="Times New Roman"/>
        </w:rPr>
        <w:t xml:space="preserve"> </w:t>
      </w:r>
      <w:r>
        <w:rPr>
          <w:rFonts w:ascii="Nirmala UI" w:hAnsi="Nirmala UI" w:eastAsia="Nirmala UI" w:cs="Nirmala UI"/>
        </w:rPr>
        <w:t>ಪುನರ್ಜೀವಿತಗೊಳ್ಳುವ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ಸಾಕ್ಷಿಗಳ</w:t>
      </w:r>
      <w:r>
        <w:rPr>
          <w:rFonts w:ascii="Times New Roman" w:hAnsi="Times New Roman" w:eastAsia="Times New Roman" w:cs="Times New Roman"/>
        </w:rPr>
        <w:t xml:space="preserve">” </w:t>
      </w:r>
      <w:r>
        <w:rPr>
          <w:rFonts w:ascii="Nirmala UI" w:hAnsi="Nirmala UI" w:eastAsia="Nirmala UI" w:cs="Nirmala UI"/>
        </w:rPr>
        <w:t>ಸಂಕ್ರಮಣಕಾಲದಲ್ಲಿ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ಬಾಗಿಲು</w:t>
      </w:r>
      <w:r>
        <w:rPr>
          <w:rFonts w:ascii="Times New Roman" w:hAnsi="Times New Roman" w:eastAsia="Times New Roman" w:cs="Times New Roman"/>
        </w:rPr>
        <w:t xml:space="preserve"> </w:t>
      </w:r>
      <w:r>
        <w:rPr>
          <w:rFonts w:ascii="Nirmala UI" w:hAnsi="Nirmala UI" w:eastAsia="Nirmala UI" w:cs="Nirmala UI"/>
        </w:rPr>
        <w:t>ತೆರೆದಾಗ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ಅಂತ್ಯಗೊಳ್ಳುತ್ತದೆ</w:t>
      </w:r>
      <w:r>
        <w:rPr>
          <w:rFonts w:ascii="Times New Roman" w:hAnsi="Times New Roman" w:eastAsia="Times New Roman" w:cs="Times New Roman"/>
        </w:rPr>
        <w:t xml:space="preserve">. </w:t>
      </w:r>
      <w:r>
        <w:rPr>
          <w:rFonts w:ascii="Nirmala UI" w:hAnsi="Nirmala UI" w:eastAsia="Nirmala UI" w:cs="Nirmala UI"/>
        </w:rPr>
        <w:t>ಪ್ರವಾದನಾತ್ಮಕವಾಗಿ</w:t>
      </w:r>
      <w:r>
        <w:rPr>
          <w:rFonts w:ascii="Times New Roman" w:hAnsi="Times New Roman" w:eastAsia="Times New Roman" w:cs="Times New Roman"/>
        </w:rPr>
        <w:t xml:space="preserve"> </w:t>
      </w:r>
      <w:r>
        <w:rPr>
          <w:rFonts w:ascii="Nirmala UI" w:hAnsi="Nirmala UI" w:eastAsia="Nirmala UI" w:cs="Nirmala UI"/>
        </w:rPr>
        <w:t>ನೆಬೂಕದ್ನೆಜ್ಜರೂ</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 xml:space="preserve"> </w:t>
      </w:r>
      <w:r>
        <w:rPr>
          <w:rFonts w:ascii="Nirmala UI" w:hAnsi="Nirmala UI" w:eastAsia="Nirmala UI" w:cs="Nirmala UI"/>
        </w:rPr>
        <w:t>ಇಬ್ಬರೂ</w:t>
      </w:r>
      <w:r>
        <w:rPr>
          <w:rFonts w:ascii="Times New Roman" w:hAnsi="Times New Roman" w:eastAsia="Times New Roman" w:cs="Times New Roman"/>
        </w:rPr>
        <w:t xml:space="preserve"> 1798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ಸಮುದ್ರ</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ರಾಜ್ಯದಿಂದ</w:t>
      </w:r>
      <w:r>
        <w:rPr>
          <w:rFonts w:ascii="Times New Roman" w:hAnsi="Times New Roman" w:eastAsia="Times New Roman" w:cs="Times New Roman"/>
        </w:rPr>
        <w:t xml:space="preserve"> </w:t>
      </w:r>
      <w:r>
        <w:rPr>
          <w:rFonts w:ascii="Nirmala UI" w:hAnsi="Nirmala UI" w:eastAsia="Nirmala UI" w:cs="Nirmala UI"/>
        </w:rPr>
        <w:t>ಭೂಮಿ</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ರಾಜ್ಯಕ್ಕೆ</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ಸಂಕ್ರಮಣವನ್ನು</w:t>
      </w:r>
      <w:r>
        <w:rPr>
          <w:rFonts w:ascii="Times New Roman" w:hAnsi="Times New Roman" w:eastAsia="Times New Roman" w:cs="Times New Roman"/>
        </w:rPr>
        <w:t xml:space="preserve"> </w:t>
      </w:r>
      <w:r>
        <w:rPr>
          <w:rFonts w:ascii="Nirmala UI" w:hAnsi="Nirmala UI" w:eastAsia="Nirmala UI" w:cs="Nirmala UI"/>
        </w:rPr>
        <w:t>ಪ್ರತಿನಿಧಿಸಿದರು</w:t>
      </w:r>
      <w:r>
        <w:rPr>
          <w:rFonts w:ascii="Times New Roman" w:hAnsi="Times New Roman" w:eastAsia="Times New Roman" w:cs="Times New Roman"/>
        </w:rPr>
        <w:t>. 1844</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ತನಿಖಾತ್ಮಕ</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ಸಮೀಪಗಮನವನ್ನೂ</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ಆಗಮನವನ್ನೂ</w:t>
      </w:r>
      <w:r>
        <w:rPr>
          <w:rFonts w:ascii="Times New Roman" w:hAnsi="Times New Roman" w:eastAsia="Times New Roman" w:cs="Times New Roman"/>
        </w:rPr>
        <w:t xml:space="preserve"> </w:t>
      </w:r>
      <w:r>
        <w:rPr>
          <w:rFonts w:ascii="Nirmala UI" w:hAnsi="Nirmala UI" w:eastAsia="Nirmala UI" w:cs="Nirmala UI"/>
        </w:rPr>
        <w:t>ಪ್ರಕಟಿಸುವುದನ್ನೂ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ಇಬ್ಬರೂ</w:t>
      </w:r>
      <w:r>
        <w:rPr>
          <w:rFonts w:ascii="Times New Roman" w:hAnsi="Times New Roman" w:eastAsia="Times New Roman" w:cs="Times New Roman"/>
        </w:rPr>
        <w:t xml:space="preserve"> </w:t>
      </w:r>
      <w:r>
        <w:rPr>
          <w:rFonts w:ascii="Nirmala UI" w:hAnsi="Nirmala UI" w:eastAsia="Nirmala UI" w:cs="Nirmala UI"/>
        </w:rPr>
        <w:t>ಪ್ರತಿನಿಧಿಸುತ್ತಾರೆ</w:t>
      </w:r>
      <w:r>
        <w:rPr>
          <w:rFonts w:ascii="Times New Roman" w:hAnsi="Times New Roman" w:eastAsia="Times New Roman" w:cs="Times New Roman"/>
        </w:rPr>
        <w:t xml:space="preserve">. 1798 </w:t>
      </w:r>
      <w:r>
        <w:rPr>
          <w:rFonts w:ascii="Nirmala UI" w:hAnsi="Nirmala UI" w:eastAsia="Nirmala UI" w:cs="Nirmala UI"/>
        </w:rPr>
        <w:t>ಮತ್ತು</w:t>
      </w:r>
      <w:r>
        <w:rPr>
          <w:rFonts w:ascii="Times New Roman" w:hAnsi="Times New Roman" w:eastAsia="Times New Roman" w:cs="Times New Roman"/>
        </w:rPr>
        <w:t xml:space="preserve"> 1844,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ನಿರ್ದಿಷ್ಟಪಡಿಸಲ್ಪಟ್ಟಿರುವ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ಅವಧಿಯಲ್ಲಿ</w:t>
      </w:r>
      <w:r>
        <w:rPr>
          <w:rFonts w:ascii="Times New Roman" w:hAnsi="Times New Roman" w:eastAsia="Times New Roman" w:cs="Times New Roman"/>
        </w:rPr>
        <w:t xml:space="preserve"> </w:t>
      </w:r>
      <w:r>
        <w:rPr>
          <w:rFonts w:ascii="Nirmala UI" w:hAnsi="Nirmala UI" w:eastAsia="Nirmala UI" w:cs="Nirmala UI"/>
        </w:rPr>
        <w:t>ನೆರವೇರಿದ</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ವಿರುದ್ಧದ</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ಕ್ರೋಧಗಳ</w:t>
      </w:r>
      <w:r>
        <w:rPr>
          <w:rFonts w:ascii="Times New Roman" w:hAnsi="Times New Roman" w:eastAsia="Times New Roman" w:cs="Times New Roman"/>
        </w:rPr>
        <w:t xml:space="preserve">” </w:t>
      </w:r>
      <w:r>
        <w:rPr>
          <w:rFonts w:ascii="Nirmala UI" w:hAnsi="Nirmala UI" w:eastAsia="Nirmala UI" w:cs="Nirmala UI"/>
        </w:rPr>
        <w:t>ಸಮಾಪ್ತಿಯನ್ನು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1798</w:t>
      </w:r>
      <w:r>
        <w:rPr>
          <w:rFonts w:ascii="Nirmala UI" w:hAnsi="Nirmala UI" w:eastAsia="Nirmala UI" w:cs="Nirmala UI"/>
        </w:rPr>
        <w:t>ರಿಂದ</w:t>
      </w:r>
      <w:r>
        <w:rPr>
          <w:rFonts w:ascii="Times New Roman" w:hAnsi="Times New Roman" w:eastAsia="Times New Roman" w:cs="Times New Roman"/>
        </w:rPr>
        <w:t xml:space="preserve"> 1844</w:t>
      </w:r>
      <w:r>
        <w:rPr>
          <w:rFonts w:ascii="Nirmala UI" w:hAnsi="Nirmala UI" w:eastAsia="Nirmala UI" w:cs="Nirmala UI"/>
        </w:rPr>
        <w:t>ರವರೆಗಿನ</w:t>
      </w:r>
      <w:r>
        <w:rPr>
          <w:rFonts w:ascii="Times New Roman" w:hAnsi="Times New Roman" w:eastAsia="Times New Roman" w:cs="Times New Roman"/>
        </w:rPr>
        <w:t xml:space="preserve"> </w:t>
      </w:r>
      <w:r>
        <w:rPr>
          <w:rFonts w:ascii="Nirmala UI" w:hAnsi="Nirmala UI" w:eastAsia="Nirmala UI" w:cs="Nirmala UI"/>
        </w:rPr>
        <w:t>ನಲವತ್ತಾರು</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ಆತ್ಮಿಕ</w:t>
      </w:r>
      <w:r>
        <w:rPr>
          <w:rFonts w:ascii="Times New Roman" w:hAnsi="Times New Roman" w:eastAsia="Times New Roman" w:cs="Times New Roman"/>
        </w:rPr>
        <w:t xml:space="preserve"> </w:t>
      </w:r>
      <w:r>
        <w:rPr>
          <w:rFonts w:ascii="Nirmala UI" w:hAnsi="Nirmala UI" w:eastAsia="Nirmala UI" w:cs="Nirmala UI"/>
        </w:rPr>
        <w:t>ದೇವಾಲಯದ</w:t>
      </w:r>
      <w:r>
        <w:rPr>
          <w:rFonts w:ascii="Times New Roman" w:hAnsi="Times New Roman" w:eastAsia="Times New Roman" w:cs="Times New Roman"/>
        </w:rPr>
        <w:t xml:space="preserve"> </w:t>
      </w:r>
      <w:r>
        <w:rPr>
          <w:rFonts w:ascii="Nirmala UI" w:hAnsi="Nirmala UI" w:eastAsia="Nirmala UI" w:cs="Nirmala UI"/>
        </w:rPr>
        <w:t>ನಿರ್ಮಾಣವನ್ನು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xml:space="preserve">; </w:t>
      </w:r>
      <w:r>
        <w:rPr>
          <w:rFonts w:ascii="Nirmala UI" w:hAnsi="Nirmala UI" w:eastAsia="Nirmala UI" w:cs="Nirmala UI"/>
        </w:rPr>
        <w:t>ಅದಕ್ಕೇ</w:t>
      </w:r>
      <w:r>
        <w:rPr>
          <w:rFonts w:ascii="Times New Roman" w:hAnsi="Times New Roman" w:eastAsia="Times New Roman" w:cs="Times New Roman"/>
        </w:rPr>
        <w:t xml:space="preserve"> </w:t>
      </w:r>
      <w:r>
        <w:rPr>
          <w:rFonts w:ascii="Nirmala UI" w:hAnsi="Nirmala UI" w:eastAsia="Nirmala UI" w:cs="Nirmala UI"/>
        </w:rPr>
        <w:t>ಒಡಂಬಡಿಕೆಯ</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ಅಕಸ್ಮಿಕವಾಗಿ</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22, 1844</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ಬಂದನು</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ಸ್ಥಳದಿಂದ</w:t>
      </w:r>
      <w:r>
        <w:rPr>
          <w:rFonts w:ascii="Times New Roman" w:hAnsi="Times New Roman" w:eastAsia="Times New Roman" w:cs="Times New Roman"/>
        </w:rPr>
        <w:t xml:space="preserve"> </w:t>
      </w:r>
      <w:r>
        <w:rPr>
          <w:rFonts w:ascii="Nirmala UI" w:hAnsi="Nirmala UI" w:eastAsia="Nirmala UI" w:cs="Nirmala UI"/>
        </w:rPr>
        <w:t>ಅತಿ</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ಸ್ಥಳಕ್ಕೆ</w:t>
      </w:r>
      <w:r>
        <w:rPr>
          <w:rFonts w:ascii="Times New Roman" w:hAnsi="Times New Roman" w:eastAsia="Times New Roman" w:cs="Times New Roman"/>
        </w:rPr>
        <w:t xml:space="preserve"> </w:t>
      </w:r>
      <w:r>
        <w:rPr>
          <w:rFonts w:ascii="Nirmala UI" w:hAnsi="Nirmala UI" w:eastAsia="Nirmala UI" w:cs="Nirmala UI"/>
        </w:rPr>
        <w:t>ಸಂಕ್ರಮಣಗೊಳ್ಳುವಾಗ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1798 agus 1844, aithníonn siad aistrithe (ní ceann amháin), atá marcáilte ag na “seacht n-uaire.” Bhí aistriú Aidbhintachas Muiléarach Philadelphian go hAidbhintachas Muiléarach Laodicéanach in 1856 marcáilte freisin ag méadú eolais ar na “seacht n-uaire,” rud a diúltaíodh ina dhiaidh sin in 1863. In 1798, bhí méadú eolais ann ó leabhar Dainéil, a chuimsigh na “seacht n-uaire” céanna, de Léivíteas fiche a sé, a bhí le diúltú ag deireadh Aidbhintachas Muiléarach Philadelphian.</w:t>
      </w:r>
    </w:p>
    <w:p>
      <w:pPr>
        <w:pStyle w:val="ArticleBody"/>
        <w:jc w:val="left"/>
      </w:pP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ᎬᏩᏂᏃᏍᏗ</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ᎢᏤᎵ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ᎤᏪᏘᎭ</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ᏈᎳᏕᎵᏱᎠ</w:t>
      </w:r>
      <w:r>
        <w:rPr>
          <w:rFonts w:ascii="Times New Roman" w:hAnsi="Times New Roman" w:eastAsia="Times New Roman" w:cs="Times New Roman"/>
        </w:rPr>
        <w:t xml:space="preserve"> </w:t>
      </w:r>
      <w:r>
        <w:rPr>
          <w:rFonts w:ascii="Gadugi" w:hAnsi="Gadugi" w:eastAsia="Gadugi" w:cs="Gadugi"/>
        </w:rPr>
        <w:t>ᎤᎶᏎᎸ</w:t>
      </w:r>
      <w:r>
        <w:rPr>
          <w:rFonts w:ascii="Times New Roman" w:hAnsi="Times New Roman" w:eastAsia="Times New Roman" w:cs="Times New Roman"/>
        </w:rPr>
        <w:t xml:space="preserve"> </w:t>
      </w:r>
      <w:r>
        <w:rPr>
          <w:rFonts w:ascii="Gadugi" w:hAnsi="Gadugi" w:eastAsia="Gadugi" w:cs="Gadugi"/>
        </w:rPr>
        <w:t>ᎳᎣᏗᏏᎠ</w:t>
      </w:r>
      <w:r>
        <w:rPr>
          <w:rFonts w:ascii="Times New Roman" w:hAnsi="Times New Roman" w:eastAsia="Times New Roman" w:cs="Times New Roman"/>
        </w:rPr>
        <w:t xml:space="preserve"> </w:t>
      </w:r>
      <w:r>
        <w:rPr>
          <w:rFonts w:ascii="Gadugi" w:hAnsi="Gadugi" w:eastAsia="Gadugi" w:cs="Gadugi"/>
        </w:rPr>
        <w:t>ᎠᏥᎬᏔᏅᎩ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1856 </w:t>
      </w:r>
      <w:r>
        <w:rPr>
          <w:rFonts w:ascii="Gadugi" w:hAnsi="Gadugi" w:eastAsia="Gadugi" w:cs="Gadugi"/>
        </w:rPr>
        <w:t>ᎢᏓᎵᏍᏗ</w:t>
      </w:r>
      <w:r>
        <w:rPr>
          <w:rFonts w:ascii="Times New Roman" w:hAnsi="Times New Roman" w:eastAsia="Times New Roman" w:cs="Times New Roman"/>
        </w:rPr>
        <w:t xml:space="preserve"> 1863. </w:t>
      </w:r>
      <w:r>
        <w:rPr>
          <w:rFonts w:ascii="Gadugi" w:hAnsi="Gadugi" w:eastAsia="Gadugi" w:cs="Gadugi"/>
        </w:rPr>
        <w:t>ᎳᎣᏗᏏᎠ</w:t>
      </w:r>
      <w:r>
        <w:rPr>
          <w:rFonts w:ascii="Times New Roman" w:hAnsi="Times New Roman" w:eastAsia="Times New Roman" w:cs="Times New Roman"/>
        </w:rPr>
        <w:t xml:space="preserve"> </w:t>
      </w:r>
      <w:r>
        <w:rPr>
          <w:rFonts w:ascii="Gadugi" w:hAnsi="Gadugi" w:eastAsia="Gadugi" w:cs="Gadugi"/>
        </w:rPr>
        <w:t>ᎤᏍᎦᏨ</w:t>
      </w:r>
      <w:r>
        <w:rPr>
          <w:rFonts w:ascii="Times New Roman" w:hAnsi="Times New Roman" w:eastAsia="Times New Roman" w:cs="Times New Roman"/>
        </w:rPr>
        <w:t xml:space="preserve"> </w:t>
      </w:r>
      <w:r>
        <w:rPr>
          <w:rFonts w:ascii="Gadugi" w:hAnsi="Gadugi" w:eastAsia="Gadugi" w:cs="Gadugi"/>
        </w:rPr>
        <w:t>ᎤᎷᏤᎩ</w:t>
      </w:r>
      <w:r>
        <w:rPr>
          <w:rFonts w:ascii="Times New Roman" w:hAnsi="Times New Roman" w:eastAsia="Times New Roman" w:cs="Times New Roman"/>
        </w:rPr>
        <w:t xml:space="preserve"> 1856,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ᎢᏯᏛᏁᎲ</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ᏗᏓᏟᎶᏍᏗ</w:t>
      </w:r>
      <w:r>
        <w:rPr>
          <w:rFonts w:ascii="Times New Roman" w:hAnsi="Times New Roman" w:eastAsia="Times New Roman" w:cs="Times New Roman"/>
        </w:rPr>
        <w:t xml:space="preserve">” </w:t>
      </w:r>
      <w:r>
        <w:rPr>
          <w:rFonts w:ascii="Gadugi" w:hAnsi="Gadugi" w:eastAsia="Gadugi" w:cs="Gadugi"/>
        </w:rPr>
        <w:t>ᎤᏃᎯᏐᏅᎯ</w:t>
      </w:r>
      <w:r>
        <w:rPr>
          <w:rFonts w:ascii="Times New Roman" w:hAnsi="Times New Roman" w:eastAsia="Times New Roman" w:cs="Times New Roman"/>
        </w:rPr>
        <w:t xml:space="preserve"> </w:t>
      </w:r>
      <w:r>
        <w:rPr>
          <w:rFonts w:ascii="Gadugi" w:hAnsi="Gadugi" w:eastAsia="Gadugi" w:cs="Gadugi"/>
        </w:rPr>
        <w:t>ᎤᏮᏔᏅᎩ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ᎢᏯᏓᎴᎿ</w:t>
      </w:r>
      <w:r>
        <w:rPr>
          <w:rFonts w:ascii="Times New Roman" w:hAnsi="Times New Roman" w:eastAsia="Times New Roman" w:cs="Times New Roman"/>
        </w:rPr>
        <w:t xml:space="preserve"> </w:t>
      </w:r>
      <w:r>
        <w:rPr>
          <w:rFonts w:ascii="Gadugi" w:hAnsi="Gadugi" w:eastAsia="Gadugi" w:cs="Gadugi"/>
        </w:rPr>
        <w:t>ᎤᏲᎪᎵᏰᏍᏗ</w:t>
      </w:r>
      <w:r>
        <w:rPr>
          <w:rFonts w:ascii="Times New Roman" w:hAnsi="Times New Roman" w:eastAsia="Times New Roman" w:cs="Times New Roman"/>
        </w:rPr>
        <w:t xml:space="preserve"> </w:t>
      </w:r>
      <w:r>
        <w:rPr>
          <w:rFonts w:ascii="Gadugi" w:hAnsi="Gadugi" w:eastAsia="Gadugi" w:cs="Gadugi"/>
        </w:rPr>
        <w:t>ᎤᏪᎧᎾᏅ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1863 </w:t>
      </w:r>
      <w:r>
        <w:rPr>
          <w:rFonts w:ascii="Gadugi" w:hAnsi="Gadugi" w:eastAsia="Gadugi" w:cs="Gadugi"/>
        </w:rPr>
        <w:t>ᎠᏧᏟᏌᏅᎩ</w:t>
      </w:r>
      <w:r>
        <w:rPr>
          <w:rFonts w:ascii="Times New Roman" w:hAnsi="Times New Roman" w:eastAsia="Times New Roman" w:cs="Times New Roman"/>
        </w:rPr>
        <w:t xml:space="preserve"> </w:t>
      </w:r>
      <w:r>
        <w:rPr>
          <w:rFonts w:ascii="Gadugi" w:hAnsi="Gadugi" w:eastAsia="Gadugi" w:cs="Gadugi"/>
        </w:rPr>
        <w:t>ᎠᏛᏫᏍᏗᏍᎩ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ᎠᏥᏁᎸᎩ</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ᏗᏓᏟᎶᏍᏗ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ᎠᎦᏓᏂᎸᏫᏍᏗ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ᎠᎦᏡᏗᏍᏗ</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ᎤᏪᏘᎭ</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ᎻᎳᎵᏔᏱᏍᏗ</w:t>
      </w:r>
      <w:r>
        <w:rPr>
          <w:rFonts w:ascii="Times New Roman" w:hAnsi="Times New Roman" w:eastAsia="Times New Roman" w:cs="Times New Roman"/>
        </w:rPr>
        <w:t xml:space="preserve"> </w:t>
      </w:r>
      <w:r>
        <w:rPr>
          <w:rFonts w:ascii="Gadugi" w:hAnsi="Gadugi" w:eastAsia="Gadugi" w:cs="Gadugi"/>
        </w:rPr>
        <w:t>ᏈᎳᏕᎵᏱᎠ</w:t>
      </w:r>
      <w:r>
        <w:rPr>
          <w:rFonts w:ascii="Times New Roman" w:hAnsi="Times New Roman" w:eastAsia="Times New Roman" w:cs="Times New Roman"/>
        </w:rPr>
        <w:t xml:space="preserve"> </w:t>
      </w:r>
      <w:r>
        <w:rPr>
          <w:rFonts w:ascii="Gadugi" w:hAnsi="Gadugi" w:eastAsia="Gadugi" w:cs="Gadugi"/>
        </w:rPr>
        <w:t>ᎠᏛᏫᏍᏗᏍᎩ</w:t>
      </w:r>
      <w:r>
        <w:rPr>
          <w:rFonts w:ascii="Times New Roman" w:hAnsi="Times New Roman" w:eastAsia="Times New Roman" w:cs="Times New Roman"/>
        </w:rPr>
        <w:t xml:space="preserve"> </w:t>
      </w:r>
      <w:r>
        <w:rPr>
          <w:rFonts w:ascii="Gadugi" w:hAnsi="Gadugi" w:eastAsia="Gadugi" w:cs="Gadugi"/>
        </w:rPr>
        <w:t>ᎤᎶᏎᎸ</w:t>
      </w:r>
      <w:r>
        <w:rPr>
          <w:rFonts w:ascii="Times New Roman" w:hAnsi="Times New Roman" w:eastAsia="Times New Roman" w:cs="Times New Roman"/>
        </w:rPr>
        <w:t xml:space="preserve"> </w:t>
      </w:r>
      <w:r>
        <w:rPr>
          <w:rFonts w:ascii="Gadugi" w:hAnsi="Gadugi" w:eastAsia="Gadugi" w:cs="Gadugi"/>
        </w:rPr>
        <w:t>ᎻᎳᎵᏔᏱᏍᏗ</w:t>
      </w:r>
      <w:r>
        <w:rPr>
          <w:rFonts w:ascii="Times New Roman" w:hAnsi="Times New Roman" w:eastAsia="Times New Roman" w:cs="Times New Roman"/>
        </w:rPr>
        <w:t xml:space="preserve"> </w:t>
      </w:r>
      <w:r>
        <w:rPr>
          <w:rFonts w:ascii="Gadugi" w:hAnsi="Gadugi" w:eastAsia="Gadugi" w:cs="Gadugi"/>
        </w:rPr>
        <w:t>ᎳᎣᏗᏏᎠ</w:t>
      </w:r>
      <w:r>
        <w:rPr>
          <w:rFonts w:ascii="Times New Roman" w:hAnsi="Times New Roman" w:eastAsia="Times New Roman" w:cs="Times New Roman"/>
        </w:rPr>
        <w:t xml:space="preserve"> </w:t>
      </w:r>
      <w:r>
        <w:rPr>
          <w:rFonts w:ascii="Gadugi" w:hAnsi="Gadugi" w:eastAsia="Gadugi" w:cs="Gadugi"/>
        </w:rPr>
        <w:t>ᎠᏛᏫᏍᏗᏍᎩ</w:t>
      </w:r>
      <w:r>
        <w:rPr>
          <w:rFonts w:ascii="Times New Roman" w:hAnsi="Times New Roman" w:eastAsia="Times New Roman" w:cs="Times New Roman"/>
        </w:rPr>
        <w:t xml:space="preserve">, </w:t>
      </w:r>
      <w:r>
        <w:rPr>
          <w:rFonts w:ascii="Gadugi" w:hAnsi="Gadugi" w:eastAsia="Gadugi" w:cs="Gadugi"/>
        </w:rPr>
        <w:t>ᎤᏎᎵᏤᎭ</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ᎠᎦᏔᎿᎢ</w:t>
      </w:r>
      <w:r>
        <w:rPr>
          <w:rFonts w:ascii="Times New Roman" w:hAnsi="Times New Roman" w:eastAsia="Times New Roman" w:cs="Times New Roman"/>
        </w:rPr>
        <w:t xml:space="preserve"> </w:t>
      </w:r>
      <w:r>
        <w:rPr>
          <w:rFonts w:ascii="Gadugi" w:hAnsi="Gadugi" w:eastAsia="Gadugi" w:cs="Gadugi"/>
        </w:rPr>
        <w:t>ᎤᏍᏆᏂᎪᏗᏍᎬ</w:t>
      </w:r>
      <w:r>
        <w:rPr>
          <w:rFonts w:ascii="Times New Roman" w:hAnsi="Times New Roman" w:eastAsia="Times New Roman" w:cs="Times New Roman"/>
        </w:rPr>
        <w:t xml:space="preserve"> </w:t>
      </w:r>
      <w:r>
        <w:rPr>
          <w:rFonts w:ascii="Gadugi" w:hAnsi="Gadugi" w:eastAsia="Gadugi" w:cs="Gadugi"/>
        </w:rPr>
        <w:t>ᎤᎵᏠᏯᏍᏗᏍᎬ</w:t>
      </w:r>
      <w:r>
        <w:rPr>
          <w:rFonts w:ascii="Times New Roman" w:hAnsi="Times New Roman" w:eastAsia="Times New Roman" w:cs="Times New Roman"/>
        </w:rPr>
        <w:t xml:space="preserve"> </w:t>
      </w:r>
      <w:r>
        <w:rPr>
          <w:rFonts w:ascii="Gadugi" w:hAnsi="Gadugi" w:eastAsia="Gadugi" w:cs="Gadugi"/>
        </w:rPr>
        <w:t>ᎠᏍᏆᎸ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ᎤᏪᏘᎭ</w:t>
      </w:r>
      <w:r>
        <w:rPr>
          <w:rFonts w:ascii="Times New Roman" w:hAnsi="Times New Roman" w:eastAsia="Times New Roman" w:cs="Times New Roman"/>
        </w:rPr>
        <w:t xml:space="preserve"> </w:t>
      </w:r>
      <w:r>
        <w:rPr>
          <w:rFonts w:ascii="Gadugi" w:hAnsi="Gadugi" w:eastAsia="Gadugi" w:cs="Gadugi"/>
        </w:rPr>
        <w:t>ᎳᎣᏗᏏᎠ</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 xml:space="preserve"> </w:t>
      </w:r>
      <w:r>
        <w:rPr>
          <w:rFonts w:ascii="Gadugi" w:hAnsi="Gadugi" w:eastAsia="Gadugi" w:cs="Gadugi"/>
        </w:rPr>
        <w:t>ᎤᎶᏎᎸ</w:t>
      </w:r>
      <w:r>
        <w:rPr>
          <w:rFonts w:ascii="Times New Roman" w:hAnsi="Times New Roman" w:eastAsia="Times New Roman" w:cs="Times New Roman"/>
        </w:rPr>
        <w:t xml:space="preserve"> </w:t>
      </w:r>
      <w:r>
        <w:rPr>
          <w:rFonts w:ascii="Gadugi" w:hAnsi="Gadugi" w:eastAsia="Gadugi" w:cs="Gadugi"/>
        </w:rPr>
        <w:t>ᏈᎳᏕᎵᏱᎠ</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ᎠᏥᎸᎢ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ئیشعیاهی پێغەمبەرایەتیی شەست و پێنج ساڵەکە، سەرەتای یەکەمین و دواهەمین تووڕەییی خودا نیشان دەدات بەرامبەر شانشینی باکووری و پاشان شانشینی باشووریی ئیسرائیل.</w:t>
      </w:r>
    </w:p>
    <w:p>
      <w:pPr>
        <w:pStyle w:val="ArticleScripture"/>
        <w:jc w:val="left"/>
      </w:pPr>
      <w:r>
        <w:rPr>
          <w:rFonts w:ascii="Times New Roman" w:hAnsi="Times New Roman" w:eastAsia="Times New Roman" w:cs="Times New Roman"/>
        </w:rPr>
        <w:t>Ay uraynïŋ başı Dimaşqdur, Dimaşqniŋ başı bolsa Rezin; yänä altmış bäs yil içidä Efraim xälq bolalmaydighan hällgä yitip, parçilinip ketidu. Yeşaya 7:8.</w:t>
      </w:r>
    </w:p>
    <w:p>
      <w:pPr>
        <w:pStyle w:val="ArticleBody"/>
        <w:jc w:val="left"/>
      </w:pPr>
      <w:r>
        <w:rPr>
          <w:rFonts w:ascii="Javanese Text" w:hAnsi="Javanese Text" w:eastAsia="Javanese Text" w:cs="Javanese Text"/>
        </w:rPr>
        <w:t>꧋ꦥꦿꦧꦺꦛꦤ꧀ꦆꦱꦪꦃꦤꦒꦁꦗꦸꦩ꧀ꦭꦃꦲꦼꦤꦼꦩ꧀ꦥꦸꦭꦸꦃꦭꦶꦩꦁꦠꦲꦸꦤ꧀ꦲꦶꦏꦸꦏꦼꦢꦸꦩꦸꦤ꧀ꦠꦿꦶꦠꦲꦸꦤ꧀</w:t>
      </w:r>
      <w:r>
        <w:rPr>
          <w:rFonts w:ascii="Times New Roman" w:hAnsi="Times New Roman" w:eastAsia="Times New Roman" w:cs="Times New Roman"/>
        </w:rPr>
        <w:t xml:space="preserve"> 742 BC, </w:t>
      </w:r>
      <w:r>
        <w:rPr>
          <w:rFonts w:ascii="Javanese Text" w:hAnsi="Javanese Text" w:eastAsia="Javanese Text" w:cs="Javanese Text"/>
        </w:rPr>
        <w:t>ꦭꦤ꧀ꦱꦶꦤ꧀ꦝꦁꦭꦸꦮꦶꦃꦫꦶꦁꦲꦼꦤꦼꦩ꧀ꦥꦸꦭꦸꦃꦭꦶꦩꦁꦠꦲꦸꦤ꧀ꦲꦶꦏꦸꦏꦫꦗꦤ꧀ꦲꦸꦠꦫꦩꦸꦤ꧀ꦢꦢꦶꦮꦸꦱ꧀ꦲꦶꦭꦁ꧉</w:t>
      </w:r>
      <w:r>
        <w:rPr>
          <w:rFonts w:ascii="Times New Roman" w:hAnsi="Times New Roman" w:eastAsia="Times New Roman" w:cs="Times New Roman"/>
        </w:rPr>
        <w:t xml:space="preserve"> </w:t>
      </w:r>
      <w:r>
        <w:rPr>
          <w:rFonts w:ascii="Javanese Text" w:hAnsi="Javanese Text" w:eastAsia="Javanese Text" w:cs="Javanese Text"/>
        </w:rPr>
        <w:t>꧋ꦱꦁꦒꦲꦺꦴꦁꦱꦁꦒꦠꦸꦁꦮꦭꦱ꧀ꦠꦲꦸꦤ꧀ꦱꦲꦥꦸꦤꦶꦏꦤ꧀</w:t>
      </w:r>
      <w:r>
        <w:rPr>
          <w:rFonts w:ascii="Times New Roman" w:hAnsi="Times New Roman" w:eastAsia="Times New Roman" w:cs="Times New Roman"/>
        </w:rPr>
        <w:t xml:space="preserve"> 742 BC, </w:t>
      </w:r>
      <w:r>
        <w:rPr>
          <w:rFonts w:ascii="Javanese Text" w:hAnsi="Javanese Text" w:eastAsia="Javanese Text" w:cs="Javanese Text"/>
        </w:rPr>
        <w:t>ꦲꦶꦏꦸꦲꦶꦁ</w:t>
      </w:r>
      <w:r>
        <w:rPr>
          <w:rFonts w:ascii="Times New Roman" w:hAnsi="Times New Roman" w:eastAsia="Times New Roman" w:cs="Times New Roman"/>
        </w:rPr>
        <w:t xml:space="preserve"> 723 BC, </w:t>
      </w:r>
      <w:r>
        <w:rPr>
          <w:rFonts w:ascii="Javanese Text" w:hAnsi="Javanese Text" w:eastAsia="Javanese Text" w:cs="Javanese Text"/>
        </w:rPr>
        <w:t>ꦏꦫꦗꦤ꧀ꦲꦸꦠꦫꦏꦲꦤ꧀ꦒꦮꦮꦫꦶꦁꦥꦼꦫꦧꦸꦢꦏꦤ꧀ꦩꦸꦭꦺꦃꦲꦱ꧀ꦱꦶꦫꦶꦪꦃ꧉</w:t>
      </w:r>
      <w:r>
        <w:rPr>
          <w:rFonts w:ascii="Times New Roman" w:hAnsi="Times New Roman" w:eastAsia="Times New Roman" w:cs="Times New Roman"/>
        </w:rPr>
        <w:t xml:space="preserve"> </w:t>
      </w:r>
      <w:r>
        <w:rPr>
          <w:rFonts w:ascii="Javanese Text" w:hAnsi="Javanese Text" w:eastAsia="Javanese Text" w:cs="Javanese Text"/>
        </w:rPr>
        <w:t>꧋ꦲꦶꦁꦥꦸꦚ꧀ꦕꦏ꧀ꦲꦼꦤꦼꦩ꧀ꦥꦸꦭꦸꦃꦭꦶꦩꦁꦠꦲꦸꦤ꧀ꦲꦶꦏꦸ</w:t>
      </w:r>
      <w:r>
        <w:rPr>
          <w:rFonts w:ascii="Times New Roman" w:hAnsi="Times New Roman" w:eastAsia="Times New Roman" w:cs="Times New Roman"/>
        </w:rPr>
        <w:t xml:space="preserve">, </w:t>
      </w:r>
      <w:r>
        <w:rPr>
          <w:rFonts w:ascii="Javanese Text" w:hAnsi="Javanese Text" w:eastAsia="Javanese Text" w:cs="Javanese Text"/>
        </w:rPr>
        <w:t>ꦥꦏꦼꦮꦸꦭꦤ꧀ꦏꦫꦗꦤ꧀ꦏꦶꦢꦸꦭ꧀ꦲꦮꦶꦠꦤ꧀ꦩꦸꦭꦻꦲꦶꦁ</w:t>
      </w:r>
      <w:r>
        <w:rPr>
          <w:rFonts w:ascii="Times New Roman" w:hAnsi="Times New Roman" w:eastAsia="Times New Roman" w:cs="Times New Roman"/>
        </w:rPr>
        <w:t xml:space="preserve"> 677 BC, </w:t>
      </w:r>
      <w:r>
        <w:rPr>
          <w:rFonts w:ascii="Javanese Text" w:hAnsi="Javanese Text" w:eastAsia="Javanese Text" w:cs="Javanese Text"/>
        </w:rPr>
        <w:t>ꦱꦁꦏꦭꦩꦤꦱ꧀ꦱꦺꦃꦲꦶꦏꦸꦏꦲꦤ꧀ꦢꦏꦼꦥ꧀ꦧꦏ꧀ꦠꦾꦏꦼꦚ꧀ꦕꦁꦧꦺꦴꦭꦺꦃꦧꦁꦱꦧꦧꦶꦭꦺꦴꦤ꧀꧉</w:t>
      </w:r>
      <w:r>
        <w:rPr>
          <w:rFonts w:ascii="Times New Roman" w:hAnsi="Times New Roman" w:eastAsia="Times New Roman" w:cs="Times New Roman"/>
        </w:rPr>
        <w:t xml:space="preserve"> </w:t>
      </w:r>
      <w:r>
        <w:rPr>
          <w:rFonts w:ascii="Javanese Text" w:hAnsi="Javanese Text" w:eastAsia="Javanese Text" w:cs="Javanese Text"/>
        </w:rPr>
        <w:t>꧋ꦩꦏꦤꦺꦴꦤꦺ</w:t>
      </w:r>
      <w:r>
        <w:rPr>
          <w:rFonts w:ascii="Times New Roman" w:hAnsi="Times New Roman" w:eastAsia="Times New Roman" w:cs="Times New Roman"/>
        </w:rPr>
        <w:t xml:space="preserve">, </w:t>
      </w:r>
      <w:r>
        <w:rPr>
          <w:rFonts w:ascii="Javanese Text" w:hAnsi="Javanese Text" w:eastAsia="Javanese Text" w:cs="Javanese Text"/>
        </w:rPr>
        <w:t>ꦲꦼꦤꦼꦩ꧀ꦥꦸꦭꦸꦃꦭꦶꦩꦁꦠꦲꦸꦤ꧀ꦲꦶꦏꦸꦤꦸꦗꦸꦃꦏꦺꦲꦶꦁꦱꦸꦮꦶꦤꦺꦱꦁꦒꦲꦺꦴꦁꦱꦁꦒꦠꦸꦁꦮꦭꦱ꧀ꦠꦲꦸꦤ꧀ꦫꦶꦁꦥꦤꦁꦏꦼꦥꦤ꧀ꦥꦶꦠꦩꦏꦢꦁꦏꦫꦗꦤ꧀ꦲꦸꦠꦫ</w:t>
      </w:r>
      <w:r>
        <w:rPr>
          <w:rFonts w:ascii="Times New Roman" w:hAnsi="Times New Roman" w:eastAsia="Times New Roman" w:cs="Times New Roman"/>
        </w:rPr>
        <w:t xml:space="preserve">, </w:t>
      </w:r>
      <w:r>
        <w:rPr>
          <w:rFonts w:ascii="Javanese Text" w:hAnsi="Javanese Text" w:eastAsia="Javanese Text" w:cs="Javanese Text"/>
        </w:rPr>
        <w:t>ꦭꦤ꧀ꦏꦼꦩꦸꦢꦶꦪꦤ꧀ꦲꦺꦴꦁꦧꦭꦶꦃꦫꦶꦁꦲꦺꦤꦼꦩ꧀ꦥꦸꦭꦸꦃꦲꦼꦤꦼꦩ꧀ꦠꦲꦸꦤ꧀ꦩꦤꦺꦃꦗꦸꦒꦶꦏꦼꦥꦤ꧀ꦩꦤꦱ꧀ꦱꦺꦃ꧉</w:t>
      </w:r>
    </w:p>
    <w:p>
      <w:pPr>
        <w:pStyle w:val="ArticleBody"/>
        <w:jc w:val="left"/>
      </w:pPr>
      <w:r>
        <w:rPr>
          <w:rFonts w:ascii="Times New Roman" w:hAnsi="Times New Roman" w:eastAsia="Times New Roman" w:cs="Times New Roman"/>
        </w:rPr>
        <w:t>Miissoowwan sun guutamuu isaanii garaagaraa bara 1798, 1844 fi 1863 keessatti gaʼan. Bara 1798 keessatti, ergamaa isa jalqabaatiin dhufaatiin ergaa fayyinaa keessatti cehumsi keessaa tokko raawwatame; akkasumas mootummoonni raajii Macaafa Qulqulluu keessatti ibsaman keessatti cehumsi alaa tokkoon illee taʼe. Bara 1844 keessatti, yeroo balballi Iddoo Qulqulluu irratti cufamee murtiin qorannoo jalqabame, dhufaatii ergamaa isa sadaffaatiin ergaa fayyinaa keessatti cehumsi keessaa tokko taʼe. Bara 1863 keessatti, jijjiiramni alaa tokko taʼe; gaanfiwwan lamaan bineensa lafaa sun garee lamaatti qoodaman.</w:t>
      </w:r>
    </w:p>
    <w:p>
      <w:pPr>
        <w:pStyle w:val="ArticleBody"/>
        <w:jc w:val="left"/>
      </w:pPr>
      <w:r>
        <w:rPr>
          <w:rFonts w:ascii="Times New Roman" w:hAnsi="Times New Roman" w:eastAsia="Times New Roman" w:cs="Times New Roman"/>
        </w:rPr>
        <w:t>גمهوری شاخ به دو حزب سیاسی تقسیم شد که از آن پس بر تاریخِ وحشِ زمین مسلط می‌بودند. شاخِ پروتستان به دو تجلیِ مرتد تقسیم گردید: یک حزب که مدعیِ پروتستان بودن بود و ادعا می‌کرد سَبَّتِ روزِ هفتم را نگاه می‌دارد، و طبقه‌ای دیگر که مدعیِ پروتستان بودن بود، اما روزِ خورشید را به‌عنوان روزِ برگزیدهٔ عبادتِ خود برقرار می‌داشت.</w:t>
      </w:r>
    </w:p>
    <w:p>
      <w:pPr>
        <w:pStyle w:val="ArticleBody"/>
        <w:jc w:val="left"/>
      </w:pPr>
      <w:r>
        <w:rPr>
          <w:rFonts w:ascii="Times New Roman" w:hAnsi="Times New Roman" w:eastAsia="Times New Roman" w:cs="Times New Roman"/>
        </w:rPr>
        <w:t>Ukuch maran uk Protestant a tya i Historya an inmahalan ya naggipu idiay Dark Ages, napadasan manipud Agosto 11, 1840 agingga Oktubre 22, 1844, ket saan a nakapasa iti proseso ti panangsubok ket immakar manipud kadagiti Protestante a mangsalimetmet iti Domingo nga ili iti apostata a Protestante a mangsalimetmet iti Domingo nga ili.</w:t>
      </w:r>
    </w:p>
    <w:p>
      <w:pPr>
        <w:pStyle w:val="ArticleBody"/>
        <w:jc w:val="left"/>
      </w:pPr>
      <w:r>
        <w:rPr>
          <w:rFonts w:ascii="Times New Roman" w:hAnsi="Times New Roman" w:eastAsia="Times New Roman" w:cs="Times New Roman"/>
        </w:rPr>
        <w:t>1844’te tesis edilip tanımlanan hakiki Protestan boynuzunun tarihinde, 1856’dan 1863’e kadar süren bir sınanma süreci meydana geldi. Ardından hakiki Sebt tutan Protestan boynuzu hem Filadelfiya’dan Laodikya’ya, hem de hakiki Sebt tutan Protestan halktan Sebt tutan mürted Protestan boynuzuna intikal etti. “Yedi vakit”, 1798, 1844, 1856 ve 1863 ile ilişkilidir. “Yedi vakit”, bir geçiş noktasına bağlı bir simgedir ve bu hakikat birkaç tanık üzerine tesis edilmiştir.</w:t>
      </w:r>
    </w:p>
    <w:p>
      <w:pPr>
        <w:pStyle w:val="ArticleBody"/>
        <w:jc w:val="left"/>
      </w:pPr>
      <w:r>
        <w:rPr>
          <w:rFonts w:ascii="Times New Roman" w:hAnsi="Times New Roman" w:eastAsia="Times New Roman" w:cs="Times New Roman"/>
        </w:rPr>
        <w:t>1798-ին «յոթ ժամանակների» վերաբերյալ գիտության աճ եղավ, որովհետև Միլլերի կողմից հայտնաբերված առաջին իսկ ժամանակային մարգարեությունը հենց այդ ճշմարտությունն էր։ 1863 թվականին այդ ճշմարտությունը մերժված էր, և այդպիսով նշանավորվեց Եսայիայի յոթերորդ գլխում ներկայացված մարգարեության վաթսունհինգ տարիների ավարտական ժամանակաշրջանի եզրակացությունը։</w:t>
      </w:r>
    </w:p>
    <w:p>
      <w:pPr>
        <w:pStyle w:val="ArticleBody"/>
        <w:jc w:val="left"/>
      </w:pPr>
      <w:r>
        <w:rPr>
          <w:rFonts w:ascii="Nirmala UI" w:hAnsi="Nirmala UI" w:eastAsia="Nirmala UI" w:cs="Nirmala UI"/>
        </w:rPr>
        <w:t>२५२०</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अगमवाणीमा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दुवैमा</w:t>
      </w:r>
      <w:r>
        <w:rPr>
          <w:rFonts w:ascii="Times New Roman" w:hAnsi="Times New Roman" w:eastAsia="Times New Roman" w:cs="Times New Roman"/>
        </w:rPr>
        <w:t xml:space="preserve"> </w:t>
      </w:r>
      <w:r>
        <w:rPr>
          <w:rFonts w:ascii="Nirmala UI" w:hAnsi="Nirmala UI" w:eastAsia="Nirmala UI" w:cs="Nirmala UI"/>
        </w:rPr>
        <w:t>पैंसठ्ठी</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प्रतिच्छवि</w:t>
      </w:r>
      <w:r>
        <w:rPr>
          <w:rFonts w:ascii="Times New Roman" w:hAnsi="Times New Roman" w:eastAsia="Times New Roman" w:cs="Times New Roman"/>
        </w:rPr>
        <w:t xml:space="preserve">, </w:t>
      </w:r>
      <w:r>
        <w:rPr>
          <w:rFonts w:ascii="Nirmala UI" w:hAnsi="Nirmala UI" w:eastAsia="Nirmala UI" w:cs="Nirmala UI"/>
        </w:rPr>
        <w:t>ऐनाजस्तै</w:t>
      </w:r>
      <w:r>
        <w:rPr>
          <w:rFonts w:ascii="Times New Roman" w:hAnsi="Times New Roman" w:eastAsia="Times New Roman" w:cs="Times New Roman"/>
        </w:rPr>
        <w:t xml:space="preserve"> </w:t>
      </w:r>
      <w:r>
        <w:rPr>
          <w:rFonts w:ascii="Nirmala UI" w:hAnsi="Nirmala UI" w:eastAsia="Nirmala UI" w:cs="Nirmala UI"/>
        </w:rPr>
        <w:t>समानतामा</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पैंसठ्ठी</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पैंसठ्ठी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w:t>
      </w:r>
      <w:r>
        <w:rPr>
          <w:rFonts w:ascii="Nirmala UI" w:hAnsi="Nirmala UI" w:eastAsia="Nirmala UI" w:cs="Nirmala UI"/>
        </w:rPr>
        <w:t>७४२</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ज्ञानमा</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मिलेराइटहरूले</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पैंसठ्ठी</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सत्यसम्बन्धी</w:t>
      </w:r>
      <w:r>
        <w:rPr>
          <w:rFonts w:ascii="Times New Roman" w:hAnsi="Times New Roman" w:eastAsia="Times New Roman" w:cs="Times New Roman"/>
        </w:rPr>
        <w:t xml:space="preserve"> </w:t>
      </w:r>
      <w:r>
        <w:rPr>
          <w:rFonts w:ascii="Nirmala UI" w:hAnsi="Nirmala UI" w:eastAsia="Nirmala UI" w:cs="Nirmala UI"/>
        </w:rPr>
        <w:t>ज्ञानमा</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मुकुटधारी</w:t>
      </w:r>
      <w:r>
        <w:rPr>
          <w:rFonts w:ascii="Times New Roman" w:hAnsi="Times New Roman" w:eastAsia="Times New Roman" w:cs="Times New Roman"/>
        </w:rPr>
        <w:t xml:space="preserve"> “</w:t>
      </w:r>
      <w:r>
        <w:rPr>
          <w:rFonts w:ascii="Nirmala UI" w:hAnsi="Nirmala UI" w:eastAsia="Nirmala UI" w:cs="Nirmala UI"/>
        </w:rPr>
        <w:t>पुरोहितहरू</w:t>
      </w:r>
      <w:r>
        <w:rPr>
          <w:rFonts w:ascii="Times New Roman" w:hAnsi="Times New Roman" w:eastAsia="Times New Roman" w:cs="Times New Roman"/>
        </w:rPr>
        <w:t>”</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गरियो।</w:t>
      </w:r>
    </w:p>
    <w:p>
      <w:pPr>
        <w:pStyle w:val="ArticleScripture"/>
        <w:jc w:val="left"/>
      </w:pPr>
      <w:r>
        <w:rPr>
          <w:rFonts w:ascii="Gadugi" w:hAnsi="Gadugi" w:eastAsia="Gadugi" w:cs="Gadugi"/>
        </w:rPr>
        <w:t>ᏥᎦᏚᎩ</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ᎤᏂᎦᏔᎾᎥ</w:t>
      </w:r>
      <w:r>
        <w:rPr>
          <w:rFonts w:ascii="Times New Roman" w:hAnsi="Times New Roman" w:eastAsia="Times New Roman" w:cs="Times New Roman"/>
        </w:rPr>
        <w:t xml:space="preserve"> </w:t>
      </w:r>
      <w:r>
        <w:rPr>
          <w:rFonts w:ascii="Gadugi" w:hAnsi="Gadugi" w:eastAsia="Gadugi" w:cs="Gadugi"/>
        </w:rPr>
        <w:t>ᎤᏂᎬᏂᏍᎬ</w:t>
      </w:r>
      <w:r>
        <w:rPr>
          <w:rFonts w:ascii="Times New Roman" w:hAnsi="Times New Roman" w:eastAsia="Times New Roman" w:cs="Times New Roman"/>
        </w:rPr>
        <w:t xml:space="preserve"> </w:t>
      </w:r>
      <w:r>
        <w:rPr>
          <w:rFonts w:ascii="Gadugi" w:hAnsi="Gadugi" w:eastAsia="Gadugi" w:cs="Gadugi"/>
        </w:rPr>
        <w:t>ᎠᏥᏍᏗᏱ</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ᎤᏂᎦᏔᎾᎥ</w:t>
      </w:r>
      <w:r>
        <w:rPr>
          <w:rFonts w:ascii="Times New Roman" w:hAnsi="Times New Roman" w:eastAsia="Times New Roman" w:cs="Times New Roman"/>
        </w:rPr>
        <w:t xml:space="preserve"> </w:t>
      </w:r>
      <w:r>
        <w:rPr>
          <w:rFonts w:ascii="Gadugi" w:hAnsi="Gadugi" w:eastAsia="Gadugi" w:cs="Gadugi"/>
        </w:rPr>
        <w:t>ᏕᎯᏲᎢᏒᎢ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ᏓᏨᏲᎢᏎᎵ</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ᏱᏂᎯ</w:t>
      </w:r>
      <w:r>
        <w:rPr>
          <w:rFonts w:ascii="Times New Roman" w:hAnsi="Times New Roman" w:eastAsia="Times New Roman" w:cs="Times New Roman"/>
        </w:rPr>
        <w:t xml:space="preserve">; </w:t>
      </w:r>
      <w:r>
        <w:rPr>
          <w:rFonts w:ascii="Gadugi" w:hAnsi="Gadugi" w:eastAsia="Gadugi" w:cs="Gadugi"/>
        </w:rPr>
        <w:t>ᎯᏅᏒᏰᏃ</w:t>
      </w:r>
      <w:r>
        <w:rPr>
          <w:rFonts w:ascii="Times New Roman" w:hAnsi="Times New Roman" w:eastAsia="Times New Roman" w:cs="Times New Roman"/>
        </w:rPr>
        <w:t xml:space="preserve"> </w:t>
      </w:r>
      <w:r>
        <w:rPr>
          <w:rFonts w:ascii="Gadugi" w:hAnsi="Gadugi" w:eastAsia="Gadugi" w:cs="Gadugi"/>
        </w:rPr>
        <w:t>ᏣᎨᏫ</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ᏕᎯᏲᎢᏒ</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ᏓᏥᏲᎢᏎᎵ</w:t>
      </w:r>
      <w:r>
        <w:rPr>
          <w:rFonts w:ascii="Times New Roman" w:hAnsi="Times New Roman" w:eastAsia="Times New Roman" w:cs="Times New Roman"/>
        </w:rPr>
        <w:t xml:space="preserve"> </w:t>
      </w:r>
      <w:r>
        <w:rPr>
          <w:rFonts w:ascii="Gadugi" w:hAnsi="Gadugi" w:eastAsia="Gadugi" w:cs="Gadugi"/>
        </w:rPr>
        <w:t>ᏗᏤᏥ</w:t>
      </w:r>
      <w:r>
        <w:rPr>
          <w:rFonts w:ascii="Times New Roman" w:hAnsi="Times New Roman" w:eastAsia="Times New Roman" w:cs="Times New Roman"/>
        </w:rPr>
        <w:t xml:space="preserve">. </w:t>
      </w:r>
      <w:r>
        <w:rPr>
          <w:rFonts w:ascii="Gadugi" w:hAnsi="Gadugi" w:eastAsia="Gadugi" w:cs="Gadugi"/>
        </w:rPr>
        <w:t>ᎰᏏᎠ</w:t>
      </w:r>
      <w:r>
        <w:rPr>
          <w:rFonts w:ascii="Times New Roman" w:hAnsi="Times New Roman" w:eastAsia="Times New Roman" w:cs="Times New Roman"/>
        </w:rPr>
        <w:t xml:space="preserve"> 4:6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ئەگەر پەرتوکی دانیال کراوەوە، زیادبوونی زانیاری پەیوەندیدارە بە «حەوت کات»، بۆیە تەنها هێمای خاڵێکی گواستنەوە نییە، بەڵکو هێمای کردنەوەی پەیامی پێغەمبەرانەشە.</w:t>
      </w:r>
    </w:p>
    <w:p>
      <w:pPr>
        <w:pStyle w:val="ArticleBody"/>
        <w:jc w:val="left"/>
      </w:pPr>
      <w:r>
        <w:rPr>
          <w:rFonts w:ascii="Times New Roman" w:hAnsi="Times New Roman" w:eastAsia="Times New Roman" w:cs="Times New Roman"/>
        </w:rPr>
        <w:t>Un ántu tra̱nsi̱si̱ónu kumensá na 18 di hùlyu di 2020 ku e promé decepciòn, ku a kuminsá e “tempu di espera” i a marca e kuminsamentu di e tres dia i mei di Revelashon kapítulu diesun, den kua e dos testigonan ta keda tira morto riba kaya di e gran siudat di Sòdom i Egipto.</w:t>
      </w:r>
    </w:p>
    <w:p>
      <w:pPr>
        <w:pStyle w:val="ArticleBody"/>
        <w:jc w:val="left"/>
      </w:pPr>
      <w:r>
        <w:rPr>
          <w:rFonts w:ascii="Times New Roman" w:hAnsi="Times New Roman" w:eastAsia="Times New Roman" w:cs="Times New Roman"/>
        </w:rPr>
        <w:t>18 de julio de 2020, taypiq qallari kimsa chhiqan urukuna simbólicokuna (“qanchis kuti”), 1856 watamanta 1863 watakama historiapi rikuchisqa karqan. Iskay pachakunaqpis “qanchis kuti” nisqapa símbolonkuna kanku. Iskay pachakunaqpis dispensaciónpa hukninmanta hukninman tikrayninta (transición) señalan. Iskay pachakunaqpis “qanchis kuti” nisqawan tinkisqa yachaypa yapakuyta representan.</w:t>
      </w:r>
    </w:p>
    <w:p>
      <w:pPr>
        <w:pStyle w:val="ArticleBody"/>
        <w:jc w:val="left"/>
      </w:pPr>
      <w:r>
        <w:rPr>
          <w:rFonts w:ascii="Times New Roman" w:hAnsi="Times New Roman" w:eastAsia="Times New Roman" w:cs="Times New Roman"/>
        </w:rPr>
        <w:t>Ἦν κατὰ τὴν περίοδον τῆς μεταβάσεως ἀπὸ τῆς βασιλείας τῆς Βαβυλῶνος εἰς τὴν βασιλείαν τῶν Μήδων καὶ Περσῶν ὅτε ὁ Δανιὴλ προσηύξατο τὴν προσευχὴν τοῦ Λευιτικοῦ εἴκοσι ἕξ, οὕτως προσδιορίζων τὴν προσευχὴν τοῦ Λευιτικοῦ εἴκοσι ἕξ ὡς ὁρόσημον τῆς μεταβάσεως τῶν ἐσχάτων ἡμερῶν. Ἐν τῷ ἐνυπνίῳ τοῦ Μίλλερ, ἐπὶ τῷ τέλει ἑπτὰ ἐκφράσεων τῆς λέξεως «διασκορπισμός», ὁ Μίλλερ καὶ κλαίει καὶ προσεύχεται. Ὁ κλαυθμὸς σημαίνει τὸ σημεῖον ἐν ᾧ ὁ Λέων ἐκ τῆς φυλῆς Ἰούδα (ὁ ἀνὴρ μετὰ τῆς ψήκτρας τοῦ κονιορτοῦ), ἀποσφραγίζει μῆνυμα ἐσφραγισμένον.</w:t>
      </w:r>
    </w:p>
    <w:p>
      <w:pPr>
        <w:pStyle w:val="ArticleBody"/>
        <w:jc w:val="left"/>
      </w:pPr>
      <w:r>
        <w:rPr>
          <w:rFonts w:ascii="Myanmar Text" w:hAnsi="Myanmar Text" w:eastAsia="Myanmar Text" w:cs="Myanmar Text"/>
        </w:rPr>
        <w:t>မီလာ၏ဆုတောင်းချက်သည်</w:t>
      </w:r>
      <w:r>
        <w:rPr>
          <w:rFonts w:ascii="Times New Roman" w:hAnsi="Times New Roman" w:eastAsia="Times New Roman" w:cs="Times New Roman"/>
        </w:rPr>
        <w:t xml:space="preserve"> </w:t>
      </w:r>
      <w:r>
        <w:rPr>
          <w:rFonts w:ascii="Myanmar Text" w:hAnsi="Myanmar Text" w:eastAsia="Myanmar Text" w:cs="Myanmar Text"/>
        </w:rPr>
        <w:t>ဒံယေလအနက်</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နှစ်ဆယ့်ခြောက်၏</w:t>
      </w:r>
      <w:r>
        <w:rPr>
          <w:rFonts w:ascii="Times New Roman" w:hAnsi="Times New Roman" w:eastAsia="Times New Roman" w:cs="Times New Roman"/>
        </w:rPr>
        <w:t xml:space="preserve"> </w:t>
      </w:r>
      <w:r>
        <w:rPr>
          <w:rFonts w:ascii="Myanmar Text" w:hAnsi="Myanmar Text" w:eastAsia="Myanmar Text" w:cs="Myanmar Text"/>
        </w:rPr>
        <w:t>ဆုတောင်းချက်ကို</w:t>
      </w:r>
      <w:r>
        <w:rPr>
          <w:rFonts w:ascii="Times New Roman" w:hAnsi="Times New Roman" w:eastAsia="Times New Roman" w:cs="Times New Roman"/>
        </w:rPr>
        <w:t xml:space="preserve"> </w:t>
      </w:r>
      <w:r>
        <w:rPr>
          <w:rFonts w:ascii="Myanmar Text" w:hAnsi="Myanmar Text" w:eastAsia="Myanmar Text" w:cs="Myanmar Text"/>
        </w:rPr>
        <w:t>မှတ်သားစေသည်။</w:t>
      </w:r>
      <w:r>
        <w:rPr>
          <w:rFonts w:ascii="Times New Roman" w:hAnsi="Times New Roman" w:eastAsia="Times New Roman" w:cs="Times New Roman"/>
        </w:rPr>
        <w:t xml:space="preserve"> </w:t>
      </w:r>
      <w:r>
        <w:rPr>
          <w:rFonts w:ascii="Myanmar Text" w:hAnsi="Myanmar Text" w:eastAsia="Myanmar Text" w:cs="Myanmar Text"/>
        </w:rPr>
        <w:t>ထိုဆုတောင်းချက်သည်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ဆက်နွှယ်နေပြီး၊</w:t>
      </w:r>
      <w:r>
        <w:rPr>
          <w:rFonts w:ascii="Times New Roman" w:hAnsi="Times New Roman" w:eastAsia="Times New Roman" w:cs="Times New Roman"/>
        </w:rPr>
        <w:t xml:space="preserve"> </w:t>
      </w:r>
      <w:r>
        <w:rPr>
          <w:rFonts w:ascii="Myanmar Text" w:hAnsi="Myanmar Text" w:eastAsia="Myanmar Text" w:cs="Myanmar Text"/>
        </w:rPr>
        <w:t>မီလာ၏အိပ်မက်၌</w:t>
      </w:r>
      <w:r>
        <w:rPr>
          <w:rFonts w:ascii="Times New Roman" w:hAnsi="Times New Roman" w:eastAsia="Times New Roman" w:cs="Times New Roman"/>
        </w:rPr>
        <w:t xml:space="preserve"> </w:t>
      </w:r>
      <w:r>
        <w:rPr>
          <w:rFonts w:ascii="Myanmar Text" w:hAnsi="Myanmar Text" w:eastAsia="Myanmar Text" w:cs="Myanmar Text"/>
        </w:rPr>
        <w:t>တံခါးနှင့်</w:t>
      </w:r>
      <w:r>
        <w:rPr>
          <w:rFonts w:ascii="Times New Roman" w:hAnsi="Times New Roman" w:eastAsia="Times New Roman" w:cs="Times New Roman"/>
        </w:rPr>
        <w:t xml:space="preserve"> </w:t>
      </w:r>
      <w:r>
        <w:rPr>
          <w:rFonts w:ascii="Myanmar Text" w:hAnsi="Myanmar Text" w:eastAsia="Myanmar Text" w:cs="Myanmar Text"/>
        </w:rPr>
        <w:t>ပြတင်းပေါက်များ</w:t>
      </w:r>
      <w:r>
        <w:rPr>
          <w:rFonts w:ascii="Times New Roman" w:hAnsi="Times New Roman" w:eastAsia="Times New Roman" w:cs="Times New Roman"/>
        </w:rPr>
        <w:t xml:space="preserve"> </w:t>
      </w:r>
      <w:r>
        <w:rPr>
          <w:rFonts w:ascii="Myanmar Text" w:hAnsi="Myanmar Text" w:eastAsia="Myanmar Text" w:cs="Myanmar Text"/>
        </w:rPr>
        <w:t>ဖွင့်လှစ်သည့်အချိန်တွင်</w:t>
      </w:r>
      <w:r>
        <w:rPr>
          <w:rFonts w:ascii="Times New Roman" w:hAnsi="Times New Roman" w:eastAsia="Times New Roman" w:cs="Times New Roman"/>
        </w:rPr>
        <w:t xml:space="preserve"> </w:t>
      </w:r>
      <w:r>
        <w:rPr>
          <w:rFonts w:ascii="Myanmar Text" w:hAnsi="Myanmar Text" w:eastAsia="Myanmar Text" w:cs="Myanmar Text"/>
        </w:rPr>
        <w:t>ဖြစ်ပေါ်လာသည်။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ဒံယေလ၏ဆုတောင်းချက်သည်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နှစ်ရှိ</w:t>
      </w:r>
      <w:r>
        <w:rPr>
          <w:rFonts w:ascii="Times New Roman" w:hAnsi="Times New Roman" w:eastAsia="Times New Roman" w:cs="Times New Roman"/>
        </w:rPr>
        <w:t xml:space="preserve"> </w:t>
      </w:r>
      <w:r>
        <w:rPr>
          <w:rFonts w:ascii="Myanmar Text" w:hAnsi="Myanmar Text" w:eastAsia="Myanmar Text" w:cs="Myanmar Text"/>
        </w:rPr>
        <w:t>ဒံယေလ၏ဆုတောင်းချက်နှင့်လည်း</w:t>
      </w:r>
      <w:r>
        <w:rPr>
          <w:rFonts w:ascii="Times New Roman" w:hAnsi="Times New Roman" w:eastAsia="Times New Roman" w:cs="Times New Roman"/>
        </w:rPr>
        <w:t xml:space="preserve"> </w:t>
      </w:r>
      <w:r>
        <w:rPr>
          <w:rFonts w:ascii="Myanmar Text" w:hAnsi="Myanmar Text" w:eastAsia="Myanmar Text" w:cs="Myanmar Text"/>
        </w:rPr>
        <w:t>ကိုက်ညီနေသည်။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နေဗုခဒ်နေဇာ၏</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အဆုံးသတ်၌</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အပြစ်ဝန်ခံဆုတောင်းချက်နှင့်လည်း</w:t>
      </w:r>
      <w:r>
        <w:rPr>
          <w:rFonts w:ascii="Times New Roman" w:hAnsi="Times New Roman" w:eastAsia="Times New Roman" w:cs="Times New Roman"/>
        </w:rPr>
        <w:t xml:space="preserve"> </w:t>
      </w:r>
      <w:r>
        <w:rPr>
          <w:rFonts w:ascii="Myanmar Text" w:hAnsi="Myanmar Text" w:eastAsia="Myanmar Text" w:cs="Myanmar Text"/>
        </w:rPr>
        <w:t>ကိုက်ညီနေသည်။</w:t>
      </w:r>
    </w:p>
    <w:p>
      <w:pPr>
        <w:pStyle w:val="ArticleBody"/>
        <w:jc w:val="left"/>
      </w:pPr>
      <w:r>
        <w:rPr>
          <w:rFonts w:ascii="Times New Roman" w:hAnsi="Times New Roman" w:eastAsia="Times New Roman" w:cs="Times New Roman"/>
        </w:rPr>
        <w:t>مۆلله‌لگ دۇعاسى شۇنىڭ ئۈچۈن لاۋىيەلەر يىگىرمە ئالتىنچى بابتىكى دۇئا بىلەن تەمثىل قىلىنغانىدى؛ ئۇ ئاممىۋى ئىقرار دۇئاسى ۋە ئەڭ ئاخىرقى پەيغەمبەرلىك سىرىنىڭ ئېچىلىشىنى سورايدىغان بىر دۇئا ئىدى، چۈنكى بارلىق پەيغەمبەرلىكلەر ئاخىرقى كۈنلەرنى تەسۋىرلەيدۇ. شۇنىڭ ئۈچۈن دانىيال ئىككىنچى بابتىكى سىر ئېچىلىدىغان ئەڭ ئاخىرقى سىرغا ۋەكىللىك قىلىدۇ. مۆلله‌لگنىڭ دۇعاسى، ئۇنىڭ چۈشىدە، ئۆيىدىكى گۆھەرلەرگە يۈز بەرگەن يىرگىنچلىك ئىشلار ھەققىدىكى ئەندىشە ۋە ھەققانىي غەزەپ دۇئاسى ئىدى. ئۇنىڭ ئەندىشىسى، يۈز قىرىق تۆت مىڭنىڭ پېچەتلىنىش ۋاقتىدا، ئەزەكىيال توققۇزىنچى بابتا ئاھ-زار تارتىپ يىغلايدىغانلار ئارقىلىق تەسۋىرلەنگەن.</w:t>
      </w:r>
    </w:p>
    <w:p>
      <w:pPr>
        <w:pStyle w:val="ArticleBody"/>
        <w:jc w:val="left"/>
      </w:pPr>
      <w:r>
        <w:rPr>
          <w:rFonts w:ascii="Times New Roman" w:hAnsi="Times New Roman" w:eastAsia="Times New Roman" w:cs="Times New Roman"/>
        </w:rPr>
        <w:t>Миллер наблюдавал как истините постепенно бяха погребвани под подправени учения и в крайна сметка достигнаха до положение, при което ковчегът (самата Библия) беше унищожен. Унищожаването на ковчега на Миллер се извърши в третото поколение на адвентизма, когато се появи целенасочено движение да се остави настрана Библията „Крал Джеймс“ в полза на съвременните покварени, основани на католицизма версии на Библията.</w:t>
      </w:r>
    </w:p>
    <w:p>
      <w:pPr>
        <w:pStyle w:val="ArticleBody"/>
        <w:jc w:val="left"/>
      </w:pPr>
      <w:r>
        <w:rPr>
          <w:rFonts w:ascii="Times New Roman" w:hAnsi="Times New Roman" w:eastAsia="Times New Roman" w:cs="Times New Roman"/>
        </w:rPr>
        <w:t xml:space="preserve">Miller </w:t>
      </w:r>
      <w:r>
        <w:rPr>
          <w:rFonts w:ascii="Leelawadee UI" w:hAnsi="Leelawadee UI" w:eastAsia="Leelawadee UI" w:cs="Leelawadee UI"/>
        </w:rPr>
        <w:t>ច្រៀងយំ</w:t>
      </w:r>
      <w:r>
        <w:rPr>
          <w:rFonts w:ascii="Times New Roman" w:hAnsi="Times New Roman" w:eastAsia="Times New Roman" w:cs="Times New Roman"/>
        </w:rPr>
        <w:t xml:space="preserve"> </w:t>
      </w:r>
      <w:r>
        <w:rPr>
          <w:rFonts w:ascii="Leelawadee UI" w:hAnsi="Leelawadee UI" w:eastAsia="Leelawadee UI" w:cs="Leelawadee UI"/>
        </w:rPr>
        <w:t>បន្ទាប់មកបានអធិស្ឋាន</w:t>
      </w:r>
      <w:r>
        <w:rPr>
          <w:rFonts w:ascii="Times New Roman" w:hAnsi="Times New Roman" w:eastAsia="Times New Roman" w:cs="Times New Roman"/>
        </w:rPr>
        <w:t xml:space="preserve"> </w:t>
      </w:r>
      <w:r>
        <w:rPr>
          <w:rFonts w:ascii="Leelawadee UI" w:hAnsi="Leelawadee UI" w:eastAsia="Leelawadee UI" w:cs="Leelawadee UI"/>
        </w:rPr>
        <w:t>ហើយភ្លាមៗនោះ</w:t>
      </w:r>
      <w:r>
        <w:rPr>
          <w:rFonts w:ascii="Times New Roman" w:hAnsi="Times New Roman" w:eastAsia="Times New Roman" w:cs="Times New Roman"/>
        </w:rPr>
        <w:t xml:space="preserve"> </w:t>
      </w:r>
      <w:r>
        <w:rPr>
          <w:rFonts w:ascii="Leelawadee UI" w:hAnsi="Leelawadee UI" w:eastAsia="Leelawadee UI" w:cs="Leelawadee UI"/>
        </w:rPr>
        <w:t>ទ្វារមួយបានបើកឡើង</w:t>
      </w:r>
      <w:r>
        <w:rPr>
          <w:rFonts w:ascii="Times New Roman" w:hAnsi="Times New Roman" w:eastAsia="Times New Roman" w:cs="Times New Roman"/>
        </w:rPr>
        <w:t xml:space="preserve"> </w:t>
      </w:r>
      <w:r>
        <w:rPr>
          <w:rFonts w:ascii="Leelawadee UI" w:hAnsi="Leelawadee UI" w:eastAsia="Leelawadee UI" w:cs="Leelawadee UI"/>
        </w:rPr>
        <w:t>ហើយមនុស្សទាំងអស់ក៏បានចាកចេញទៅ។</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បុរសកាន់ច្រាសបោសធូលី</w:t>
      </w:r>
      <w:r>
        <w:rPr>
          <w:rFonts w:ascii="Times New Roman" w:hAnsi="Times New Roman" w:eastAsia="Times New Roman" w:cs="Times New Roman"/>
        </w:rPr>
        <w:t xml:space="preserve"> (</w:t>
      </w:r>
      <w:r>
        <w:rPr>
          <w:rFonts w:ascii="Leelawadee UI" w:hAnsi="Leelawadee UI" w:eastAsia="Leelawadee UI" w:cs="Leelawadee UI"/>
        </w:rPr>
        <w:t>សិង្ហពីពូជយូដា</w:t>
      </w:r>
      <w:r>
        <w:rPr>
          <w:rFonts w:ascii="Times New Roman" w:hAnsi="Times New Roman" w:eastAsia="Times New Roman" w:cs="Times New Roman"/>
        </w:rPr>
        <w:t xml:space="preserve">) </w:t>
      </w:r>
      <w:r>
        <w:rPr>
          <w:rFonts w:ascii="Leelawadee UI" w:hAnsi="Leelawadee UI" w:eastAsia="Leelawadee UI" w:cs="Leelawadee UI"/>
        </w:rPr>
        <w:t>បានចូលមក</w:t>
      </w:r>
      <w:r>
        <w:rPr>
          <w:rFonts w:ascii="Times New Roman" w:hAnsi="Times New Roman" w:eastAsia="Times New Roman" w:cs="Times New Roman"/>
        </w:rPr>
        <w:t xml:space="preserve"> </w:t>
      </w:r>
      <w:r>
        <w:rPr>
          <w:rFonts w:ascii="Leelawadee UI" w:hAnsi="Leelawadee UI" w:eastAsia="Leelawadee UI" w:cs="Leelawadee UI"/>
        </w:rPr>
        <w:t>បើកបង្អួចទាំងឡាយ</w:t>
      </w:r>
      <w:r>
        <w:rPr>
          <w:rFonts w:ascii="Times New Roman" w:hAnsi="Times New Roman" w:eastAsia="Times New Roman" w:cs="Times New Roman"/>
        </w:rPr>
        <w:t xml:space="preserve"> </w:t>
      </w:r>
      <w:r>
        <w:rPr>
          <w:rFonts w:ascii="Leelawadee UI" w:hAnsi="Leelawadee UI" w:eastAsia="Leelawadee UI" w:cs="Leelawadee UI"/>
        </w:rPr>
        <w:t>ហើយចាប់ផ្តើមសម្អាត។</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Miller </w:t>
      </w:r>
      <w:r>
        <w:rPr>
          <w:rFonts w:ascii="Leelawadee UI" w:hAnsi="Leelawadee UI" w:eastAsia="Leelawadee UI" w:cs="Leelawadee UI"/>
        </w:rPr>
        <w:t>បានសម្តែងការព្រួយបារម្ភរបស់គាត់អំពីត្បូងមានតម្លៃដែលរាយប៉ាយ</w:t>
      </w:r>
      <w:r>
        <w:rPr>
          <w:rFonts w:ascii="Times New Roman" w:hAnsi="Times New Roman" w:eastAsia="Times New Roman" w:cs="Times New Roman"/>
        </w:rPr>
        <w:t xml:space="preserve"> </w:t>
      </w:r>
      <w:r>
        <w:rPr>
          <w:rFonts w:ascii="Leelawadee UI" w:hAnsi="Leelawadee UI" w:eastAsia="Leelawadee UI" w:cs="Leelawadee UI"/>
        </w:rPr>
        <w:t>ហើយបុរសកាន់ច្រាសបោសធូលីបានសន្យាថា</w:t>
      </w:r>
      <w:r>
        <w:rPr>
          <w:rFonts w:ascii="Times New Roman" w:hAnsi="Times New Roman" w:eastAsia="Times New Roman" w:cs="Times New Roman"/>
        </w:rPr>
        <w:t xml:space="preserve"> </w:t>
      </w:r>
      <w:r>
        <w:rPr>
          <w:rFonts w:ascii="Leelawadee UI" w:hAnsi="Leelawadee UI" w:eastAsia="Leelawadee UI" w:cs="Leelawadee UI"/>
        </w:rPr>
        <w:t>គាត់នឹងថែរក្សាត្បូងទាំងនោះ។</w:t>
      </w:r>
      <w:r>
        <w:rPr>
          <w:rFonts w:ascii="Times New Roman" w:hAnsi="Times New Roman" w:eastAsia="Times New Roman" w:cs="Times New Roman"/>
        </w:rPr>
        <w:t xml:space="preserve"> </w:t>
      </w:r>
      <w:r>
        <w:rPr>
          <w:rFonts w:ascii="Leelawadee UI" w:hAnsi="Leelawadee UI" w:eastAsia="Leelawadee UI" w:cs="Leelawadee UI"/>
        </w:rPr>
        <w:t>ក្នុងភាពអ៊ូអរនៃកិច្ចការសម្អាតរបស់បុរសកាន់ច្រាសបោសធូលី</w:t>
      </w:r>
      <w:r>
        <w:rPr>
          <w:rFonts w:ascii="Times New Roman" w:hAnsi="Times New Roman" w:eastAsia="Times New Roman" w:cs="Times New Roman"/>
        </w:rPr>
        <w:t xml:space="preserve"> Miller </w:t>
      </w:r>
      <w:r>
        <w:rPr>
          <w:rFonts w:ascii="Leelawadee UI" w:hAnsi="Leelawadee UI" w:eastAsia="Leelawadee UI" w:cs="Leelawadee UI"/>
        </w:rPr>
        <w:t>បានបិទភ្នែករបស់គាត់មួយភ្លែត</w:t>
      </w:r>
      <w:r>
        <w:rPr>
          <w:rFonts w:ascii="Times New Roman" w:hAnsi="Times New Roman" w:eastAsia="Times New Roman" w:cs="Times New Roman"/>
        </w:rPr>
        <w:t xml:space="preserve"> </w:t>
      </w:r>
      <w:r>
        <w:rPr>
          <w:rFonts w:ascii="Leelawadee UI" w:hAnsi="Leelawadee UI" w:eastAsia="Leelawadee UI" w:cs="Leelawadee UI"/>
        </w:rPr>
        <w:t>ហើយពេលគាត់បើកភ្នែកឡើងវិញ</w:t>
      </w:r>
      <w:r>
        <w:rPr>
          <w:rFonts w:ascii="Times New Roman" w:hAnsi="Times New Roman" w:eastAsia="Times New Roman" w:cs="Times New Roman"/>
        </w:rPr>
        <w:t xml:space="preserve"> </w:t>
      </w:r>
      <w:r>
        <w:rPr>
          <w:rFonts w:ascii="Leelawadee UI" w:hAnsi="Leelawadee UI" w:eastAsia="Leelawadee UI" w:cs="Leelawadee UI"/>
        </w:rPr>
        <w:t>សំរាមក៏បានបាត់អស់។</w:t>
      </w:r>
      <w:r>
        <w:rPr>
          <w:rFonts w:ascii="Times New Roman" w:hAnsi="Times New Roman" w:eastAsia="Times New Roman" w:cs="Times New Roman"/>
        </w:rPr>
        <w:t xml:space="preserve"> </w:t>
      </w:r>
      <w:r>
        <w:rPr>
          <w:rFonts w:ascii="Leelawadee UI" w:hAnsi="Leelawadee UI" w:eastAsia="Leelawadee UI" w:cs="Leelawadee UI"/>
        </w:rPr>
        <w:t>ត្បូងមានតម្លៃទាំងនោះបានរាយប៉ាយនៅជុំវិញបន្ទប់</w:t>
      </w:r>
      <w:r>
        <w:rPr>
          <w:rFonts w:ascii="Times New Roman" w:hAnsi="Times New Roman" w:eastAsia="Times New Roman" w:cs="Times New Roman"/>
        </w:rPr>
        <w:t xml:space="preserve"> </w:t>
      </w:r>
      <w:r>
        <w:rPr>
          <w:rFonts w:ascii="Leelawadee UI" w:hAnsi="Leelawadee UI" w:eastAsia="Leelawadee UI" w:cs="Leelawadee UI"/>
        </w:rPr>
        <w:t>ហើយបុរសកាន់ច្រាសបោសធូលីក៏បានដាក់ហិបធំជាងមុនមួយនៅលើតុ</w:t>
      </w:r>
      <w:r>
        <w:rPr>
          <w:rFonts w:ascii="Times New Roman" w:hAnsi="Times New Roman" w:eastAsia="Times New Roman" w:cs="Times New Roman"/>
        </w:rPr>
        <w:t xml:space="preserve"> </w:t>
      </w:r>
      <w:r>
        <w:rPr>
          <w:rFonts w:ascii="Leelawadee UI" w:hAnsi="Leelawadee UI" w:eastAsia="Leelawadee UI" w:cs="Leelawadee UI"/>
        </w:rPr>
        <w:t>ប្រមូលត្បូងទាំងនោះ</w:t>
      </w:r>
      <w:r>
        <w:rPr>
          <w:rFonts w:ascii="Times New Roman" w:hAnsi="Times New Roman" w:eastAsia="Times New Roman" w:cs="Times New Roman"/>
        </w:rPr>
        <w:t xml:space="preserve"> </w:t>
      </w:r>
      <w:r>
        <w:rPr>
          <w:rFonts w:ascii="Leelawadee UI" w:hAnsi="Leelawadee UI" w:eastAsia="Leelawadee UI" w:cs="Leelawadee UI"/>
        </w:rPr>
        <w:t>ហើយចោលវាទៅក្នុងហិបនោះ</w:t>
      </w:r>
      <w:r>
        <w:rPr>
          <w:rFonts w:ascii="Times New Roman" w:hAnsi="Times New Roman" w:eastAsia="Times New Roman" w:cs="Times New Roman"/>
        </w:rPr>
        <w:t xml:space="preserve"> </w:t>
      </w:r>
      <w:r>
        <w:rPr>
          <w:rFonts w:ascii="Leelawadee UI" w:hAnsi="Leelawadee UI" w:eastAsia="Leelawadee UI" w:cs="Leelawadee UI"/>
        </w:rPr>
        <w:t>រួចមានប្រសាសន៍ថា៖</w:t>
      </w:r>
      <w:r>
        <w:rPr>
          <w:rFonts w:ascii="Times New Roman" w:hAnsi="Times New Roman" w:eastAsia="Times New Roman" w:cs="Times New Roman"/>
        </w:rPr>
        <w:t xml:space="preserve"> «</w:t>
      </w:r>
      <w:r>
        <w:rPr>
          <w:rFonts w:ascii="Leelawadee UI" w:hAnsi="Leelawadee UI" w:eastAsia="Leelawadee UI" w:cs="Leelawadee UI"/>
        </w:rPr>
        <w:t>ចូរមក</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လာကြည့်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အသုံးအနှုန်းသည်</w:t>
      </w:r>
      <w:r>
        <w:rPr>
          <w:rFonts w:ascii="Times New Roman" w:hAnsi="Times New Roman" w:eastAsia="Times New Roman" w:cs="Times New Roman"/>
        </w:rPr>
        <w:t xml:space="preserve"> </w:t>
      </w:r>
      <w:r>
        <w:rPr>
          <w:rFonts w:ascii="Myanmar Text" w:hAnsi="Myanmar Text" w:eastAsia="Myanmar Text" w:cs="Myanmar Text"/>
        </w:rPr>
        <w:t>သမ္မာတရားတစ်ရပ်ကို</w:t>
      </w:r>
      <w:r>
        <w:rPr>
          <w:rFonts w:ascii="Times New Roman" w:hAnsi="Times New Roman" w:eastAsia="Times New Roman" w:cs="Times New Roman"/>
        </w:rPr>
        <w:t xml:space="preserve"> </w:t>
      </w:r>
      <w:r>
        <w:rPr>
          <w:rFonts w:ascii="Myanmar Text" w:hAnsi="Myanmar Text" w:eastAsia="Myanmar Text" w:cs="Myanmar Text"/>
        </w:rPr>
        <w:t>ယခုမှ</w:t>
      </w:r>
      <w:r>
        <w:rPr>
          <w:rFonts w:ascii="Times New Roman" w:hAnsi="Times New Roman" w:eastAsia="Times New Roman" w:cs="Times New Roman"/>
        </w:rPr>
        <w:t xml:space="preserve"> </w:t>
      </w:r>
      <w:r>
        <w:rPr>
          <w:rFonts w:ascii="Myanmar Text" w:hAnsi="Myanmar Text" w:eastAsia="Myanmar Text" w:cs="Myanmar Text"/>
        </w:rPr>
        <w:t>တံဆိပ်ဖွင့်ထုတ်ပြသလိုက်ကြောင်းကို</w:t>
      </w:r>
      <w:r>
        <w:rPr>
          <w:rFonts w:ascii="Times New Roman" w:hAnsi="Times New Roman" w:eastAsia="Times New Roman" w:cs="Times New Roman"/>
        </w:rPr>
        <w:t xml:space="preserve"> </w:t>
      </w:r>
      <w:r>
        <w:rPr>
          <w:rFonts w:ascii="Myanmar Text" w:hAnsi="Myanmar Text" w:eastAsia="Myanmar Text" w:cs="Myanmar Text"/>
        </w:rPr>
        <w:t>သင်္ကေတပြုသော</w:t>
      </w:r>
      <w:r>
        <w:rPr>
          <w:rFonts w:ascii="Times New Roman" w:hAnsi="Times New Roman" w:eastAsia="Times New Roman" w:cs="Times New Roman"/>
        </w:rPr>
        <w:t xml:space="preserve"> </w:t>
      </w:r>
      <w:r>
        <w:rPr>
          <w:rFonts w:ascii="Myanmar Text" w:hAnsi="Myanmar Text" w:eastAsia="Myanmar Text" w:cs="Myanmar Text"/>
        </w:rPr>
        <w:t>အရာဖြစ်သည်။</w:t>
      </w:r>
      <w:r>
        <w:rPr>
          <w:rFonts w:ascii="Times New Roman" w:hAnsi="Times New Roman" w:eastAsia="Times New Roman" w:cs="Times New Roman"/>
        </w:rPr>
        <w:t xml:space="preserve"> </w:t>
      </w:r>
      <w:r>
        <w:rPr>
          <w:rFonts w:ascii="Myanmar Text" w:hAnsi="Myanmar Text" w:eastAsia="Myanmar Text" w:cs="Myanmar Text"/>
        </w:rPr>
        <w:t>မီလာအတွက်</w:t>
      </w:r>
      <w:r>
        <w:rPr>
          <w:rFonts w:ascii="Times New Roman" w:hAnsi="Times New Roman" w:eastAsia="Times New Roman" w:cs="Times New Roman"/>
        </w:rPr>
        <w:t xml:space="preserve"> </w:t>
      </w:r>
      <w:r>
        <w:rPr>
          <w:rFonts w:ascii="Myanmar Text" w:hAnsi="Myanmar Text" w:eastAsia="Myanmar Text" w:cs="Myanmar Text"/>
        </w:rPr>
        <w:t>တံဆိပ်ဖွင့်ထုတ်ပြသခံရသော</w:t>
      </w:r>
      <w:r>
        <w:rPr>
          <w:rFonts w:ascii="Times New Roman" w:hAnsi="Times New Roman" w:eastAsia="Times New Roman" w:cs="Times New Roman"/>
        </w:rPr>
        <w:t xml:space="preserve"> </w:t>
      </w:r>
      <w:r>
        <w:rPr>
          <w:rFonts w:ascii="Myanmar Text" w:hAnsi="Myanmar Text" w:eastAsia="Myanmar Text" w:cs="Myanmar Text"/>
        </w:rPr>
        <w:t>သမ္မာတရားသည်</w:t>
      </w:r>
      <w:r>
        <w:rPr>
          <w:rFonts w:ascii="Times New Roman" w:hAnsi="Times New Roman" w:eastAsia="Times New Roman" w:cs="Times New Roman"/>
        </w:rPr>
        <w:t xml:space="preserve"> </w:t>
      </w:r>
      <w:r>
        <w:rPr>
          <w:rFonts w:ascii="Myanmar Text" w:hAnsi="Myanmar Text" w:eastAsia="Myanmar Text" w:cs="Myanmar Text"/>
        </w:rPr>
        <w:t>နောက်ဆုံးသမ္မာတရားဖြစ်သည်။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ဆက်လက်ဖြစ်ပေါ်မည့်အရာမှာ</w:t>
      </w:r>
      <w:r>
        <w:rPr>
          <w:rFonts w:ascii="Times New Roman" w:hAnsi="Times New Roman" w:eastAsia="Times New Roman" w:cs="Times New Roman"/>
        </w:rPr>
        <w:t xml:space="preserve"> “</w:t>
      </w:r>
      <w:r>
        <w:rPr>
          <w:rFonts w:ascii="Myanmar Text" w:hAnsi="Myanmar Text" w:eastAsia="Myanmar Text" w:cs="Myanmar Text"/>
        </w:rPr>
        <w:t>ကြွေးကြော်သံ</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နိုးထလာခြင်းဖြစ်ပြီး၊</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ကြွေးကြော်ခြင်းကို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မီလာသည်</w:t>
      </w:r>
      <w:r>
        <w:rPr>
          <w:rFonts w:ascii="Times New Roman" w:hAnsi="Times New Roman" w:eastAsia="Times New Roman" w:cs="Times New Roman"/>
        </w:rPr>
        <w:t xml:space="preserve"> </w:t>
      </w:r>
      <w:r>
        <w:rPr>
          <w:rFonts w:ascii="Myanmar Text" w:hAnsi="Myanmar Text" w:eastAsia="Myanmar Text" w:cs="Myanmar Text"/>
        </w:rPr>
        <w:t>မီလာရေးတို့၏</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သန်းခေါင်ယံအော်ဟစ်သံ၏</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နောက်ဆုံးလက်ခံရရှိသူဖြစ်ပြီး၊</w:t>
      </w:r>
      <w:r>
        <w:rPr>
          <w:rFonts w:ascii="Times New Roman" w:hAnsi="Times New Roman" w:eastAsia="Times New Roman" w:cs="Times New Roman"/>
        </w:rPr>
        <w:t xml:space="preserve"> </w:t>
      </w:r>
      <w:r>
        <w:rPr>
          <w:rFonts w:ascii="Myanmar Text" w:hAnsi="Myanmar Text" w:eastAsia="Myanmar Text" w:cs="Myanmar Text"/>
        </w:rPr>
        <w:t>အိပ်မက်ထဲတွင်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နိုးထစေသော</w:t>
      </w:r>
      <w:r>
        <w:rPr>
          <w:rFonts w:ascii="Times New Roman" w:hAnsi="Times New Roman" w:eastAsia="Times New Roman" w:cs="Times New Roman"/>
        </w:rPr>
        <w:t xml:space="preserve"> </w:t>
      </w:r>
      <w:r>
        <w:rPr>
          <w:rFonts w:ascii="Myanmar Text" w:hAnsi="Myanmar Text" w:eastAsia="Myanmar Text" w:cs="Myanmar Text"/>
        </w:rPr>
        <w:t>ကြွေးကြော်သံ</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အချိန်တိုတစ်ခဏမျှ</w:t>
      </w:r>
      <w:r>
        <w:rPr>
          <w:rFonts w:ascii="Times New Roman" w:hAnsi="Times New Roman" w:eastAsia="Times New Roman" w:cs="Times New Roman"/>
        </w:rPr>
        <w:t xml:space="preserve"> </w:t>
      </w:r>
      <w:r>
        <w:rPr>
          <w:rFonts w:ascii="Myanmar Text" w:hAnsi="Myanmar Text" w:eastAsia="Myanmar Text" w:cs="Myanmar Text"/>
        </w:rPr>
        <w:t>သူ၏မျက်စိတို့ကို</w:t>
      </w:r>
      <w:r>
        <w:rPr>
          <w:rFonts w:ascii="Times New Roman" w:hAnsi="Times New Roman" w:eastAsia="Times New Roman" w:cs="Times New Roman"/>
        </w:rPr>
        <w:t xml:space="preserve"> </w:t>
      </w:r>
      <w:r>
        <w:rPr>
          <w:rFonts w:ascii="Myanmar Text" w:hAnsi="Myanmar Text" w:eastAsia="Myanmar Text" w:cs="Myanmar Text"/>
        </w:rPr>
        <w:t>ပိတ်ခဲ့သည်။</w:t>
      </w:r>
      <w:r>
        <w:rPr>
          <w:rFonts w:ascii="Times New Roman" w:hAnsi="Times New Roman" w:eastAsia="Times New Roman" w:cs="Times New Roman"/>
        </w:rPr>
        <w:t xml:space="preserve"> </w:t>
      </w:r>
      <w:r>
        <w:rPr>
          <w:rFonts w:ascii="Myanmar Text" w:hAnsi="Myanmar Text" w:eastAsia="Myanmar Text" w:cs="Myanmar Text"/>
        </w:rPr>
        <w:t>သမ္မာကျမ်းစာ၌</w:t>
      </w:r>
      <w:r>
        <w:rPr>
          <w:rFonts w:ascii="Times New Roman" w:hAnsi="Times New Roman" w:eastAsia="Times New Roman" w:cs="Times New Roman"/>
        </w:rPr>
        <w:t xml:space="preserve"> “</w:t>
      </w:r>
      <w:r>
        <w:rPr>
          <w:rFonts w:ascii="Myanmar Text" w:hAnsi="Myanmar Text" w:eastAsia="Myanmar Text" w:cs="Myanmar Text"/>
        </w:rPr>
        <w:t>တစ်ခဏ</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မျက်စိ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ကိုးကားဖော်ပြသော</w:t>
      </w:r>
      <w:r>
        <w:rPr>
          <w:rFonts w:ascii="Times New Roman" w:hAnsi="Times New Roman" w:eastAsia="Times New Roman" w:cs="Times New Roman"/>
        </w:rPr>
        <w:t xml:space="preserve"> </w:t>
      </w:r>
      <w:r>
        <w:rPr>
          <w:rFonts w:ascii="Myanmar Text" w:hAnsi="Myanmar Text" w:eastAsia="Myanmar Text" w:cs="Myanmar Text"/>
        </w:rPr>
        <w:t>ကျမ်းပိုဒ်တစ်ပိုဒ်တည်းသာရှိပြီး၊</w:t>
      </w:r>
      <w:r>
        <w:rPr>
          <w:rFonts w:ascii="Times New Roman" w:hAnsi="Times New Roman" w:eastAsia="Times New Roman" w:cs="Times New Roman"/>
        </w:rPr>
        <w:t xml:space="preserve"> </w:t>
      </w:r>
      <w:r>
        <w:rPr>
          <w:rFonts w:ascii="Myanmar Text" w:hAnsi="Myanmar Text" w:eastAsia="Myanmar Text" w:cs="Myanmar Text"/>
        </w:rPr>
        <w:t>ထိုကျမ်းပိုဒ်သည်</w:t>
      </w:r>
      <w:r>
        <w:rPr>
          <w:rFonts w:ascii="Times New Roman" w:hAnsi="Times New Roman" w:eastAsia="Times New Roman" w:cs="Times New Roman"/>
        </w:rPr>
        <w:t xml:space="preserve"> </w:t>
      </w:r>
      <w:r>
        <w:rPr>
          <w:rFonts w:ascii="Myanmar Text" w:hAnsi="Myanmar Text" w:eastAsia="Myanmar Text" w:cs="Myanmar Text"/>
        </w:rPr>
        <w:t>ပထမရှင်ပြန်ထမြောက်ခြင်းကို</w:t>
      </w:r>
      <w:r>
        <w:rPr>
          <w:rFonts w:ascii="Times New Roman" w:hAnsi="Times New Roman" w:eastAsia="Times New Roman" w:cs="Times New Roman"/>
        </w:rPr>
        <w:t xml:space="preserve"> </w:t>
      </w:r>
      <w:r>
        <w:rPr>
          <w:rFonts w:ascii="Myanmar Text" w:hAnsi="Myanmar Text" w:eastAsia="Myanmar Text" w:cs="Myanmar Text"/>
        </w:rPr>
        <w:t>ညွှန်ပြနေသည်။</w:t>
      </w:r>
    </w:p>
    <w:p>
      <w:pPr>
        <w:pStyle w:val="ArticleScripture"/>
        <w:jc w:val="left"/>
      </w:pPr>
      <w:r>
        <w:rPr>
          <w:rFonts w:ascii="Times New Roman" w:hAnsi="Times New Roman" w:eastAsia="Times New Roman" w:cs="Times New Roman"/>
        </w:rPr>
        <w:t>¡He aquí, os muestro un misterio! No todos dormiremos; pero todos seremos transformados, en un momento, en un abrir y cerrar de ojos, a la final trompeta; porque se tocará la trompeta, y los muertos serán resucitados incorruptibles, y nosotros seremos transformados. Porque es necesario que esto corruptible se vista de incorrupción, y esto mortal se vista de inmortalidad. 1 Corintios 15:51–53.</w:t>
      </w:r>
    </w:p>
    <w:p>
      <w:pPr>
        <w:pStyle w:val="ArticleBody"/>
        <w:jc w:val="left"/>
      </w:pPr>
      <w:r>
        <w:rPr>
          <w:rFonts w:ascii="Javanese Text" w:hAnsi="Javanese Text" w:eastAsia="Javanese Text" w:cs="Javanese Text"/>
        </w:rPr>
        <w:t>꧋ꦲꦶꦁꦱꦼꦗꦫꦃꦥꦶꦤ꧀ꦝꦃꦲꦤꦼꦭꦶꦲꦶꦁꦒꦶꦁꦥꦼꦫꦒꦏꦤ꧀ꦭꦮꦢꦶꦱꦺꦪꦤ꧀ꦤꦶꦁꦥ꦳ꦼꦱꦺꦤ꧀ꦭꦼꦭꦮꦶꦤ꧀ꦏꦠꦶꦒꦲꦶꦏꦸꦩꦼꦁꦏꦁꦥꦼꦫꦒꦏꦤ꧀ꦥꦶꦭꦢꦼꦭ꧀ꦥꦶꦪꦤ꧀ꦤꦶꦁꦥ꦳ꦼꦱꦺꦤ꧀ꦭꦼꦭꦮꦶꦤ꧀ꦏꦠꦶꦒꦲꦶꦏꦸ</w:t>
      </w:r>
      <w:r>
        <w:rPr>
          <w:rFonts w:ascii="Times New Roman" w:hAnsi="Times New Roman" w:eastAsia="Times New Roman" w:cs="Times New Roman"/>
        </w:rPr>
        <w:t xml:space="preserve">, </w:t>
      </w:r>
      <w:r>
        <w:rPr>
          <w:rFonts w:ascii="Javanese Text" w:hAnsi="Javanese Text" w:eastAsia="Javanese Text" w:cs="Javanese Text"/>
        </w:rPr>
        <w:t>ꦱꦼꦥꦼꦂꦠꦶꦏꦁꦏꦠꦿꦠꦏꦼꦤ꧀ꦲꦶꦁ</w:t>
      </w:r>
      <w:r>
        <w:rPr>
          <w:rFonts w:ascii="Times New Roman" w:hAnsi="Times New Roman" w:eastAsia="Times New Roman" w:cs="Times New Roman"/>
        </w:rPr>
        <w:t xml:space="preserve"> Revelation chapter eleven, Miller </w:t>
      </w:r>
      <w:r>
        <w:rPr>
          <w:rFonts w:ascii="Javanese Text" w:hAnsi="Javanese Text" w:eastAsia="Javanese Text" w:cs="Javanese Text"/>
        </w:rPr>
        <w:t>ꦤꦶꦏꦸꦩꦼꦭꦩ꧀ꦧꦁꦏꦼꦏꦮꦸꦭꦠꦺꦫꦏꦶꦂꦥꦔꦼꦤ꧀ꦢꦺꦏꦶꦥꦫꦮꦤ꧀ꦧꦶꦗꦏ꧀ꦱꦤꦏꦁꦈꦱꦶꦃꦤꦼꦫꦶꦩꦥ꦳ꦼꦱꦺꦤ꧀</w:t>
      </w:r>
      <w:r>
        <w:rPr>
          <w:rFonts w:ascii="Times New Roman" w:hAnsi="Times New Roman" w:eastAsia="Times New Roman" w:cs="Times New Roman"/>
        </w:rPr>
        <w:t xml:space="preserve"> Midnight Cry. </w:t>
      </w:r>
      <w:r>
        <w:rPr>
          <w:rFonts w:ascii="Javanese Text" w:hAnsi="Javanese Text" w:eastAsia="Javanese Text" w:cs="Javanese Text"/>
        </w:rPr>
        <w:t>ꦲꦤꦺꦲꦁꦥꦶꦁꦥꦿꦠꦩꦏꦭꦶꦤꦼꦫꦶꦩꦥ꦳ꦼꦱꦺꦤ꧀ꦲꦶꦏꦸꦲꦶꦪꦏꦸꦲꦺꦴꦫꦁꦲꦺꦴꦫꦁꦏꦁꦥꦭꦶꦁꦱ꧀ꦥꦶꦫꦶꦠꦸꦮꦭ꧀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ለሁለተኛው</w:t>
      </w:r>
      <w:r>
        <w:rPr>
          <w:rFonts w:ascii="Times New Roman" w:hAnsi="Times New Roman" w:eastAsia="Times New Roman" w:cs="Times New Roman"/>
        </w:rPr>
        <w:t xml:space="preserve"> </w:t>
      </w:r>
      <w:r>
        <w:rPr>
          <w:rFonts w:ascii="Ebrima" w:hAnsi="Ebrima" w:eastAsia="Ebrima" w:cs="Ebrima"/>
        </w:rPr>
        <w:t>የመልአኩ</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ሊሰጥ</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የቆረጡትን</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ለማንቃትና</w:t>
      </w:r>
      <w:r>
        <w:rPr>
          <w:rFonts w:ascii="Times New Roman" w:hAnsi="Times New Roman" w:eastAsia="Times New Roman" w:cs="Times New Roman"/>
        </w:rPr>
        <w:t xml:space="preserve"> </w:t>
      </w:r>
      <w:r>
        <w:rPr>
          <w:rFonts w:ascii="Ebrima" w:hAnsi="Ebrima" w:eastAsia="Ebrima" w:cs="Ebrima"/>
        </w:rPr>
        <w:t>በፊታቸው</w:t>
      </w:r>
      <w:r>
        <w:rPr>
          <w:rFonts w:ascii="Times New Roman" w:hAnsi="Times New Roman" w:eastAsia="Times New Roman" w:cs="Times New Roman"/>
        </w:rPr>
        <w:t xml:space="preserve"> </w:t>
      </w:r>
      <w:r>
        <w:rPr>
          <w:rFonts w:ascii="Ebrima" w:hAnsi="Ebrima" w:eastAsia="Ebrima" w:cs="Ebrima"/>
        </w:rPr>
        <w:t>ላለው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ለማዘጋጀት</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ተልከው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ችሎታ</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የተቀበሉት</w:t>
      </w:r>
      <w:r>
        <w:rPr>
          <w:rFonts w:ascii="Times New Roman" w:hAnsi="Times New Roman" w:eastAsia="Times New Roman" w:cs="Times New Roman"/>
        </w:rPr>
        <w:t xml:space="preserve"> </w:t>
      </w:r>
      <w:r>
        <w:rPr>
          <w:rFonts w:ascii="Ebrima" w:hAnsi="Ebrima" w:eastAsia="Ebrima" w:cs="Ebrima"/>
        </w:rPr>
        <w:t>አልነበሩም።</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ትሑታንና</w:t>
      </w:r>
      <w:r>
        <w:rPr>
          <w:rFonts w:ascii="Times New Roman" w:hAnsi="Times New Roman" w:eastAsia="Times New Roman" w:cs="Times New Roman"/>
        </w:rPr>
        <w:t xml:space="preserve"> </w:t>
      </w:r>
      <w:r>
        <w:rPr>
          <w:rFonts w:ascii="Ebrima" w:hAnsi="Ebrima" w:eastAsia="Ebrima" w:cs="Ebrima"/>
        </w:rPr>
        <w:t>ታማኞች</w:t>
      </w:r>
      <w:r>
        <w:rPr>
          <w:rFonts w:ascii="Times New Roman" w:hAnsi="Times New Roman" w:eastAsia="Times New Roman" w:cs="Times New Roman"/>
        </w:rPr>
        <w:t xml:space="preserve"> </w:t>
      </w:r>
      <w:r>
        <w:rPr>
          <w:rFonts w:ascii="Ebrima" w:hAnsi="Ebrima" w:eastAsia="Ebrima" w:cs="Ebrima"/>
        </w:rPr>
        <w:t>ተልከው፣</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ሙሽራው</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ሊቀበሉት</w:t>
      </w:r>
      <w:r>
        <w:rPr>
          <w:rFonts w:ascii="Times New Roman" w:hAnsi="Times New Roman" w:eastAsia="Times New Roman" w:cs="Times New Roman"/>
        </w:rPr>
        <w:t xml:space="preserve"> </w:t>
      </w:r>
      <w:r>
        <w:rPr>
          <w:rFonts w:ascii="Ebrima" w:hAnsi="Ebrima" w:eastAsia="Ebrima" w:cs="Ebrima"/>
        </w:rPr>
        <w:t>ውጡ</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እንዲያስነሱ</w:t>
      </w:r>
      <w:r>
        <w:rPr>
          <w:rFonts w:ascii="Times New Roman" w:hAnsi="Times New Roman" w:eastAsia="Times New Roman" w:cs="Times New Roman"/>
        </w:rPr>
        <w:t xml:space="preserve"> </w:t>
      </w:r>
      <w:r>
        <w:rPr>
          <w:rFonts w:ascii="Ebrima" w:hAnsi="Ebrima" w:eastAsia="Ebrima" w:cs="Ebrima"/>
        </w:rPr>
        <w:t>ግድ</w:t>
      </w:r>
      <w:r>
        <w:rPr>
          <w:rFonts w:ascii="Times New Roman" w:hAnsi="Times New Roman" w:eastAsia="Times New Roman" w:cs="Times New Roman"/>
        </w:rPr>
        <w:t xml:space="preserve"> </w:t>
      </w:r>
      <w:r>
        <w:rPr>
          <w:rFonts w:ascii="Ebrima" w:hAnsi="Ebrima" w:eastAsia="Ebrima" w:cs="Ebrima"/>
        </w:rPr>
        <w:t>አደረጓቸው።</w:t>
      </w:r>
      <w:r>
        <w:rPr>
          <w:rFonts w:ascii="Times New Roman" w:hAnsi="Times New Roman" w:eastAsia="Times New Roman" w:cs="Times New Roman"/>
        </w:rPr>
        <w:t xml:space="preserve"> </w:t>
      </w:r>
      <w:r>
        <w:rPr>
          <w:rFonts w:ascii="Ebrima" w:hAnsi="Ebrima" w:eastAsia="Ebrima" w:cs="Ebrima"/>
        </w:rPr>
        <w:t>ጩኸቱ</w:t>
      </w:r>
      <w:r>
        <w:rPr>
          <w:rFonts w:ascii="Times New Roman" w:hAnsi="Times New Roman" w:eastAsia="Times New Roman" w:cs="Times New Roman"/>
        </w:rPr>
        <w:t xml:space="preserve"> </w:t>
      </w:r>
      <w:r>
        <w:rPr>
          <w:rFonts w:ascii="Ebrima" w:hAnsi="Ebrima" w:eastAsia="Ebrima" w:cs="Ebrima"/>
        </w:rPr>
        <w:t>የተሰጣቸው</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ተጣደፉ፤</w:t>
      </w:r>
      <w:r>
        <w:rPr>
          <w:rFonts w:ascii="Times New Roman" w:hAnsi="Times New Roman" w:eastAsia="Times New Roman" w:cs="Times New Roman"/>
        </w:rPr>
        <w:t xml:space="preserve"> </w:t>
      </w:r>
      <w:r>
        <w:rPr>
          <w:rFonts w:ascii="Ebrima" w:hAnsi="Ebrima" w:eastAsia="Ebrima" w:cs="Ebrima"/>
        </w:rPr>
        <w:t>በመንፈስ</w:t>
      </w:r>
      <w:r>
        <w:rPr>
          <w:rFonts w:ascii="Times New Roman" w:hAnsi="Times New Roman" w:eastAsia="Times New Roman" w:cs="Times New Roman"/>
        </w:rPr>
        <w:t xml:space="preserve"> </w:t>
      </w:r>
      <w:r>
        <w:rPr>
          <w:rFonts w:ascii="Ebrima" w:hAnsi="Ebrima" w:eastAsia="Ebrima" w:cs="Ebrima"/>
        </w:rPr>
        <w:t>ቅዱስም</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አሰሙ፣</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የቆረጡትንም</w:t>
      </w:r>
      <w:r>
        <w:rPr>
          <w:rFonts w:ascii="Times New Roman" w:hAnsi="Times New Roman" w:eastAsia="Times New Roman" w:cs="Times New Roman"/>
        </w:rPr>
        <w:t xml:space="preserve"> </w:t>
      </w:r>
      <w:r>
        <w:rPr>
          <w:rFonts w:ascii="Ebrima" w:hAnsi="Ebrima" w:eastAsia="Ebrima" w:cs="Ebrima"/>
        </w:rPr>
        <w:t>ወንድሞቻቸውን</w:t>
      </w:r>
      <w:r>
        <w:rPr>
          <w:rFonts w:ascii="Times New Roman" w:hAnsi="Times New Roman" w:eastAsia="Times New Roman" w:cs="Times New Roman"/>
        </w:rPr>
        <w:t xml:space="preserve"> </w:t>
      </w:r>
      <w:r>
        <w:rPr>
          <w:rFonts w:ascii="Ebrima" w:hAnsi="Ebrima" w:eastAsia="Ebrima" w:cs="Ebrima"/>
        </w:rPr>
        <w:t>አነቁ።</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በሰዎች</w:t>
      </w:r>
      <w:r>
        <w:rPr>
          <w:rFonts w:ascii="Times New Roman" w:hAnsi="Times New Roman" w:eastAsia="Times New Roman" w:cs="Times New Roman"/>
        </w:rPr>
        <w:t xml:space="preserve"> </w:t>
      </w:r>
      <w:r>
        <w:rPr>
          <w:rFonts w:ascii="Ebrima" w:hAnsi="Ebrima" w:eastAsia="Ebrima" w:cs="Ebrima"/>
        </w:rPr>
        <w:t>ጥበብና</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ጩኸቱንም</w:t>
      </w:r>
      <w:r>
        <w:rPr>
          <w:rFonts w:ascii="Times New Roman" w:hAnsi="Times New Roman" w:eastAsia="Times New Roman" w:cs="Times New Roman"/>
        </w:rPr>
        <w:t xml:space="preserve"> </w:t>
      </w:r>
      <w:r>
        <w:rPr>
          <w:rFonts w:ascii="Ebrima" w:hAnsi="Ebrima" w:eastAsia="Ebrima" w:cs="Ebrima"/>
        </w:rPr>
        <w:t>የሰሙ</w:t>
      </w:r>
      <w:r>
        <w:rPr>
          <w:rFonts w:ascii="Times New Roman" w:hAnsi="Times New Roman" w:eastAsia="Times New Roman" w:cs="Times New Roman"/>
        </w:rPr>
        <w:t xml:space="preserve"> </w:t>
      </w:r>
      <w:r>
        <w:rPr>
          <w:rFonts w:ascii="Ebrima" w:hAnsi="Ebrima" w:eastAsia="Ebrima" w:cs="Ebrima"/>
        </w:rPr>
        <w:t>ቅዱሳኑ</w:t>
      </w:r>
      <w:r>
        <w:rPr>
          <w:rFonts w:ascii="Times New Roman" w:hAnsi="Times New Roman" w:eastAsia="Times New Roman" w:cs="Times New Roman"/>
        </w:rPr>
        <w:t xml:space="preserve"> </w:t>
      </w:r>
      <w:r>
        <w:rPr>
          <w:rFonts w:ascii="Ebrima" w:hAnsi="Ebrima" w:eastAsia="Ebrima" w:cs="Ebrima"/>
        </w:rPr>
        <w:t>ሊቋቋሙት</w:t>
      </w:r>
      <w:r>
        <w:rPr>
          <w:rFonts w:ascii="Times New Roman" w:hAnsi="Times New Roman" w:eastAsia="Times New Roman" w:cs="Times New Roman"/>
        </w:rPr>
        <w:t xml:space="preserve"> </w:t>
      </w:r>
      <w:r>
        <w:rPr>
          <w:rFonts w:ascii="Ebrima" w:hAnsi="Ebrima" w:eastAsia="Ebrima" w:cs="Ebrima"/>
        </w:rPr>
        <w:t>አልቻሉም።</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ተቀበሉት፤</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በሥራው</w:t>
      </w:r>
      <w:r>
        <w:rPr>
          <w:rFonts w:ascii="Times New Roman" w:hAnsi="Times New Roman" w:eastAsia="Times New Roman" w:cs="Times New Roman"/>
        </w:rPr>
        <w:t xml:space="preserve"> </w:t>
      </w:r>
      <w:r>
        <w:rPr>
          <w:rFonts w:ascii="Ebrima" w:hAnsi="Ebrima" w:eastAsia="Ebrima" w:cs="Ebrima"/>
        </w:rPr>
        <w:t>መሪዎች</w:t>
      </w:r>
      <w:r>
        <w:rPr>
          <w:rFonts w:ascii="Times New Roman" w:hAnsi="Times New Roman" w:eastAsia="Times New Roman" w:cs="Times New Roman"/>
        </w:rPr>
        <w:t xml:space="preserve"> </w:t>
      </w:r>
      <w:r>
        <w:rPr>
          <w:rFonts w:ascii="Ebrima" w:hAnsi="Ebrima" w:eastAsia="Ebrima" w:cs="Ebrima"/>
        </w:rPr>
        <w:t>የነበሩት</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ሙሽራው</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ሊቀበሉት</w:t>
      </w:r>
      <w:r>
        <w:rPr>
          <w:rFonts w:ascii="Times New Roman" w:hAnsi="Times New Roman" w:eastAsia="Times New Roman" w:cs="Times New Roman"/>
        </w:rPr>
        <w:t xml:space="preserve"> </w:t>
      </w:r>
      <w:r>
        <w:rPr>
          <w:rFonts w:ascii="Ebrima" w:hAnsi="Ebrima" w:eastAsia="Ebrima" w:cs="Ebrima"/>
        </w:rPr>
        <w:t>ውጡ</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ለመቀበልና</w:t>
      </w:r>
      <w:r>
        <w:rPr>
          <w:rFonts w:ascii="Times New Roman" w:hAnsi="Times New Roman" w:eastAsia="Times New Roman" w:cs="Times New Roman"/>
        </w:rPr>
        <w:t xml:space="preserve"> </w:t>
      </w:r>
      <w:r>
        <w:rPr>
          <w:rFonts w:ascii="Ebrima" w:hAnsi="Ebrima" w:eastAsia="Ebrima" w:cs="Ebrima"/>
        </w:rPr>
        <w:t>ለማብዛት</w:t>
      </w:r>
      <w:r>
        <w:rPr>
          <w:rFonts w:ascii="Times New Roman" w:hAnsi="Times New Roman" w:eastAsia="Times New Roman" w:cs="Times New Roman"/>
        </w:rPr>
        <w:t xml:space="preserve"> </w:t>
      </w:r>
      <w:r>
        <w:rPr>
          <w:rFonts w:ascii="Ebrima" w:hAnsi="Ebrima" w:eastAsia="Ebrima" w:cs="Ebrima"/>
        </w:rPr>
        <w:t>ከሁሉ</w:t>
      </w:r>
      <w:r>
        <w:rPr>
          <w:rFonts w:ascii="Times New Roman" w:hAnsi="Times New Roman" w:eastAsia="Times New Roman" w:cs="Times New Roman"/>
        </w:rPr>
        <w:t xml:space="preserve"> </w:t>
      </w:r>
      <w:r>
        <w:rPr>
          <w:rFonts w:ascii="Ebrima" w:hAnsi="Ebrima" w:eastAsia="Ebrima" w:cs="Ebrima"/>
        </w:rPr>
        <w:t>የኋላ</w:t>
      </w:r>
      <w:r>
        <w:rPr>
          <w:rFonts w:ascii="Times New Roman" w:hAnsi="Times New Roman" w:eastAsia="Times New Roman" w:cs="Times New Roman"/>
        </w:rPr>
        <w:t xml:space="preserve"> </w:t>
      </w:r>
      <w:r>
        <w:rPr>
          <w:rFonts w:ascii="Ebrima" w:hAnsi="Ebrima" w:eastAsia="Ebrima" w:cs="Ebrima"/>
        </w:rPr>
        <w:t>ሆኑ።</w:t>
      </w:r>
      <w:r>
        <w:rPr>
          <w:rFonts w:ascii="Times New Roman" w:hAnsi="Times New Roman" w:eastAsia="Times New Roman" w:cs="Times New Roman"/>
        </w:rPr>
        <w:t>» Early Writings, 238.</w:t>
      </w:r>
    </w:p>
    <w:p>
      <w:pPr>
        <w:pStyle w:val="ArticleBody"/>
        <w:jc w:val="left"/>
      </w:pPr>
      <w:r>
        <w:rPr>
          <w:rFonts w:ascii="Times New Roman" w:hAnsi="Times New Roman" w:eastAsia="Times New Roman" w:cs="Times New Roman"/>
        </w:rPr>
        <w:t>Ay pagtatapos da tedlo tan kalahating simbolikon agew na nabanggit ed Kapitulo onse na Pahayag, naipapangaral so sankanawnawa ya mensahe a duaran mensahe, a sinisimbolo ed Kapitulo treinta y siete na Ezekiel. So sankanawnawa ya mensahe saray nagaget tan nawarak a toltol, balet bilay da la ni patay. Inyabobon so mensahe panamegley na boses a nanangisag “ed disyerto”, tan sikato so pakabidbiran a so mensahe na Ezekiel et manlapu ya nangrugi sakbay a natapos iray tedlo tan kalahating simbolikon agew. Sarayan tedlo tan kalahating agew et manisimbolo iray “disyerto”, tan ed “disyerto” so pakapangipangaral na mensahe. So “disyerto” et simbolo met na “piton panaon,” a mangitanda na transisyon tan panakaabierto a mangiyaon na proseso na subok.</w:t>
      </w:r>
    </w:p>
    <w:p>
      <w:pPr>
        <w:pStyle w:val="ArticleBody"/>
        <w:jc w:val="left"/>
      </w:pPr>
      <w:r>
        <w:rPr>
          <w:rFonts w:ascii="Times New Roman" w:hAnsi="Times New Roman" w:eastAsia="Times New Roman" w:cs="Times New Roman"/>
        </w:rPr>
        <w:t>Wawar janqʼu nayrar sartaski, ukhamaraki katuqäwipax nayrar sartaskarakiwa, kunjamatï Milleritanakan sarnaqäwipan Chika Aruman Arnaqäwipax uñachtʼayki ukhama. Jukʼamp ajayunïpxirinakaw nayraqat aka yatiyäwi katuqapxäna, wasaran arnaqir arun yatiyäwipa; ukat Adventismo sarnaqäwin yatxatirinakax mä qillqatampiw uñachtʼayapxi, uka qillqatax William Milleran qillqatapänwa, 1844 mara octubre phaxsit 22 urut mä qhawqha urunak nayraqata, kawkhantï Millerax qhanañchi cewa, jupax qhipharux Samuel Snowan Chika Aruman Arnaqäwipan yatiyäwip amuytʼxatayna ukat katuqarakitayna.</w:t>
      </w:r>
    </w:p>
    <w:p>
      <w:pPr>
        <w:pStyle w:val="ArticleScripture"/>
        <w:jc w:val="left"/>
      </w:pPr>
      <w:r>
        <w:rPr>
          <w:rFonts w:ascii="Times New Roman" w:hAnsi="Times New Roman" w:eastAsia="Times New Roman" w:cs="Times New Roman"/>
        </w:rPr>
        <w:t>«Lago Himes pril:&lt;/s&gt; An txoona ci weer wu juróom-ñaareel, lu ma masul a gis bés bu nekk. Doonte ne Boroom bi won na ma, at ak genn-wàll bu weesu, njariñu misaal yi jëm ci weer wu juróom-ñaareel, waaye xamuma woon dooleb misaal yooyu. Léegi nag, yéenaka turu Boroom bi, gis naa ci Mbind mi rafet, jàmmu ànd, ak déggoo, lu ma ñaanaloon lu yàgg, waaye gisuma ko ba tey. Santal Boroom bi, yow sama ruu. Na Lago Snow, Lago Storrs, ak ñeneen ñi, barkeel ngir seen yoon wi ñu nekke ci ubbi sama bët. Damaa jege kër gi lool. Ndam! Ndam! Ndam! Ndam!» William Miller, Signs of the Times, 16 Oktoobar, 1844.</w:t>
      </w:r>
    </w:p>
    <w:p>
      <w:pPr>
        <w:pStyle w:val="ArticleBody"/>
        <w:jc w:val="left"/>
      </w:pPr>
      <w:r>
        <w:rPr>
          <w:rFonts w:ascii="Times New Roman" w:hAnsi="Times New Roman" w:eastAsia="Times New Roman" w:cs="Times New Roman"/>
        </w:rPr>
        <w:t>ꞌAta ꞌi he toe fakafoki mai ʻo e hisitōlia ʻo e Kalanga ʻi he Tuʻapō, ʻo hangē ko hono fakafofongaʻi ʻi he misi ʻa Miller, naʻe tāpuni ʻa e mata ʻo Miller ʻi ha kiʻi taimi nounou. Ko ia ai, “ʻi ha kiʻi taimi pē, ʻi he kemo ʻa e mata, ʻi he meʻaifi fakaʻosi: he ʻe ifi ʻa e meʻaifi, pea ʻe fokotuʻu hake ʻa e kau mate.” ʻI he misi ʻa Miller, ʻokú ne fakafofongaʻi ʻa kinautolu fakaʻosi ke nau maʻu ʻa e pōpoaki ʻo e Kalanga ʻi he Tuʻapō, ʻo hangē pē ko ia naʻá ne fai ʻi hono hisitōlia pē ʻana. ʻOkú ne fakafofongaʻi ʻa kinautolu ʻoku nau tali fakaʻosi ʻa e pōpoaki ʻi he teʻeki ai ke tānaki hake ʻe he tangata pulumu kelekele ʻa e ngaahi maka mahuʻinga kuo movete, pea lī kinautolu ki he puha lahi ange. ʻI he vahe hongofulu mā taha ʻo e Fakahaá, ko kinautolu fakaʻosi ke tali ʻa e pōpoaki hono ua ʻa ʻIsikeli, ʻa ia ko e pōpoaki ʻo e matangi ʻe fā ʻo e ʻIsilami, ʻa ia foki ko e pōpoaki fakamaʻilonga, ʻoku nau fai ia ʻi he teʻeki ai ke ongo ʻa e fakaʻosi ʻo e meʻaifi ʻe fitu, ʻa ia ko e meʻaifi ʻo e “Malaʻe Tolu.” “ʻI ha kiʻi taimi pē, ʻi he kemo ʻa e mata, ʻi he meʻaifi fakaʻosi: he ʻe ifi ʻa e meʻaifi, pea ʻe fokotuʻu hake ʻa e kau mate ʻo taʻefaʻaʻauha, pea ʻe liliu kitautolu.” (1 Kolinitō 15:52)</w:t>
      </w:r>
    </w:p>
    <w:p>
      <w:pPr>
        <w:pStyle w:val="ArticleBody"/>
        <w:jc w:val="left"/>
      </w:pPr>
      <w:r>
        <w:rPr>
          <w:rFonts w:ascii="Microsoft YaHei" w:hAnsi="Microsoft YaHei" w:eastAsia="Microsoft YaHei" w:cs="Microsoft YaHei"/>
        </w:rPr>
        <w:t>該段經文所指明的</w:t>
      </w:r>
      <w:r>
        <w:rPr>
          <w:rFonts w:ascii="Times New Roman" w:hAnsi="Times New Roman" w:eastAsia="Times New Roman" w:cs="Times New Roman"/>
        </w:rPr>
        <w:t>,</w:t>
      </w:r>
      <w:r>
        <w:rPr>
          <w:rFonts w:ascii="Microsoft YaHei" w:hAnsi="Microsoft YaHei" w:eastAsia="Microsoft YaHei" w:cs="Microsoft YaHei"/>
        </w:rPr>
        <w:t>乃是那發生於第二次降臨時的首次復活</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另有一次枯乾骸骨之死人的復活（即兩個見證人）</w:t>
      </w:r>
      <w:r>
        <w:rPr>
          <w:rFonts w:ascii="Times New Roman" w:hAnsi="Times New Roman" w:eastAsia="Times New Roman" w:cs="Times New Roman"/>
        </w:rPr>
        <w:t>,</w:t>
      </w:r>
      <w:r>
        <w:rPr>
          <w:rFonts w:ascii="Microsoft YaHei" w:hAnsi="Microsoft YaHei" w:eastAsia="Microsoft YaHei" w:cs="Microsoft YaHei"/>
        </w:rPr>
        <w:t>乃發生於</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w:t>
      </w:r>
      <w:r>
        <w:rPr>
          <w:rFonts w:ascii="Microsoft YaHei" w:hAnsi="Microsoft YaHei" w:eastAsia="Microsoft YaHei" w:cs="Microsoft YaHei"/>
        </w:rPr>
        <w:t>第十一章大地震的那一「時辰」之內</w:t>
      </w:r>
      <w:r>
        <w:rPr>
          <w:rFonts w:ascii="Times New Roman" w:hAnsi="Times New Roman" w:eastAsia="Times New Roman" w:cs="Times New Roman"/>
        </w:rPr>
        <w:t>.</w:t>
      </w:r>
      <w:r>
        <w:rPr>
          <w:rFonts w:ascii="Microsoft YaHei" w:hAnsi="Microsoft YaHei" w:eastAsia="Microsoft YaHei" w:cs="Microsoft YaHei"/>
        </w:rPr>
        <w:t>於那地震的「時辰」中</w:t>
      </w:r>
      <w:r>
        <w:rPr>
          <w:rFonts w:ascii="Times New Roman" w:hAnsi="Times New Roman" w:eastAsia="Times New Roman" w:cs="Times New Roman"/>
        </w:rPr>
        <w:t>,</w:t>
      </w:r>
      <w:r>
        <w:rPr>
          <w:rFonts w:ascii="Microsoft YaHei" w:hAnsi="Microsoft YaHei" w:eastAsia="Microsoft YaHei" w:cs="Microsoft YaHei"/>
        </w:rPr>
        <w:t>七號之末號吹響</w:t>
      </w:r>
      <w:r>
        <w:rPr>
          <w:rFonts w:ascii="Times New Roman" w:hAnsi="Times New Roman" w:eastAsia="Times New Roman" w:cs="Times New Roman"/>
        </w:rPr>
        <w:t>,</w:t>
      </w:r>
      <w:r>
        <w:rPr>
          <w:rFonts w:ascii="Microsoft YaHei" w:hAnsi="Microsoft YaHei" w:eastAsia="Microsoft YaHei" w:cs="Microsoft YaHei"/>
        </w:rPr>
        <w:t>而那曾倒臥街上的死去見證人便被帶回生命之中</w:t>
      </w:r>
      <w:r>
        <w:rPr>
          <w:rFonts w:ascii="Times New Roman" w:hAnsi="Times New Roman" w:eastAsia="Times New Roman" w:cs="Times New Roman"/>
        </w:rPr>
        <w:t>;</w:t>
      </w:r>
      <w:r>
        <w:rPr>
          <w:rFonts w:ascii="Microsoft YaHei" w:hAnsi="Microsoft YaHei" w:eastAsia="Microsoft YaHei" w:cs="Microsoft YaHei"/>
        </w:rPr>
        <w:t>他們復生時</w:t>
      </w:r>
      <w:r>
        <w:rPr>
          <w:rFonts w:ascii="Times New Roman" w:hAnsi="Times New Roman" w:eastAsia="Times New Roman" w:cs="Times New Roman"/>
        </w:rPr>
        <w:t>,</w:t>
      </w:r>
      <w:r>
        <w:rPr>
          <w:rFonts w:ascii="Microsoft YaHei" w:hAnsi="Microsoft YaHei" w:eastAsia="Microsoft YaHei" w:cs="Microsoft YaHei"/>
        </w:rPr>
        <w:t>不是作為老底嘉人</w:t>
      </w:r>
      <w:r>
        <w:rPr>
          <w:rFonts w:ascii="Times New Roman" w:hAnsi="Times New Roman" w:eastAsia="Times New Roman" w:cs="Times New Roman"/>
        </w:rPr>
        <w:t>,</w:t>
      </w:r>
      <w:r>
        <w:rPr>
          <w:rFonts w:ascii="Microsoft YaHei" w:hAnsi="Microsoft YaHei" w:eastAsia="Microsoft YaHei" w:cs="Microsoft YaHei"/>
        </w:rPr>
        <w:t>乃是作為非拉鐵非人</w:t>
      </w:r>
      <w:r>
        <w:rPr>
          <w:rFonts w:ascii="Times New Roman" w:hAnsi="Times New Roman" w:eastAsia="Times New Roman" w:cs="Times New Roman"/>
        </w:rPr>
        <w:t>,</w:t>
      </w:r>
      <w:r>
        <w:rPr>
          <w:rFonts w:ascii="Microsoft YaHei" w:hAnsi="Microsoft YaHei" w:eastAsia="Microsoft YaHei" w:cs="Microsoft YaHei"/>
        </w:rPr>
        <w:t>因在第三樣災禍之號筒吹響之際</w:t>
      </w:r>
      <w:r>
        <w:rPr>
          <w:rFonts w:ascii="Times New Roman" w:hAnsi="Times New Roman" w:eastAsia="Times New Roman" w:cs="Times New Roman"/>
        </w:rPr>
        <w:t>,</w:t>
      </w:r>
      <w:r>
        <w:rPr>
          <w:rFonts w:ascii="Microsoft YaHei" w:hAnsi="Microsoft YaHei" w:eastAsia="Microsoft YaHei" w:cs="Microsoft YaHei"/>
        </w:rPr>
        <w:t>兩個見證人已經受了印</w:t>
      </w:r>
      <w:r>
        <w:rPr>
          <w:rFonts w:ascii="Times New Roman" w:hAnsi="Times New Roman" w:eastAsia="Times New Roman" w:cs="Times New Roman"/>
        </w:rPr>
        <w:t>,</w:t>
      </w:r>
      <w:r>
        <w:rPr>
          <w:rFonts w:ascii="Microsoft YaHei" w:hAnsi="Microsoft YaHei" w:eastAsia="Microsoft YaHei" w:cs="Microsoft YaHei"/>
        </w:rPr>
        <w:t>且被改變成為不能朽壞的</w:t>
      </w:r>
      <w:r>
        <w:rPr>
          <w:rFonts w:ascii="Times New Roman" w:hAnsi="Times New Roman" w:eastAsia="Times New Roman" w:cs="Times New Roman"/>
        </w:rPr>
        <w:t>,</w:t>
      </w:r>
      <w:r>
        <w:rPr>
          <w:rFonts w:ascii="Microsoft YaHei" w:hAnsi="Microsoft YaHei" w:eastAsia="Microsoft YaHei" w:cs="Microsoft YaHei"/>
        </w:rPr>
        <w:t>因為他們從此再也不會犯罪</w:t>
      </w:r>
      <w:r>
        <w:rPr>
          <w:rFonts w:ascii="Times New Roman" w:hAnsi="Times New Roman" w:eastAsia="Times New Roman" w:cs="Times New Roman"/>
        </w:rPr>
        <w:t>.</w:t>
      </w:r>
      <w:r>
        <w:rPr>
          <w:rFonts w:ascii="Microsoft YaHei" w:hAnsi="Microsoft YaHei" w:eastAsia="Microsoft YaHei" w:cs="Microsoft YaHei"/>
        </w:rPr>
        <w:t>米勒乃代表那些最後領受那使兩個見證人得生命之信息的人</w:t>
      </w:r>
      <w:r>
        <w:rPr>
          <w:rFonts w:ascii="Times New Roman" w:hAnsi="Times New Roman" w:eastAsia="Times New Roman" w:cs="Times New Roman"/>
        </w:rPr>
        <w:t>;</w:t>
      </w:r>
      <w:r>
        <w:rPr>
          <w:rFonts w:ascii="Microsoft YaHei" w:hAnsi="Microsoft YaHei" w:eastAsia="Microsoft YaHei" w:cs="Microsoft YaHei"/>
        </w:rPr>
        <w:t>這信息就是伊斯蘭四風的信息</w:t>
      </w:r>
      <w:r>
        <w:rPr>
          <w:rFonts w:ascii="Times New Roman" w:hAnsi="Times New Roman" w:eastAsia="Times New Roman" w:cs="Times New Roman"/>
        </w:rPr>
        <w:t>,</w:t>
      </w:r>
      <w:r>
        <w:rPr>
          <w:rFonts w:ascii="Microsoft YaHei" w:hAnsi="Microsoft YaHei" w:eastAsia="Microsoft YaHei" w:cs="Microsoft YaHei"/>
        </w:rPr>
        <w:t>並且乃是蓋印的信息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El sonido de esa trompeta levanta al último de los huesos secos de los muertos que habían sido esparcidos en la calle de Sodoma y Egipto. Miller observó cómo las verdades eran sepultadas progresivamente por doctrinas falsificadas. Finalmente, Miller lloró, señalando el tiempo en que debía comenzar la deselladura, porque la deselladura es una obra progresiva. Esa deselladura comenzó en el período final de los tres días y medio.</w:t>
      </w:r>
    </w:p>
    <w:p>
      <w:pPr>
        <w:pStyle w:val="ArticleBody"/>
        <w:jc w:val="left"/>
      </w:pPr>
      <w:r>
        <w:rPr>
          <w:rFonts w:ascii="Times New Roman" w:hAnsi="Times New Roman" w:eastAsia="Times New Roman" w:cs="Times New Roman"/>
        </w:rPr>
        <w:t>میڵەر دوای ئەوەی گریا، ئەو یەکەی هێزی هەبوو کتێبە مۆرکراوەکە بکاتەوە، چووە ناو چیرۆکەکە. لە خەونەکەی میڵەر ئەوە پیاوی فڕچەی خۆڵ بوو. پاشان میڵەر نوێژی کرد، و دەستبەجێ دەرگایەک کرایەوە، ئەو خاڵە نیشان دەدا کە لێیدا بزووتنەوەی لاودیکەیای پەیامی فریشتەی سێیەم دەگوازرایەوە بۆ بزووتنەوەی فیلادلفیای پەیامی فریشتەی سێیەم. نوێژەکەی ئەو نوێژی لاویان بیست و شەش بوو؛ نوێژی تێگەیشتن بوو بۆ نهێنی کۆتایی پێشبینییەکان و دانپێدانانێکی گشتی بە یاخیبوونەکەی کە سێ ڕۆژ و نیوەکەی هێنایەسەر دوو شایەتەکە، هەروەها نوێژی ئەوانە بوو کە لە حزقیال بەشی نۆدا مۆر دەکرێن.</w:t>
      </w:r>
    </w:p>
    <w:p>
      <w:pPr>
        <w:pStyle w:val="ArticleBody"/>
        <w:jc w:val="left"/>
      </w:pPr>
      <w:r>
        <w:rPr>
          <w:rFonts w:ascii="Times New Roman" w:hAnsi="Times New Roman" w:eastAsia="Times New Roman" w:cs="Times New Roman"/>
        </w:rPr>
        <w:t>Ka mapagkararag, simrek ni Cristo (ti tao nga adda suotna a dirt brush) ket rinugiananna a dalusan ti kuarto. Idi pagpatinggaan ti proyekto ti panagdalus ti tao nga adda suotna a dirt brush, impidem ni Miller dagiti matana iti apagbiit, a mangipakita iti pagpatinggaan ti panawen a maibangon koma dagiti natay a namaga a tulang. Kalpasanna, inurnong ti tao nga adda suotna a dirt brush dagiti naiwara a alahas idiay kuarto ni Miller, ket inkabilna ida iti maysa a baro, dakdakkel a kahon, iti rabaw ti maysa a lamisaan iti tengnga ti kuarto ni Miller, kas dagiti dua a saksi ket maipangato a kas bandila. Kas bandila, kalpasanna ayabanda ti sabali a pulo ni Dios nga adda pay laeng idiay Babilonia a “umaykayo ket kitaenyo” ti mensahe a kabarbaro a naibelleng ti Leon ti tribu ni Juda iti dayta baro, dakdakkel a kahon.</w:t>
      </w:r>
    </w:p>
    <w:p>
      <w:pPr>
        <w:pStyle w:val="ArticleBody"/>
        <w:jc w:val="left"/>
      </w:pPr>
      <w:r>
        <w:rPr>
          <w:rFonts w:ascii="Times New Roman" w:hAnsi="Times New Roman" w:eastAsia="Times New Roman" w:cs="Times New Roman"/>
        </w:rPr>
        <w:t>رَح نبلّش بالمقال الجاي نتأمّل برؤيا نهر أُولاي باعتبارها رمزًا للحقائق المستمدّة من سفر دانيال اللي انحلّ ختامه سنة 1798. وقد حطّينا مسبقًا كم نقطة مرجعية قبل هالاعتبار. الأولى هي إنّ رسالة الميلريّين كانت كاملة من جهة مرحلتها في النمو، لكنها غير مكتملة. وقد وُضِعت ضمن إطار قوتين مُخرِّبتين، لا ثلاث. والثانية هي إنّه لما يحدّد حلم ميلر الاستعادة النهائية للحقائق التأسيسية، بتكون هالحقائق التأسيسية عندئذٍ «أشدّ لمعانًا بعشر مرات» من مجدها الأصلي. والنقطة الثالثة هي إنّ حركة الملاك الأول (الحركة الميلرية) تتكرّر في حركة الملاك الثالث، ولكن مع بعض التحفّظات المهمة. فالميلريّون، بوصفهم رمزًا، كانوا فيلادلفيّين؛ وكانوا نبوخذنصّرًا قد تاب، لكنهم في النهاية وللأسف «أعادوا بناء أريحا» سنة 1863.</w:t>
      </w:r>
    </w:p>
    <w:p>
      <w:pPr>
        <w:pStyle w:val="ArticleBody"/>
        <w:jc w:val="left"/>
      </w:pPr>
      <w:r>
        <w:rPr>
          <w:rFonts w:ascii="Times New Roman" w:hAnsi="Times New Roman" w:eastAsia="Times New Roman" w:cs="Times New Roman"/>
        </w:rPr>
        <w:t>حركةُ الملاكِ الثالثِ بدأتْ كلادكيّين، محتاجين إلى الاهتداء، لكنهم سيشتركون في النهاية في التدميرِ الأخيرِ لأريحا (أريحا الأيامِ الأخيرة).</w:t>
      </w:r>
    </w:p>
    <w:p>
      <w:pPr>
        <w:pStyle w:val="ArticleScripture"/>
        <w:jc w:val="left"/>
      </w:pPr>
      <w:r>
        <w:rPr>
          <w:rFonts w:ascii="Times New Roman" w:hAnsi="Times New Roman" w:eastAsia="Times New Roman" w:cs="Times New Roman"/>
        </w:rPr>
        <w:t>“Ɔgyefo no amma sɛ ɔrebeyi nea agyanom ne adiyifo aka no afi hɔ; efisɛ Ɔno ankasa na ɔnam mmarima yi a wɔgyina hɔ ma afoforo so kasae. Onyankopɔn Asɛm mu nokware nyinaa fii Ne nkyɛn. Nanso na wɔde aboɔden boɔ yi ahyɛ nhyehyɛe atoro mu. Wɔama wɔn hann a ɛsom bo no asom mfomso. Onyankopɔn pɛe sɛ woyi fi wɔn nhyehyɛe atoro mu na wɔde si nokware nhyehyɛe mu bio. Saa adwuma yi de, Onyankopɔn nsa nkutoo na ebetumi ayɛ. Esiane sɛ na nokware no ne mfomso wɔ nkitahodi mu nti, na ɛresom Onyankopɔn ne onipa tamfo no botae. Kristo bae sɛ ɔmfa nsi baabi a ɛbɛhyɛ Onyankopɔn anuonyam, na ayɛ adesamma nkwagye ho adwuma.”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пророка Даниила — № тридцать девять</dc:title>
  <dc:subject>تار دەکردنی نەخشەی پێغەمبەرانە: خەونی ویلیام میلەر و گەڕاندنەوەی ڕاستییە بنەڕەتییەکان لە ڕۆژانی دواییدا</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