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 دانیال — شمارہ تینتالیس</w:t>
      </w:r>
    </w:p>
    <w:p>
      <w:pPr>
        <w:pStyle w:val="ArticleSubtitle"/>
        <w:jc w:val="left"/>
      </w:pPr>
      <w:r>
        <w:rPr>
          <w:rFonts w:ascii="Arial" w:hAnsi="Arial" w:eastAsia="Arial" w:cs="Arial"/>
        </w:rPr>
        <w:t>Ñe’ekuaa hag̃ua umi mba’e he’iséva pe Ñemongy’a Oñehundíva rehegua marandu py’aguapýpe Biblia pegua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Paulih imayna pagan Romakaru, 538 watapi papas qhispirqanman mana saqespa hark’aq atiyniyuq kasqanta, chaymi William Millerqa riqsirqan testigokarqaq, Daniel qillqapi “sapa p’unchaw” nisqanta paganismota sut’inchaspa sayachiq. William Millerpa marconqa iskay chinkachiq atiyniyuqkunapi sayasqa karqan: ñawpaqta paganismo, chaymanta papalismo. Chay marcon yanapananpaq aswan ancha chaninniyuq tarisqanqa karqan Paulpa testimoniun 2 Tesalonicenses, capítulo iskaypi, maypichus Pablo sut’ita rimarin, papaspa hark’asqan pagan Romaruw ruwasqa kasqanta qichusqa kananpaq, chay hina “huchayoq runa” Diospa templonpi churakuspa, pay kikin Dios kasqanta rikuchinanpaq.</w:t>
      </w:r>
    </w:p>
    <w:p>
      <w:pPr>
        <w:pStyle w:val="ArticleBody"/>
        <w:jc w:val="left"/>
      </w:pPr>
      <w:r>
        <w:rPr>
          <w:rFonts w:ascii="Times New Roman" w:hAnsi="Times New Roman" w:eastAsia="Times New Roman" w:cs="Times New Roman"/>
        </w:rPr>
        <w:t>Yn llyfr Daniel, y mae symbol “y beunyddiol,” sy’n cynrychioli paganiaeth, bob amser yn cael ei ddilyn gan symbol o’r babaeth, pa un bynnag ai fel camwedd anrhaith y’i cynrychiolir ai fel ffieidd-dra anrhaith. Eto i gyd, yn rhybudd Crist i’r Cristnogion ynghylch gwarchae a dinistr Jerwsalem a ddigwyddodd yn ystod y tair blynedd a hanner o 66 hyd 70 O.C., cyfeiriodd Crist at “ffieidd-dra anrhaith, y soniwyd amdano gan Daniel y proffwyd” fel yr arwydd i’r Cristnogion oedd yn Jerwsalem ffoi ar unwaith. Dengys hanes nad symbol o Rufain babaidd oedd yr arwydd, ond o Rufain baganaidd. Yr oedd yr arwydd i gael ei adnabod gan y ffyddloniaid, pe baent am osgoi’r gwarchae a’r dinistr. Ai symbol o Rufain baganaidd yw “ffieidd-dra anrhaith, y soniwyd amdano gan Daniel y proffwyd,” neu o Rufain babaidd?</w:t>
      </w:r>
    </w:p>
    <w:p>
      <w:pPr>
        <w:pStyle w:val="ArticleScripture"/>
        <w:jc w:val="left"/>
      </w:pPr>
      <w:r>
        <w:rPr>
          <w:rFonts w:ascii="Times New Roman" w:hAnsi="Times New Roman" w:eastAsia="Times New Roman" w:cs="Times New Roman"/>
        </w:rPr>
        <w:t>Na úril yé i cêl i thaur naur i nuithaid, gwaith i annangol Daniel, dadannad vi i ionad air, (an i dhôn, an i cheno:) Anno ad levrer in gwaith i nDiaeth Iúdaea na in eryd: Ad i gwaith i bo or i thôr dîr ú-badad danna dîr lín tedad nin i dîr vín: Ar ú ad i gwaith i bo ned i daear anírad dîr aen. Ar wae anin i bo gwaith nîn, ar anin i dîr meliaig er thîr ann! Ach pedo ú-va i drevad lín vi ned i hrîw, nan er i aur sâb. Anno vi thalion vaeth, sui ú-bo gwaith a i iâf i amar no anírad, ú, nan vae. Ar mân thîr ann ú-beriad vaen, ú-vediad ae vi viven; ach er ann i Beriannath, thîr ann beriader. Matthew 24:15–22.</w:t>
      </w:r>
    </w:p>
    <w:p>
      <w:pPr>
        <w:pStyle w:val="ArticleBody"/>
        <w:jc w:val="left"/>
      </w:pP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ማሕበራዊ</w:t>
      </w:r>
      <w:r>
        <w:rPr>
          <w:rFonts w:ascii="Times New Roman" w:hAnsi="Times New Roman" w:eastAsia="Times New Roman" w:cs="Times New Roman"/>
        </w:rPr>
        <w:t xml:space="preserve"> </w:t>
      </w:r>
      <w:r>
        <w:rPr>
          <w:rFonts w:ascii="Ebrima" w:hAnsi="Ebrima" w:eastAsia="Ebrima" w:cs="Ebrima"/>
        </w:rPr>
        <w:t>ምጥንቃቕ</w:t>
      </w:r>
      <w:r>
        <w:rPr>
          <w:rFonts w:ascii="Times New Roman" w:hAnsi="Times New Roman" w:eastAsia="Times New Roman" w:cs="Times New Roman"/>
        </w:rPr>
        <w:t xml:space="preserve"> </w:t>
      </w:r>
      <w:r>
        <w:rPr>
          <w:rFonts w:ascii="Ebrima" w:hAnsi="Ebrima" w:eastAsia="Ebrima" w:cs="Ebrima"/>
        </w:rPr>
        <w:t>ከመይ</w:t>
      </w:r>
      <w:r>
        <w:rPr>
          <w:rFonts w:ascii="Times New Roman" w:hAnsi="Times New Roman" w:eastAsia="Times New Roman" w:cs="Times New Roman"/>
        </w:rPr>
        <w:t xml:space="preserve"> </w:t>
      </w:r>
      <w:r>
        <w:rPr>
          <w:rFonts w:ascii="Ebrima" w:hAnsi="Ebrima" w:eastAsia="Ebrima" w:cs="Ebrima"/>
        </w:rPr>
        <w:t>እንተፈጸመ</w:t>
      </w:r>
      <w:r>
        <w:rPr>
          <w:rFonts w:ascii="Times New Roman" w:hAnsi="Times New Roman" w:eastAsia="Times New Roman" w:cs="Times New Roman"/>
        </w:rPr>
        <w:t xml:space="preserve"> </w:t>
      </w:r>
      <w:r>
        <w:rPr>
          <w:rFonts w:ascii="Ebrima" w:hAnsi="Ebrima" w:eastAsia="Ebrima" w:cs="Ebrima"/>
        </w:rPr>
        <w:t>ብታሪኽ</w:t>
      </w:r>
      <w:r>
        <w:rPr>
          <w:rFonts w:ascii="Times New Roman" w:hAnsi="Times New Roman" w:eastAsia="Times New Roman" w:cs="Times New Roman"/>
        </w:rPr>
        <w:t xml:space="preserve"> </w:t>
      </w:r>
      <w:r>
        <w:rPr>
          <w:rFonts w:ascii="Ebrima" w:hAnsi="Ebrima" w:eastAsia="Ebrima" w:cs="Ebrima"/>
        </w:rPr>
        <w:t>ጥፍኣት</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66 </w:t>
      </w:r>
      <w:r>
        <w:rPr>
          <w:rFonts w:ascii="Ebrima" w:hAnsi="Ebrima" w:eastAsia="Ebrima" w:cs="Ebrima"/>
        </w:rPr>
        <w:t>ክሳዕ</w:t>
      </w:r>
      <w:r>
        <w:rPr>
          <w:rFonts w:ascii="Times New Roman" w:hAnsi="Times New Roman" w:eastAsia="Times New Roman" w:cs="Times New Roman"/>
        </w:rPr>
        <w:t xml:space="preserve"> 70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ትገልጽ፣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ባንዴራ</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መለክዒ</w:t>
      </w:r>
      <w:r>
        <w:rPr>
          <w:rFonts w:ascii="Times New Roman" w:hAnsi="Times New Roman" w:eastAsia="Times New Roman" w:cs="Times New Roman"/>
        </w:rPr>
        <w:t xml:space="preserve"> </w:t>
      </w:r>
      <w:r>
        <w:rPr>
          <w:rFonts w:ascii="Ebrima" w:hAnsi="Ebrima" w:eastAsia="Ebrima" w:cs="Ebrima"/>
        </w:rPr>
        <w:t>ሰራዊት</w:t>
      </w:r>
      <w:r>
        <w:rPr>
          <w:rFonts w:ascii="Times New Roman" w:hAnsi="Times New Roman" w:eastAsia="Times New Roman" w:cs="Times New Roman"/>
        </w:rPr>
        <w:t xml:space="preserve"> </w:t>
      </w:r>
      <w:r>
        <w:rPr>
          <w:rFonts w:ascii="Ebrima" w:hAnsi="Ebrima" w:eastAsia="Ebrima" w:cs="Ebrima"/>
        </w:rPr>
        <w:t>ሮማውያን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ንክርስቲያናት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እንዳነበሩ</w:t>
      </w:r>
      <w:r>
        <w:rPr>
          <w:rFonts w:ascii="Times New Roman" w:hAnsi="Times New Roman" w:eastAsia="Times New Roman" w:cs="Times New Roman"/>
        </w:rPr>
        <w:t xml:space="preserve"> </w:t>
      </w:r>
      <w:r>
        <w:rPr>
          <w:rFonts w:ascii="Ebrima" w:hAnsi="Ebrima" w:eastAsia="Ebrima" w:cs="Ebrima"/>
        </w:rPr>
        <w:t>ክሃድሙ</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ትሕብር።</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ጽያፍ</w:t>
      </w:r>
      <w:r>
        <w:rPr>
          <w:rFonts w:ascii="Times New Roman" w:hAnsi="Times New Roman" w:eastAsia="Times New Roman" w:cs="Times New Roman"/>
        </w:rPr>
        <w:t xml:space="preserve"> </w:t>
      </w:r>
      <w:r>
        <w:rPr>
          <w:rFonts w:ascii="Ebrima" w:hAnsi="Ebrima" w:eastAsia="Ebrima" w:cs="Ebrima"/>
        </w:rPr>
        <w:t>ምድማስ፣</w:t>
      </w:r>
      <w:r>
        <w:rPr>
          <w:rFonts w:ascii="Times New Roman" w:hAnsi="Times New Roman" w:eastAsia="Times New Roman" w:cs="Times New Roman"/>
        </w:rPr>
        <w:t xml:space="preserve"> </w:t>
      </w:r>
      <w:r>
        <w:rPr>
          <w:rFonts w:ascii="Ebrima" w:hAnsi="Ebrima" w:eastAsia="Ebrima" w:cs="Ebrima"/>
        </w:rPr>
        <w:t>ብዳንኤል</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እተነግረ</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ጣኦታዊት</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ድዩ</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w:t>
      </w:r>
      <w:r>
        <w:rPr>
          <w:rFonts w:ascii="Ebrima" w:hAnsi="Ebrima" w:eastAsia="Ebrima" w:cs="Ebrima"/>
        </w:rPr>
        <w:t>ወይስ</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መዋቕሩ</w:t>
      </w:r>
      <w:r>
        <w:rPr>
          <w:rFonts w:ascii="Times New Roman" w:hAnsi="Times New Roman" w:eastAsia="Times New Roman" w:cs="Times New Roman"/>
        </w:rPr>
        <w:t xml:space="preserve"> </w:t>
      </w:r>
      <w:r>
        <w:rPr>
          <w:rFonts w:ascii="Ebrima" w:hAnsi="Ebrima" w:eastAsia="Ebrima" w:cs="Ebrima"/>
        </w:rPr>
        <w:t>ዝመስረተላ</w:t>
      </w:r>
      <w:r>
        <w:rPr>
          <w:rFonts w:ascii="Times New Roman" w:hAnsi="Times New Roman" w:eastAsia="Times New Roman" w:cs="Times New Roman"/>
        </w:rPr>
        <w:t xml:space="preserve"> </w:t>
      </w:r>
      <w:r>
        <w:rPr>
          <w:rFonts w:ascii="Ebrima" w:hAnsi="Ebrima" w:eastAsia="Ebrima" w:cs="Ebrima"/>
        </w:rPr>
        <w:t>ጳጳሳዊት</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ነበረት፧</w:t>
      </w:r>
    </w:p>
    <w:p>
      <w:pPr>
        <w:pStyle w:val="ArticleBody"/>
        <w:jc w:val="left"/>
      </w:pPr>
      <w:r>
        <w:rPr>
          <w:rFonts w:ascii="Times New Roman" w:hAnsi="Times New Roman" w:eastAsia="Times New Roman" w:cs="Times New Roman"/>
        </w:rPr>
        <w:t>Uilyam Miller həm Romanın hər iki təzahürünü (bütpərəst, ardınca isə papalıq) dərk etməyə yönəldilmişdi, lakin yaşadığı tarixi şərait onu hər iki padşahlığa bir padşahlıq kimi yanaşmağa məcbur etdi. Əlbəttə, onlar bir padşahlıqdır, lakin eyni zamanda ardıcıl olaraq bir-birini izləyən iki padşahlığı da təmsil edirlər. 1798-ci ilin peyğəmbərlik tarixi Milleri Romanı əsasən bir padşahlıq kimi ele almağa məcbur etdi. 1798-ci ildə Miller Məsihin İkinci Gəlişinin təxminən iyirmi beş il sonra baş verəcəyinə inanırdı. O, papalıq Romanın 1798-ci ildə ölümcül yara aldığını tam yaxşı bilirdi. Miller üçün papalıq Romadan sonra gələcək başqa yer üzündə padşahlıqlar yox idi, çünki Məsih tezliklə qayıdacaqdı.</w:t>
      </w:r>
    </w:p>
    <w:p>
      <w:pPr>
        <w:pStyle w:val="ArticleBody"/>
        <w:jc w:val="left"/>
      </w:pPr>
      <w:r>
        <w:rPr>
          <w:rFonts w:ascii="Times New Roman" w:hAnsi="Times New Roman" w:eastAsia="Times New Roman" w:cs="Times New Roman"/>
        </w:rPr>
        <w:t>میلر نے جس تاریخی پس منظر میں اپنی جگہ پائی، اُس نے دانی ایل کے دوسرے باب کے مجسمہ کو چار زمینی سلطنتوں کی نمائندگی کرنے والا سمجھا، کیونکہ دانی ایل نے یہی گواہی دی تھی۔</w:t>
      </w:r>
    </w:p>
    <w:p>
      <w:pPr>
        <w:pStyle w:val="ArticleScripture"/>
        <w:jc w:val="left"/>
      </w:pPr>
      <w:r>
        <w:rPr>
          <w:rFonts w:ascii="Times New Roman" w:hAnsi="Times New Roman" w:eastAsia="Times New Roman" w:cs="Times New Roman"/>
        </w:rPr>
        <w:t>A na ahemman a ɛto so anan no bɛyɛ den te sɛ dadeɛ; ɛfiri sɛ, sɛdeɛ dadeɛ bubu adeɛ nyinaa mu na ɛdi so tumi ka wɔn so no, na sɛdeɛ dadeɛ a ɛbubu eyinom nyinaa no teɛ no, saa ara na ɛno nso bɛbubu mu na apɛtɛ wɔn. Na ɛberɛ a wohunuu anan ne nan nsateaa no, bi yɛ nwansini ayowafoɔ dɔteɛ, na bi nso yɛ dadeɛ no, ahemman no bɛkyekyɛ mu; nanso dadeɛ no ahoɔden bi bɛwɔ mu, ɛfiri sɛ wohunuu sɛ dadeɛ no ne dɔteɛ a ɛfɔ kyim afrafra. Daniel 2:40, 41.</w:t>
      </w:r>
    </w:p>
    <w:p>
      <w:pPr>
        <w:pStyle w:val="ArticleBody"/>
        <w:jc w:val="left"/>
      </w:pPr>
      <w:r>
        <w:rPr>
          <w:rFonts w:ascii="Times New Roman" w:hAnsi="Times New Roman" w:eastAsia="Times New Roman" w:cs="Times New Roman"/>
        </w:rPr>
        <w:t>Miller nauunataq tuhaqhimavaa talvani kisiani sisamat naalagauyut, amma sitamat kingulliq naalagaujuq Roma-ngupluni, taannalu ilihimavaa oqaluttuarisaanirmiit pakanaujuq Roma kinguningatigut papal Roma. Sitamat naalagaujuq Miller-mut, Danielip uqausianut naapitlugu, “aviktuqsimajuq,” kisiani Miller-mut avikturninga kisiani takujaujuq allanguqtirnertut ukunani naalagaujup Romap timiqaqtuata amma anirniqaqtuata iluani. Taanna ilumuujuq, kisiani paasinninnera killilimmariktuq.</w:t>
      </w:r>
    </w:p>
    <w:p>
      <w:pPr>
        <w:pStyle w:val="ArticleBody"/>
        <w:jc w:val="left"/>
      </w:pPr>
      <w:r>
        <w:rPr>
          <w:rFonts w:ascii="Times New Roman" w:hAnsi="Times New Roman" w:eastAsia="Times New Roman" w:cs="Times New Roman"/>
        </w:rPr>
        <w:t>Miller ne darner naḍṛis d akken beṭṭu n Ruma tagnit n loṭan d Ruma tapabawit, yebna ɣef beṭṭu i wakken Bulus yenkker akken ad t-id-yesken. Bulus (akked Yaḥya Amaɣṭas), yesken-d belli deg wakud n ṣṣlib, ayen illan d aḍris yessefk ad yeɛeddi ɣer wayen yellan d aruḥani. War tigzi-agi, Miller yettwagzem ad iqbel belli Ruma tella s umata d yiwen n tagelda i yesɛan sin wudem. D tidet, nekkin, yesseḥḥa (maca yettwaḥdded). Ur yezmir ara ad yẓer belli Ruma taruḥanit tettwasegza s Babul aḍris, acku Ruma taruḥanit (papat) d Babul taruḥanit daɣen.</w:t>
      </w:r>
    </w:p>
    <w:p>
      <w:pPr>
        <w:pStyle w:val="ArticleBody"/>
        <w:jc w:val="left"/>
      </w:pPr>
      <w:r>
        <w:rPr>
          <w:rFonts w:ascii="Times New Roman" w:hAnsi="Times New Roman" w:eastAsia="Times New Roman" w:cs="Times New Roman"/>
        </w:rPr>
        <w:t>Babilon ngag nhäŋu, bitjarr yan dhäwu-gänhamirr wäŋa malaŋuwuy waŋgany ga romdhu ḏämbu-gämaŋur Daniel two, dhu gaŋga’yun nhäŋu romdhu ḏämbu-gämaŋur märrma’ dhurrwara, bili waŋganynha ŋuli gaŋga’yun dhä-last. Pagan Rome nhäŋu gaŋga’yun Babilondhu, ga yurr pagan Rome ga Babylon märrma’ nhäŋu gaŋga’yurr spiritual Rome (the papacy). Papacy, bitjandhi, nhäŋu bäyŋu romdhu ḏämbu-gämaŋur ŋäthiliŋu märrma’, ga nhäŋu yakaŋur gurrupan Babilondhu. Dhuwandja gaŋga’yun waŋgany waŋgany mirithirr märram, bili nhakun Sister White ga rom-djämamirriynydja garrwarkun marrtji gämurru’ literal Israel-wuy gänaŋ’maranhaminydja Babylonŋur seventy years, ga spiritual Israel-wuy gänaŋ’maranhaminy spiritual Babylonŋur twelve hundred and sixty years.</w:t>
      </w:r>
    </w:p>
    <w:p>
      <w:pPr>
        <w:pStyle w:val="ArticleScripture"/>
        <w:jc w:val="left"/>
      </w:pPr>
      <w:r>
        <w:rPr>
          <w:rFonts w:ascii="Times New Roman" w:hAnsi="Times New Roman" w:eastAsia="Times New Roman" w:cs="Times New Roman"/>
        </w:rPr>
        <w:t>“Na Vonnavonu ni Kalou e vuravura a tu dina sara ena vakabobulataki ena gauna balavu oqo ni vakacacani kaukauwa ka sega ni mudu, me vaka ga na nodra a vakabobulataki na luvei Isireli e Papiloni ena gauna ni veivakatalai tani.” Prophets and Kings, 714.</w:t>
      </w:r>
    </w:p>
    <w:p>
      <w:pPr>
        <w:pStyle w:val="ArticleBody"/>
        <w:jc w:val="left"/>
      </w:pPr>
      <w:r>
        <w:rPr>
          <w:rFonts w:ascii="Times New Roman" w:hAnsi="Times New Roman" w:eastAsia="Times New Roman" w:cs="Times New Roman"/>
        </w:rPr>
        <w:t>Ɔno nti, na ɛnyɛ den mma Miller sɛ ɔde nkɔmhyɛ mu mmamu ahorow a ɛkyerɛ abosonsom Roma pɔtee koraa no sesa baabiara ne papal Roma. Yɛbɛma eyi ho nhwɛso ahorow bere a yɛrekɔ so no, nanso sɛ yɛte ase sɛ Miller huu abosonsom Roma ne papal Roma sɛ ahenni koro a, ɛno na ɛma yɛte nea enti a na ɛnyɛ den mma Miller sɛ ɔbɛte Yesu a ɔreka “akyiwade a ɛde ɔsɛe ba, a odiyifo Daniel kaa ho asɛm” no ase sɛ abosonsom Roma mu mmamu, bere a ɔda so ara te “akyiwade a ɛde ɔsɛe ba” asɛm no ase wɔ Daniel nhoma mu sɛ papal Roma ho sɛnkyerɛnne. Miller antumi anhu tumi abiɛsa a ɛde ɔsɛe ba no, na eyi nti na ne nkɔmhyɛ nhyehyɛe no wɔ anohyeto, nanso na ɛyɛ pɛ.</w:t>
      </w:r>
    </w:p>
    <w:p>
      <w:pPr>
        <w:pStyle w:val="ArticleBody"/>
        <w:jc w:val="left"/>
      </w:pPr>
      <w:r>
        <w:rPr>
          <w:rFonts w:ascii="Times New Roman" w:hAnsi="Times New Roman" w:eastAsia="Times New Roman" w:cs="Times New Roman"/>
        </w:rPr>
        <w:t>Ngis kuya 66 AD chu hi ama Roman mi pathian biakna zuiho in biak in sakramen ram sungah an standards an dah a, Krista hrilhlawkna chu a thleng tak tak tihah, khami chanchin hlawhtlin dan danglamna chu engtin nge kan hriatthiam ang? “Daniel zawlnei sawi, tichhiahtîrna thil tenawmna” tih chu pagan Rome emaw, papal Rome emaw zîlah entîr nân a ni em? Chumi harsatna chhanna chu, pahnih aiin tichhettu thiltihtheihna pathum i hriat chuan a awlsam tâwk a ni. Jerusalem tihchhiatna chungchanga Krista hrilhlawkna hlawhtlinna sawi chhuahnaah Sister White hrilhfiahna atangin kan tan ṭan ang.</w:t>
      </w:r>
    </w:p>
    <w:p>
      <w:pPr>
        <w:pStyle w:val="ArticleScripture"/>
        <w:jc w:val="left"/>
      </w:pPr>
      <w:r>
        <w:rPr>
          <w:rFonts w:ascii="Times New Roman" w:hAnsi="Times New Roman" w:eastAsia="Times New Roman" w:cs="Times New Roman"/>
        </w:rPr>
        <w:t>“Na ay pangipapatay da dagiti Judio ken Cristo ket naisangpet ti pannakadadael ti Jerusalem. Ti dara a naibukbok idiay Calvario isu ti nadagsen a pakabigbigen a nangipalubos kadakuada nga agturong iti pannakariribuk ken pannakapukaw iti daytoy a lubong ken iti lubong a umay. Kasta metto iti dakkel a maudi nga aldaw, inton ti panangukom ket bumaba kadagiti mangitukiad iti parabur ti Dios. Ni Cristo, a batoda a pagpakairamanan, ket agparangto kadakuada kas maysa a bantay a mangibales. Ti dayag ti rupana, a iti nalinteg ket biag, ket agbalinto iti nadangkes a maysa a mangconsume nga apuy. Gapu iti ayat a tinukiad, parabur a linais, ti managbasol ket mapukawto.”</w:t>
      </w:r>
    </w:p>
    <w:p>
      <w:pPr>
        <w:pStyle w:val="ArticleScripture"/>
        <w:jc w:val="left"/>
      </w:pPr>
      <w:r>
        <w:rPr>
          <w:rFonts w:ascii="Times New Roman" w:hAnsi="Times New Roman" w:eastAsia="Times New Roman" w:cs="Times New Roman"/>
        </w:rPr>
        <w:t>“</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ᎤᏕᎦᏃᏣᎴ</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ᎤᎾᏓᏂᎸᏨ</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ᎤᎾᏁᎳᎩ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ᎤᏁᏤᎮ</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ᎠᏂᏲᎢ</w:t>
      </w:r>
      <w:r>
        <w:rPr>
          <w:rFonts w:ascii="Times New Roman" w:hAnsi="Times New Roman" w:eastAsia="Times New Roman" w:cs="Times New Roman"/>
        </w:rPr>
        <w:t xml:space="preserve"> </w:t>
      </w:r>
      <w:r>
        <w:rPr>
          <w:rFonts w:ascii="Gadugi" w:hAnsi="Gadugi" w:eastAsia="Gadugi" w:cs="Gadugi"/>
        </w:rPr>
        <w:t>ᎬᏩᏂᏓᏂᎸᏨ</w:t>
      </w:r>
      <w:r>
        <w:rPr>
          <w:rFonts w:ascii="Times New Roman" w:hAnsi="Times New Roman" w:eastAsia="Times New Roman" w:cs="Times New Roman"/>
        </w:rPr>
        <w:t xml:space="preserve"> </w:t>
      </w:r>
      <w:r>
        <w:rPr>
          <w:rFonts w:ascii="Gadugi" w:hAnsi="Gadugi" w:eastAsia="Gadugi" w:cs="Gadugi"/>
        </w:rPr>
        <w:t>ᎬᏩᏓᏂᎸᎯ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ᎠᏍᏕᎸᏗᏍᎩ</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ᎠᎬᏰᎸᏗ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ᎨᏥᏁᎯ</w:t>
      </w:r>
      <w:r>
        <w:rPr>
          <w:rFonts w:ascii="Times New Roman" w:hAnsi="Times New Roman" w:eastAsia="Times New Roman" w:cs="Times New Roman"/>
        </w:rPr>
        <w:t xml:space="preserve">. </w:t>
      </w:r>
      <w:r>
        <w:rPr>
          <w:rFonts w:ascii="Gadugi" w:hAnsi="Gadugi" w:eastAsia="Gadugi" w:cs="Gadugi"/>
        </w:rPr>
        <w:t>ᎤᎾᏓᏅᏓᏛᎾ</w:t>
      </w:r>
      <w:r>
        <w:rPr>
          <w:rFonts w:ascii="Times New Roman" w:hAnsi="Times New Roman" w:eastAsia="Times New Roman" w:cs="Times New Roman"/>
        </w:rPr>
        <w:t xml:space="preserve"> </w:t>
      </w:r>
      <w:r>
        <w:rPr>
          <w:rFonts w:ascii="Gadugi" w:hAnsi="Gadugi" w:eastAsia="Gadugi" w:cs="Gadugi"/>
        </w:rPr>
        <w:t>ᎤᏁᏍᎩ</w:t>
      </w:r>
      <w:r>
        <w:rPr>
          <w:rFonts w:ascii="Times New Roman" w:hAnsi="Times New Roman" w:eastAsia="Times New Roman" w:cs="Times New Roman"/>
        </w:rPr>
        <w:t xml:space="preserve"> </w:t>
      </w:r>
      <w:r>
        <w:rPr>
          <w:rFonts w:ascii="Gadugi" w:hAnsi="Gadugi" w:eastAsia="Gadugi" w:cs="Gadugi"/>
        </w:rPr>
        <w:t>ᎦᏁᎸ</w:t>
      </w:r>
      <w:r>
        <w:rPr>
          <w:rFonts w:ascii="Times New Roman" w:hAnsi="Times New Roman" w:eastAsia="Times New Roman" w:cs="Times New Roman"/>
        </w:rPr>
        <w:t xml:space="preserve">, </w:t>
      </w:r>
      <w:r>
        <w:rPr>
          <w:rFonts w:ascii="Gadugi" w:hAnsi="Gadugi" w:eastAsia="Gadugi" w:cs="Gadugi"/>
        </w:rPr>
        <w:t>ᎤᏓᏅᏙᏗ</w:t>
      </w:r>
      <w:r>
        <w:rPr>
          <w:rFonts w:ascii="Times New Roman" w:hAnsi="Times New Roman" w:eastAsia="Times New Roman" w:cs="Times New Roman"/>
        </w:rPr>
        <w:t xml:space="preserve"> </w:t>
      </w:r>
      <w:r>
        <w:rPr>
          <w:rFonts w:ascii="Gadugi" w:hAnsi="Gadugi" w:eastAsia="Gadugi" w:cs="Gadugi"/>
        </w:rPr>
        <w:t>ᏫᎾᏛᏁᎸᎾ</w:t>
      </w:r>
      <w:r>
        <w:rPr>
          <w:rFonts w:ascii="Times New Roman" w:hAnsi="Times New Roman" w:eastAsia="Times New Roman" w:cs="Times New Roman"/>
        </w:rPr>
        <w:t xml:space="preserve"> </w:t>
      </w:r>
      <w:r>
        <w:rPr>
          <w:rFonts w:ascii="Gadugi" w:hAnsi="Gadugi" w:eastAsia="Gadugi" w:cs="Gadugi"/>
        </w:rPr>
        <w:t>ᎠᏥᏫ</w:t>
      </w:r>
      <w:r>
        <w:rPr>
          <w:rFonts w:ascii="Times New Roman" w:hAnsi="Times New Roman" w:eastAsia="Times New Roman" w:cs="Times New Roman"/>
        </w:rPr>
        <w:t xml:space="preserve">, </w:t>
      </w:r>
      <w:r>
        <w:rPr>
          <w:rFonts w:ascii="Gadugi" w:hAnsi="Gadugi" w:eastAsia="Gadugi" w:cs="Gadugi"/>
        </w:rPr>
        <w:t>ᎠᏂᏰᎪᎩ</w:t>
      </w:r>
      <w:r>
        <w:rPr>
          <w:rFonts w:ascii="Times New Roman" w:hAnsi="Times New Roman" w:eastAsia="Times New Roman" w:cs="Times New Roman"/>
        </w:rPr>
        <w:t xml:space="preserve"> </w:t>
      </w:r>
      <w:r>
        <w:rPr>
          <w:rFonts w:ascii="Gadugi" w:hAnsi="Gadugi" w:eastAsia="Gadugi" w:cs="Gadugi"/>
        </w:rPr>
        <w:t>ᎦᏁᎶᏗ</w:t>
      </w:r>
      <w:r>
        <w:rPr>
          <w:rFonts w:ascii="Times New Roman" w:hAnsi="Times New Roman" w:eastAsia="Times New Roman" w:cs="Times New Roman"/>
        </w:rPr>
        <w:t xml:space="preserve"> </w:t>
      </w:r>
      <w:r>
        <w:rPr>
          <w:rFonts w:ascii="Gadugi" w:hAnsi="Gadugi" w:eastAsia="Gadugi" w:cs="Gadugi"/>
        </w:rPr>
        <w:t>ᎠᏂᎦᏔᎯ</w:t>
      </w:r>
      <w:r>
        <w:rPr>
          <w:rFonts w:ascii="Times New Roman" w:hAnsi="Times New Roman" w:eastAsia="Times New Roman" w:cs="Times New Roman"/>
        </w:rPr>
        <w:t xml:space="preserve">, </w:t>
      </w:r>
      <w:r>
        <w:rPr>
          <w:rFonts w:ascii="Gadugi" w:hAnsi="Gadugi" w:eastAsia="Gadugi" w:cs="Gadugi"/>
        </w:rPr>
        <w:t>ᎠᏂᏂᏆᏘᏍᎩ</w:t>
      </w:r>
      <w:r>
        <w:rPr>
          <w:rFonts w:ascii="Times New Roman" w:hAnsi="Times New Roman" w:eastAsia="Times New Roman" w:cs="Times New Roman"/>
        </w:rPr>
        <w:t xml:space="preserve"> </w:t>
      </w:r>
      <w:r>
        <w:rPr>
          <w:rFonts w:ascii="Gadugi" w:hAnsi="Gadugi" w:eastAsia="Gadugi" w:cs="Gadugi"/>
        </w:rPr>
        <w:t>ᎠᏂᏁᏍᎨᏍᎩ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ᏄᏓᏠᏱᎸᎾ</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ᎤᏍᏛ</w:t>
      </w:r>
      <w:r>
        <w:rPr>
          <w:rFonts w:ascii="Times New Roman" w:hAnsi="Times New Roman" w:eastAsia="Times New Roman" w:cs="Times New Roman"/>
        </w:rPr>
        <w:t xml:space="preserve"> </w:t>
      </w:r>
      <w:r>
        <w:rPr>
          <w:rFonts w:ascii="Gadugi" w:hAnsi="Gadugi" w:eastAsia="Gadugi" w:cs="Gadugi"/>
        </w:rPr>
        <w:t>ᎬᏩᏘᏃᎮᎸᎯ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The Desire of Ages, 600.</w:t>
      </w:r>
    </w:p>
    <w:p>
      <w:pPr>
        <w:pStyle w:val="ArticleBody"/>
        <w:jc w:val="left"/>
      </w:pPr>
      <w:r>
        <w:rPr>
          <w:rFonts w:ascii="Times New Roman" w:hAnsi="Times New Roman" w:eastAsia="Times New Roman" w:cs="Times New Roman"/>
        </w:rPr>
        <w:t>Пол identified the transition from literal to spiritual, he indicates that it occurred during the period of the cross, and it should be noted that the destruction of Jerusalem is directly linked with the cross. The destruction of literal Jerusalem, which was first accomplished by literal Babylon, was accomplished for the last time by literal Rome, for Jesus ever presents the end with the beginning. The trampling down of the sanctuary and the host, which began with the pagan power of Babylon, ended with the pagan power of Rome.</w:t>
      </w:r>
    </w:p>
    <w:p>
      <w:pPr>
        <w:pStyle w:val="ArticleBody"/>
        <w:jc w:val="left"/>
      </w:pPr>
      <w:r>
        <w:rPr>
          <w:rFonts w:ascii="Times New Roman" w:hAnsi="Times New Roman" w:eastAsia="Times New Roman" w:cs="Times New Roman"/>
        </w:rPr>
        <w:t>A espiritualmente ṭərədəy ne Yérusaləm espirituəl təmməm k'əppə papal Rome nə, həltəmmāmən ləttəmmədəy k'əyyutān (literal nə espirituəl) yətəmsəllu yəʾIgziʾabəher həzb bəsostəñña yəwəst agelgay hayl ṭərədəy; yihəm, bəRome qəlal, modern Rome təbalal.</w:t>
      </w:r>
    </w:p>
    <w:p>
      <w:pPr>
        <w:pStyle w:val="ArticleBody"/>
        <w:jc w:val="left"/>
      </w:pPr>
      <w:r>
        <w:rPr>
          <w:rFonts w:ascii="Times New Roman" w:hAnsi="Times New Roman" w:eastAsia="Times New Roman" w:cs="Times New Roman"/>
        </w:rPr>
        <w:t>Ameẓwar n yiwet n kraḍ n tjehdat i yettḍeggeren i yiwen yiwen seg-sent agdud n Öebbi. Aɣilif n upaganiyya, deffir-es lḥaywan n yilel n lkatuḍikiyya, i d-yeḍfaren lḥaywan n tmurt n Yiminid n Marikan (nnbi n tkerkas). Apaganiyya tettwasekcem s yiwet n waṭas n tezmamin n upaganiyya i d-yessersent Israe̱l aḥeqqani. Tettḍegger-d imiren tapapalit Israe̱l arruḥani deg sin n yimin akked setta n twinas n useggas, seg 538 ar 1798. Taseddawt n kraḍ-agi n uɣilif, lḥaywan akked nnbi n tkerkas d Rumit tamirant, u nettat daɣen tettḍegger agdud n Öebbi deg “usrag” n umazray n uselkin n lḥed. Kraḍ n tjehdat i yettḍeggeren — aɣilif, lḥaywan, akked nnbi n tkerkas — ttwasemmalent daɣen d Rumit n upaganiyya, Rumit tapapalit, akked Rumit tamirant.</w:t>
      </w:r>
    </w:p>
    <w:p>
      <w:pPr>
        <w:pStyle w:val="ArticleBody"/>
        <w:jc w:val="left"/>
      </w:pPr>
      <w:r>
        <w:rPr>
          <w:rFonts w:ascii="Myanmar Text" w:hAnsi="Myanmar Text" w:eastAsia="Myanmar Text" w:cs="Myanmar Text"/>
        </w:rPr>
        <w:t>ဆက်လက်ဗျာဒိတ်ကျမ်း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အဓိပ္ပာယ်အရ၊</w:t>
      </w:r>
      <w:r>
        <w:rPr>
          <w:rFonts w:ascii="Times New Roman" w:hAnsi="Times New Roman" w:eastAsia="Times New Roman" w:cs="Times New Roman"/>
        </w:rPr>
        <w:t xml:space="preserve"> </w:t>
      </w:r>
      <w:r>
        <w:rPr>
          <w:rFonts w:ascii="Myanmar Text" w:hAnsi="Myanmar Text" w:eastAsia="Myanmar Text" w:cs="Myanmar Text"/>
        </w:rPr>
        <w:t>ဟိသင်ယုံကြည်မှုသည်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ဘုရင်လေးပါးဖြစ်ပြီး၊</w:t>
      </w:r>
      <w:r>
        <w:rPr>
          <w:rFonts w:ascii="Times New Roman" w:hAnsi="Times New Roman" w:eastAsia="Times New Roman" w:cs="Times New Roman"/>
        </w:rPr>
        <w:t xml:space="preserve"> </w:t>
      </w:r>
      <w:r>
        <w:rPr>
          <w:rFonts w:ascii="Myanmar Text" w:hAnsi="Myanmar Text" w:eastAsia="Myanmar Text" w:cs="Myanmar Text"/>
        </w:rPr>
        <w:t>ပဉ္စမ</w:t>
      </w:r>
      <w:r>
        <w:rPr>
          <w:rFonts w:ascii="Times New Roman" w:hAnsi="Times New Roman" w:eastAsia="Times New Roman" w:cs="Times New Roman"/>
        </w:rPr>
        <w:t xml:space="preserve"> </w:t>
      </w:r>
      <w:r>
        <w:rPr>
          <w:rFonts w:ascii="Myanmar Text" w:hAnsi="Myanmar Text" w:eastAsia="Myanmar Text" w:cs="Myanmar Text"/>
        </w:rPr>
        <w:t>ဘုရင်မှာ</w:t>
      </w:r>
      <w:r>
        <w:rPr>
          <w:rFonts w:ascii="Times New Roman" w:hAnsi="Times New Roman" w:eastAsia="Times New Roman" w:cs="Times New Roman"/>
        </w:rPr>
        <w:t xml:space="preserve"> </w:t>
      </w:r>
      <w:r>
        <w:rPr>
          <w:rFonts w:ascii="Myanmar Text" w:hAnsi="Myanmar Text" w:eastAsia="Myanmar Text" w:cs="Myanmar Text"/>
        </w:rPr>
        <w:t>ပုပ်ရဟန်းမင်းအာဏာဖြစ်သည်။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ဆဋ္ဌမ၊</w:t>
      </w:r>
      <w:r>
        <w:rPr>
          <w:rFonts w:ascii="Times New Roman" w:hAnsi="Times New Roman" w:eastAsia="Times New Roman" w:cs="Times New Roman"/>
        </w:rPr>
        <w:t xml:space="preserve"> </w:t>
      </w:r>
      <w:r>
        <w:rPr>
          <w:rFonts w:ascii="Myanmar Text" w:hAnsi="Myanmar Text" w:eastAsia="Myanmar Text" w:cs="Myanmar Text"/>
        </w:rPr>
        <w:t>သတ္တမနှင့်</w:t>
      </w:r>
      <w:r>
        <w:rPr>
          <w:rFonts w:ascii="Times New Roman" w:hAnsi="Times New Roman" w:eastAsia="Times New Roman" w:cs="Times New Roman"/>
        </w:rPr>
        <w:t xml:space="preserve"> </w:t>
      </w:r>
      <w:r>
        <w:rPr>
          <w:rFonts w:ascii="Myanmar Text" w:hAnsi="Myanmar Text" w:eastAsia="Myanmar Text" w:cs="Myanmar Text"/>
        </w:rPr>
        <w:t>အဋ္ဌမ</w:t>
      </w:r>
      <w:r>
        <w:rPr>
          <w:rFonts w:ascii="Times New Roman" w:hAnsi="Times New Roman" w:eastAsia="Times New Roman" w:cs="Times New Roman"/>
        </w:rPr>
        <w:t xml:space="preserve"> </w:t>
      </w:r>
      <w:r>
        <w:rPr>
          <w:rFonts w:ascii="Myanmar Text" w:hAnsi="Myanmar Text" w:eastAsia="Myanmar Text" w:cs="Myanmar Text"/>
        </w:rPr>
        <w:t>ဘုရင်တို့မှာ</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သုံးဖက်ပေါင်းစည်းမှုဖြစ်သည်။</w:t>
      </w:r>
    </w:p>
    <w:p>
      <w:pPr>
        <w:pStyle w:val="ArticleScripture"/>
        <w:jc w:val="left"/>
      </w:pPr>
      <w:r>
        <w:rPr>
          <w:rFonts w:ascii="Times New Roman" w:hAnsi="Times New Roman" w:eastAsia="Times New Roman" w:cs="Times New Roman"/>
        </w:rPr>
        <w:t>Napan pito nga mga hadi: lima ang nangapukan, kag ang isa yara, kag ang isa wala pa makari; kag kon mag-abot siya, kinahanglan nga magpadayon siya sing malip-ot nga tion. Kag ang sapat nga una anay yara, kag karon wala, amo man siya ang ikawalo, kag halin siya sa pito, kag nagakadto sa kapierdihan. Bugna 17:10, 11.</w:t>
      </w:r>
    </w:p>
    <w:p>
      <w:pPr>
        <w:pStyle w:val="ArticleBody"/>
        <w:jc w:val="left"/>
      </w:pPr>
      <w:r>
        <w:rPr>
          <w:rFonts w:ascii="Times New Roman" w:hAnsi="Times New Roman" w:eastAsia="Times New Roman" w:cs="Times New Roman"/>
        </w:rPr>
        <w:t>Në kuadrin e kapitullit të dytë të Danielit, paganizmi përfshin të katër mbretëritë, nga Babilonia e mirëfilltë deri te Roma e mirëfilltë. Babilonia frymërore është papati (koka e artë), dhe bashkimi i trefishtë i dragoi­t, i bishës dhe i profetit të rremë (Roma moderne), përfaqësohet nga bashkimi i trefishtë i Medo-Persisë frymërore, i Greqisë frymërore dhe i Romës frymërore (plaga vdekjeprurëse e së cilës është shëruar).</w:t>
      </w:r>
    </w:p>
    <w:p>
      <w:pPr>
        <w:pStyle w:val="ArticleBody"/>
        <w:jc w:val="left"/>
      </w:pPr>
      <w:r>
        <w:rPr>
          <w:rFonts w:ascii="Javanese Text" w:hAnsi="Javanese Text" w:eastAsia="Javanese Text" w:cs="Javanese Text"/>
        </w:rPr>
        <w:t>꧋ꦱꦪꦺꦤ꧀</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ꦒꦸꦱ꧀ꦠꦶ</w:t>
      </w:r>
      <w:r>
        <w:rPr>
          <w:rFonts w:ascii="Times New Roman" w:hAnsi="Times New Roman" w:eastAsia="Times New Roman" w:cs="Times New Roman"/>
        </w:rPr>
        <w:t xml:space="preserve"> </w:t>
      </w:r>
      <w:r>
        <w:rPr>
          <w:rFonts w:ascii="Javanese Text" w:hAnsi="Javanese Text" w:eastAsia="Javanese Text" w:cs="Javanese Text"/>
        </w:rPr>
        <w:t>ꦪꦺꦱꦸꦱ꧀</w:t>
      </w:r>
      <w:r>
        <w:rPr>
          <w:rFonts w:ascii="Times New Roman" w:hAnsi="Times New Roman" w:eastAsia="Times New Roman" w:cs="Times New Roman"/>
        </w:rPr>
        <w:t xml:space="preserve"> </w:t>
      </w:r>
      <w:r>
        <w:rPr>
          <w:rFonts w:ascii="Javanese Text" w:hAnsi="Javanese Text" w:eastAsia="Javanese Text" w:cs="Javanese Text"/>
        </w:rPr>
        <w:t>ꦤꦸꦗꦸꦏ꧀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ꦏꦭꦺꦴꦧꦺꦂꦤꦶꦁ</w:t>
      </w:r>
      <w:r>
        <w:rPr>
          <w:rFonts w:ascii="Times New Roman" w:hAnsi="Times New Roman" w:eastAsia="Times New Roman" w:cs="Times New Roman"/>
        </w:rPr>
        <w:t xml:space="preserve"> </w:t>
      </w:r>
      <w:r>
        <w:rPr>
          <w:rFonts w:ascii="Javanese Text" w:hAnsi="Javanese Text" w:eastAsia="Javanese Text" w:cs="Javanese Text"/>
        </w:rPr>
        <w:t>ꦏꦥꦶꦲꦤ꧀ꦕꦸꦂꦤ꧀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ꦊꦏꦏ꧀ꦤꦏꦺ</w:t>
      </w:r>
      <w:r>
        <w:rPr>
          <w:rFonts w:ascii="Times New Roman" w:hAnsi="Times New Roman" w:eastAsia="Times New Roman" w:cs="Times New Roman"/>
        </w:rPr>
        <w:t xml:space="preserve"> </w:t>
      </w:r>
      <w:r>
        <w:rPr>
          <w:rFonts w:ascii="Javanese Text" w:hAnsi="Javanese Text" w:eastAsia="Javanese Text" w:cs="Javanese Text"/>
        </w:rPr>
        <w:t>ꦢꦤꦶꦌꦭ꧀</w:t>
      </w:r>
      <w:r>
        <w:rPr>
          <w:rFonts w:ascii="Times New Roman" w:hAnsi="Times New Roman" w:eastAsia="Times New Roman" w:cs="Times New Roman"/>
        </w:rPr>
        <w:t xml:space="preserve"> </w:t>
      </w:r>
      <w:r>
        <w:rPr>
          <w:rFonts w:ascii="Javanese Text" w:hAnsi="Javanese Text" w:eastAsia="Javanese Text" w:cs="Javanese Text"/>
        </w:rPr>
        <w:t>ꦤꦧꦶ</w:t>
      </w:r>
      <w:r>
        <w:rPr>
          <w:rFonts w:ascii="Times New Roman" w:hAnsi="Times New Roman" w:eastAsia="Times New Roman" w:cs="Times New Roman"/>
        </w:rPr>
        <w:t xml:space="preserve">,” </w:t>
      </w:r>
      <w:r>
        <w:rPr>
          <w:rFonts w:ascii="Javanese Text" w:hAnsi="Javanese Text" w:eastAsia="Javanese Text" w:cs="Javanese Text"/>
        </w:rPr>
        <w:t>ꦲꦺꦮꦏꦺ</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ꦔꦼꦤꦭꦶꦲꦏꦺꦤ꧀</w:t>
      </w:r>
      <w:r>
        <w:rPr>
          <w:rFonts w:ascii="Times New Roman" w:hAnsi="Times New Roman" w:eastAsia="Times New Roman" w:cs="Times New Roman"/>
        </w:rPr>
        <w:t xml:space="preserve"> </w:t>
      </w:r>
      <w:r>
        <w:rPr>
          <w:rFonts w:ascii="Javanese Text" w:hAnsi="Javanese Text" w:eastAsia="Javanese Text" w:cs="Javanese Text"/>
        </w:rPr>
        <w:t>ꦱꦸꦮꦶꦗꦶ</w:t>
      </w:r>
      <w:r>
        <w:rPr>
          <w:rFonts w:ascii="Times New Roman" w:hAnsi="Times New Roman" w:eastAsia="Times New Roman" w:cs="Times New Roman"/>
        </w:rPr>
        <w:t xml:space="preserve"> “</w:t>
      </w:r>
      <w:r>
        <w:rPr>
          <w:rFonts w:ascii="Javanese Text" w:hAnsi="Javanese Text" w:eastAsia="Javanese Text" w:cs="Javanese Text"/>
        </w:rPr>
        <w:t>ꦠꦤ꧀ꦝ</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w:t>
      </w:r>
      <w:r>
        <w:rPr>
          <w:rFonts w:ascii="Javanese Text" w:hAnsi="Javanese Text" w:eastAsia="Javanese Text" w:cs="Javanese Text"/>
        </w:rPr>
        <w:t>ꦮꦺꦴꦁ</w:t>
      </w:r>
      <w:r>
        <w:rPr>
          <w:rFonts w:ascii="Times New Roman" w:hAnsi="Times New Roman" w:eastAsia="Times New Roman" w:cs="Times New Roman"/>
        </w:rPr>
        <w:t xml:space="preserve"> </w:t>
      </w:r>
      <w:r>
        <w:rPr>
          <w:rFonts w:ascii="Javanese Text" w:hAnsi="Javanese Text" w:eastAsia="Javanese Text" w:cs="Javanese Text"/>
        </w:rPr>
        <w:t>ꦏꦿꦶꦱ꧀ꦠꦺꦤ꧀</w:t>
      </w:r>
      <w:r>
        <w:rPr>
          <w:rFonts w:ascii="Times New Roman" w:hAnsi="Times New Roman" w:eastAsia="Times New Roman" w:cs="Times New Roman"/>
        </w:rPr>
        <w:t xml:space="preserve"> </w:t>
      </w:r>
      <w:r>
        <w:rPr>
          <w:rFonts w:ascii="Javanese Text" w:hAnsi="Javanese Text" w:eastAsia="Javanese Text" w:cs="Javanese Text"/>
        </w:rPr>
        <w:t>ꦲꦫꦸꦱ꧀</w:t>
      </w:r>
      <w:r>
        <w:rPr>
          <w:rFonts w:ascii="Times New Roman" w:hAnsi="Times New Roman" w:eastAsia="Times New Roman" w:cs="Times New Roman"/>
        </w:rPr>
        <w:t xml:space="preserve"> </w:t>
      </w:r>
      <w:r>
        <w:rPr>
          <w:rFonts w:ascii="Javanese Text" w:hAnsi="Javanese Text" w:eastAsia="Javanese Text" w:cs="Javanese Text"/>
        </w:rPr>
        <w:t>ꦏꦼꦤꦭꦶ</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ꦱꦼꦠꦶꦪꦥ꧀</w:t>
      </w:r>
      <w:r>
        <w:rPr>
          <w:rFonts w:ascii="Times New Roman" w:hAnsi="Times New Roman" w:eastAsia="Times New Roman" w:cs="Times New Roman"/>
        </w:rPr>
        <w:t xml:space="preserve"> </w:t>
      </w:r>
      <w:r>
        <w:rPr>
          <w:rFonts w:ascii="Javanese Text" w:hAnsi="Javanese Text" w:eastAsia="Javanese Text" w:cs="Javanese Text"/>
        </w:rPr>
        <w:t>ꦏꦭꦶꦃꦤꦺ</w:t>
      </w:r>
      <w:r>
        <w:rPr>
          <w:rFonts w:ascii="Times New Roman" w:hAnsi="Times New Roman" w:eastAsia="Times New Roman" w:cs="Times New Roman"/>
        </w:rPr>
        <w:t xml:space="preserve"> saka telung Roma. Roma kapir, Roma paus, lan Roma modern kabèh padha nganiaya umaté Allah. Panganiaya iku sacara profetik diprayogakaké minangka ngidak-idak pasucèn lan balatentara. Gusti Yesus maringi pepéling bab cedhaké panganiaya iku tumrap saben saka telung mangsa panganiaya mau. Nalika “tandha” panguwasané Roma katetepaké ana ing sajroning pasucèn, wektu kanggo mlayu saka Yérusalèm wus tekan. Gusti Yesus ora ngginakaké ukaran Daniel bab “kekejèn kang ndadèkaké sepi lan karusakan” minangka pralambang saka sawijining kakuwatan kadonyan, nanging minangka pralambang saka tandha kang kudu dingertèni déning wong-wong Kristen.</w:t>
      </w:r>
    </w:p>
    <w:p>
      <w:pPr>
        <w:pStyle w:val="ArticleScripture"/>
        <w:jc w:val="left"/>
      </w:pPr>
      <w:r>
        <w:rPr>
          <w:rFonts w:ascii="Times New Roman" w:hAnsi="Times New Roman" w:eastAsia="Times New Roman" w:cs="Times New Roman"/>
        </w:rPr>
        <w:t>“Jesus naqirinakuykunaq uyariq discipulonkuna-man willarqan, imayna juicio-kuna apostata Israel pataman urmananpaq kasqanta, hinallataq aswanraq kutichisqa phiñasqa muchuy ima paykuna-man hamunanpaq kasqanta, Mesías-ta mana chaskisqankurayku chakatapi wañuchisqankumantapas. Mana pantay atina señal-kuna chay manchay tukukuyman ñawpaqta hamunanpaq karqan. Chay manchakuypaq horaqa usqhaylla, qonqayllam hamunqa. Chaymi Salvadorqa qatiqnin-kunata waqyarqan: ‘Chayrayku, Daniel profeta nisqanpi rimarisqa chinkachiq millay cheqniyta qhapaq cheqanpi sayasqanta rikuspaykichik, (leeqqa entienday:) chayqa Judea-pi kaqkuna urqukuna-man ayqekuchun.’ Mateo 24:15, 16; Lucas 21:20, 21. Romanokunaq idolatría nisqaq estandarte-nkuna llaqtapa perqa kananmanta hawaman hayk’a tupu mast’arisqa sagrado allpapi sayachisqa kaptinqa, Cristoq qatiqnin-kuna ayqekuspa qespichikuyta maskhananku karqan. Warningspa señalan rikurisqanta qawaspayku, qespiyta munaqkunaqa ama imatapas suyanankuchu karqan. Judea suyuntinpi, Jerusalén llaqtapipas, ayqekuypaq señalqa chaylla kasukusqa kanan karqan. Wasi patapi kasqanmanta tupaqtinqa, runaqa ama wasinman uraykuchunchu, aswan chanin kaq qollqenkunatapas qespichinanpaq. Chakra-kunapi utaq uva chakra-kunapi llamk’aqkunaqa ama tiempo hap’inankuchu p’achankuta kutiripunanpaq, punchawpa ruphayninpi llamk’aspa chinkachisqa qepin p’achata apamunanpaq. Paykunaqa ama huk ratullatapas iskayrayankuchu, ama llapa chinkachisqa wañuyman tinkuchisqa kanankupaq.” The Great Controversy, 25.</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ಉಲ್ಲೇಖದಲ್ಲಿ</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ವಿನಾಶದ</w:t>
      </w:r>
      <w:r>
        <w:rPr>
          <w:rFonts w:ascii="Times New Roman" w:hAnsi="Times New Roman" w:eastAsia="Times New Roman" w:cs="Times New Roman"/>
        </w:rPr>
        <w:t xml:space="preserve"> </w:t>
      </w:r>
      <w:r>
        <w:rPr>
          <w:rFonts w:ascii="Nirmala UI" w:hAnsi="Nirmala UI" w:eastAsia="Nirmala UI" w:cs="Nirmala UI"/>
        </w:rPr>
        <w:t>ಅಸಹ್ಯವಾದದ್ದನ್ನು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ತಪ್ಪಿಸಲಾಗದ</w:t>
      </w:r>
      <w:r>
        <w:rPr>
          <w:rFonts w:ascii="Times New Roman" w:hAnsi="Times New Roman" w:eastAsia="Times New Roman" w:cs="Times New Roman"/>
        </w:rPr>
        <w:t xml:space="preserve"> </w:t>
      </w:r>
      <w:r>
        <w:rPr>
          <w:rFonts w:ascii="Nirmala UI" w:hAnsi="Nirmala UI" w:eastAsia="Nirmala UI" w:cs="Nirmala UI"/>
        </w:rPr>
        <w:t>ಸೂಚನೆ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ರೋಮನ್ನರ</w:t>
      </w:r>
      <w:r>
        <w:rPr>
          <w:rFonts w:ascii="Times New Roman" w:hAnsi="Times New Roman" w:eastAsia="Times New Roman" w:cs="Times New Roman"/>
        </w:rPr>
        <w:t xml:space="preserve"> “</w:t>
      </w:r>
      <w:r>
        <w:rPr>
          <w:rFonts w:ascii="Nirmala UI" w:hAnsi="Nirmala UI" w:eastAsia="Nirmala UI" w:cs="Nirmala UI"/>
        </w:rPr>
        <w:t>ವಿಗ್ರಹಾರಾಧಕ</w:t>
      </w:r>
      <w:r>
        <w:rPr>
          <w:rFonts w:ascii="Times New Roman" w:hAnsi="Times New Roman" w:eastAsia="Times New Roman" w:cs="Times New Roman"/>
        </w:rPr>
        <w:t xml:space="preserve"> </w:t>
      </w:r>
      <w:r>
        <w:rPr>
          <w:rFonts w:ascii="Nirmala UI" w:hAnsi="Nirmala UI" w:eastAsia="Nirmala UI" w:cs="Nirmala UI"/>
        </w:rPr>
        <w:t>ಧ್ವಜಗಳಿಂದ</w:t>
      </w:r>
      <w:r>
        <w:rPr>
          <w:rFonts w:ascii="Times New Roman" w:hAnsi="Times New Roman" w:eastAsia="Times New Roman" w:cs="Times New Roman"/>
        </w:rPr>
        <w:t xml:space="preserve">” </w:t>
      </w:r>
      <w:r>
        <w:rPr>
          <w:rFonts w:ascii="Nirmala UI" w:hAnsi="Nirmala UI" w:eastAsia="Nirmala UI" w:cs="Nirmala UI"/>
        </w:rPr>
        <w:t>ಸೂಚಿಸಲ್ಪಟ್ಟಿತ್ತು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ಪರಿಶುದ್ಧಸ್ಥಳವಾದ</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ಭೂಮಿಯಲ್ಲಿ</w:t>
      </w:r>
      <w:r>
        <w:rPr>
          <w:rFonts w:ascii="Times New Roman" w:hAnsi="Times New Roman" w:eastAsia="Times New Roman" w:cs="Times New Roman"/>
        </w:rPr>
        <w:t>” “</w:t>
      </w:r>
      <w:r>
        <w:rPr>
          <w:rFonts w:ascii="Nirmala UI" w:hAnsi="Nirmala UI" w:eastAsia="Nirmala UI" w:cs="Nirmala UI"/>
        </w:rPr>
        <w:t>ನೆಟ್ಟರು</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ವಿನಾಶದ</w:t>
      </w:r>
      <w:r>
        <w:rPr>
          <w:rFonts w:ascii="Times New Roman" w:hAnsi="Times New Roman" w:eastAsia="Times New Roman" w:cs="Times New Roman"/>
        </w:rPr>
        <w:t xml:space="preserve"> </w:t>
      </w:r>
      <w:r>
        <w:rPr>
          <w:rFonts w:ascii="Nirmala UI" w:hAnsi="Nirmala UI" w:eastAsia="Nirmala UI" w:cs="Nirmala UI"/>
        </w:rPr>
        <w:t>ಅಸಹ್ಯವಾದದ್ದನ್ನು</w:t>
      </w:r>
      <w:r>
        <w:rPr>
          <w:rFonts w:ascii="Times New Roman" w:hAnsi="Times New Roman" w:eastAsia="Times New Roman" w:cs="Times New Roman"/>
        </w:rPr>
        <w:t xml:space="preserve">” </w:t>
      </w:r>
      <w:r>
        <w:rPr>
          <w:rFonts w:ascii="Nirmala UI" w:hAnsi="Nirmala UI" w:eastAsia="Nirmala UI" w:cs="Nirmala UI"/>
        </w:rPr>
        <w:t>ಅನ್ಯಧರ್ಮೀಯ</w:t>
      </w:r>
      <w:r>
        <w:rPr>
          <w:rFonts w:ascii="Times New Roman" w:hAnsi="Times New Roman" w:eastAsia="Times New Roman" w:cs="Times New Roman"/>
        </w:rPr>
        <w:t xml:space="preserve"> </w:t>
      </w:r>
      <w:r>
        <w:rPr>
          <w:rFonts w:ascii="Nirmala UI" w:hAnsi="Nirmala UI" w:eastAsia="Nirmala UI" w:cs="Nirmala UI"/>
        </w:rPr>
        <w:t>ರೋಮಿನಾಗಲಿ</w:t>
      </w:r>
      <w:r>
        <w:rPr>
          <w:rFonts w:ascii="Times New Roman" w:hAnsi="Times New Roman" w:eastAsia="Times New Roman" w:cs="Times New Roman"/>
        </w:rPr>
        <w:t xml:space="preserve"> </w:t>
      </w:r>
      <w:r>
        <w:rPr>
          <w:rFonts w:ascii="Nirmala UI" w:hAnsi="Nirmala UI" w:eastAsia="Nirmala UI" w:cs="Nirmala UI"/>
        </w:rPr>
        <w:t>ಪಾಪಸತ್ತೆಯ</w:t>
      </w:r>
      <w:r>
        <w:rPr>
          <w:rFonts w:ascii="Times New Roman" w:hAnsi="Times New Roman" w:eastAsia="Times New Roman" w:cs="Times New Roman"/>
        </w:rPr>
        <w:t xml:space="preserve"> </w:t>
      </w:r>
      <w:r>
        <w:rPr>
          <w:rFonts w:ascii="Nirmala UI" w:hAnsi="Nirmala UI" w:eastAsia="Nirmala UI" w:cs="Nirmala UI"/>
        </w:rPr>
        <w:t>ರೋಮಿನಾಗಲಿ</w:t>
      </w:r>
      <w:r>
        <w:rPr>
          <w:rFonts w:ascii="Times New Roman" w:hAnsi="Times New Roman" w:eastAsia="Times New Roman" w:cs="Times New Roman"/>
        </w:rPr>
        <w:t xml:space="preserve"> </w:t>
      </w:r>
      <w:r>
        <w:rPr>
          <w:rFonts w:ascii="Nirmala UI" w:hAnsi="Nirmala UI" w:eastAsia="Nirmala UI" w:cs="Nirmala UI"/>
        </w:rPr>
        <w:t>ಯಾವುದಾದರೂ</w:t>
      </w:r>
      <w:r>
        <w:rPr>
          <w:rFonts w:ascii="Times New Roman" w:hAnsi="Times New Roman" w:eastAsia="Times New Roman" w:cs="Times New Roman"/>
        </w:rPr>
        <w:t xml:space="preserve"> </w:t>
      </w:r>
      <w:r>
        <w:rPr>
          <w:rFonts w:ascii="Nirmala UI" w:hAnsi="Nirmala UI" w:eastAsia="Nirmala UI" w:cs="Nirmala UI"/>
        </w:rPr>
        <w:t>ಅಧಿಕಾರವನ್ನು</w:t>
      </w:r>
      <w:r>
        <w:rPr>
          <w:rFonts w:ascii="Times New Roman" w:hAnsi="Times New Roman" w:eastAsia="Times New Roman" w:cs="Times New Roman"/>
        </w:rPr>
        <w:t xml:space="preserve"> </w:t>
      </w:r>
      <w:r>
        <w:rPr>
          <w:rFonts w:ascii="Nirmala UI" w:hAnsi="Nirmala UI" w:eastAsia="Nirmala UI" w:cs="Nirmala UI"/>
        </w:rPr>
        <w:t>ಸೂಚಿಸಲು</w:t>
      </w:r>
      <w:r>
        <w:rPr>
          <w:rFonts w:ascii="Times New Roman" w:hAnsi="Times New Roman" w:eastAsia="Times New Roman" w:cs="Times New Roman"/>
        </w:rPr>
        <w:t xml:space="preserve"> </w:t>
      </w:r>
      <w:r>
        <w:rPr>
          <w:rFonts w:ascii="Nirmala UI" w:hAnsi="Nirmala UI" w:eastAsia="Nirmala UI" w:cs="Nirmala UI"/>
        </w:rPr>
        <w:t>ಬಳಸಲಿಲ್ಲ</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ಸೂಚನೆ</w:t>
      </w:r>
      <w:r>
        <w:rPr>
          <w:rFonts w:ascii="Times New Roman" w:hAnsi="Times New Roman" w:eastAsia="Times New Roman" w:cs="Times New Roman"/>
        </w:rPr>
        <w:t>”</w:t>
      </w:r>
      <w:r>
        <w:rPr>
          <w:rFonts w:ascii="Nirmala UI" w:hAnsi="Nirmala UI" w:eastAsia="Nirmala UI" w:cs="Nirmala UI"/>
        </w:rPr>
        <w:t>ಯಾಗಿ</w:t>
      </w:r>
      <w:r>
        <w:rPr>
          <w:rFonts w:ascii="Times New Roman" w:hAnsi="Times New Roman" w:eastAsia="Times New Roman" w:cs="Times New Roman"/>
        </w:rPr>
        <w:t xml:space="preserve"> </w:t>
      </w:r>
      <w:r>
        <w:rPr>
          <w:rFonts w:ascii="Nirmala UI" w:hAnsi="Nirmala UI" w:eastAsia="Nirmala UI" w:cs="Nirmala UI"/>
        </w:rPr>
        <w:t>ಬಳಸಿದರು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ಸೂಚನೆ</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ಭೂಮಿಯಲ್ಲಿ</w:t>
      </w:r>
      <w:r>
        <w:rPr>
          <w:rFonts w:ascii="Times New Roman" w:hAnsi="Times New Roman" w:eastAsia="Times New Roman" w:cs="Times New Roman"/>
        </w:rPr>
        <w:t xml:space="preserve"> </w:t>
      </w:r>
      <w:r>
        <w:rPr>
          <w:rFonts w:ascii="Nirmala UI" w:hAnsi="Nirmala UI" w:eastAsia="Nirmala UI" w:cs="Nirmala UI"/>
        </w:rPr>
        <w:t>ಸ್ಥಾಪಿಸಲ್ಪಟ್ಟಾಗ</w:t>
      </w:r>
      <w:r>
        <w:rPr>
          <w:rFonts w:ascii="Times New Roman" w:hAnsi="Times New Roman" w:eastAsia="Times New Roman" w:cs="Times New Roman"/>
        </w:rPr>
        <w:t xml:space="preserve">, </w:t>
      </w:r>
      <w:r>
        <w:rPr>
          <w:rFonts w:ascii="Nirmala UI" w:hAnsi="Nirmala UI" w:eastAsia="Nirmala UI" w:cs="Nirmala UI"/>
        </w:rPr>
        <w:t>ಕ್ರೈಸ್ತರು</w:t>
      </w:r>
      <w:r>
        <w:rPr>
          <w:rFonts w:ascii="Times New Roman" w:hAnsi="Times New Roman" w:eastAsia="Times New Roman" w:cs="Times New Roman"/>
        </w:rPr>
        <w:t xml:space="preserve"> “</w:t>
      </w:r>
      <w:r>
        <w:rPr>
          <w:rFonts w:ascii="Nirmala UI" w:hAnsi="Nirmala UI" w:eastAsia="Nirmala UI" w:cs="Nirmala UI"/>
        </w:rPr>
        <w:t>ಸಾಮಾನ್ಯ</w:t>
      </w:r>
      <w:r>
        <w:rPr>
          <w:rFonts w:ascii="Times New Roman" w:hAnsi="Times New Roman" w:eastAsia="Times New Roman" w:cs="Times New Roman"/>
        </w:rPr>
        <w:t xml:space="preserve"> </w:t>
      </w:r>
      <w:r>
        <w:rPr>
          <w:rFonts w:ascii="Nirmala UI" w:hAnsi="Nirmala UI" w:eastAsia="Nirmala UI" w:cs="Nirmala UI"/>
        </w:rPr>
        <w:t>ನಾಶದಲ್ಲಿ</w:t>
      </w:r>
      <w:r>
        <w:rPr>
          <w:rFonts w:ascii="Times New Roman" w:hAnsi="Times New Roman" w:eastAsia="Times New Roman" w:cs="Times New Roman"/>
        </w:rPr>
        <w:t xml:space="preserve"> </w:t>
      </w:r>
      <w:r>
        <w:rPr>
          <w:rFonts w:ascii="Nirmala UI" w:hAnsi="Nirmala UI" w:eastAsia="Nirmala UI" w:cs="Nirmala UI"/>
        </w:rPr>
        <w:t>ಸಿಲುಕದಂತೆ</w:t>
      </w:r>
      <w:r>
        <w:rPr>
          <w:rFonts w:ascii="Times New Roman" w:hAnsi="Times New Roman" w:eastAsia="Times New Roman" w:cs="Times New Roman"/>
        </w:rPr>
        <w:t xml:space="preserve">” </w:t>
      </w:r>
      <w:r>
        <w:rPr>
          <w:rFonts w:ascii="Nirmala UI" w:hAnsi="Nirmala UI" w:eastAsia="Nirmala UI" w:cs="Nirmala UI"/>
        </w:rPr>
        <w:t>ಯೆರೂಸಲೇಮಿನಿಂದ</w:t>
      </w:r>
      <w:r>
        <w:rPr>
          <w:rFonts w:ascii="Times New Roman" w:hAnsi="Times New Roman" w:eastAsia="Times New Roman" w:cs="Times New Roman"/>
        </w:rPr>
        <w:t xml:space="preserve"> </w:t>
      </w:r>
      <w:r>
        <w:rPr>
          <w:rFonts w:ascii="Nirmala UI" w:hAnsi="Nirmala UI" w:eastAsia="Nirmala UI" w:cs="Nirmala UI"/>
        </w:rPr>
        <w:t>ಓಡಿಹೋಗಬೇಕಾಗಿತ್ತು</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ಉಲ್ಲೇಖದಲ್ಲಿ</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ಭಾಗದಲ್ಲಿ</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ವಿನಾಶವನ್ನು</w:t>
      </w:r>
      <w:r>
        <w:rPr>
          <w:rFonts w:ascii="Times New Roman" w:hAnsi="Times New Roman" w:eastAsia="Times New Roman" w:cs="Times New Roman"/>
        </w:rPr>
        <w:t xml:space="preserve"> </w:t>
      </w:r>
      <w:r>
        <w:rPr>
          <w:rFonts w:ascii="Nirmala UI" w:hAnsi="Nirmala UI" w:eastAsia="Nirmala UI" w:cs="Nirmala UI"/>
        </w:rPr>
        <w:t>ಸೂಚಿಸಿದ</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ಪ್ರವಾದನೆಗೆ</w:t>
      </w:r>
      <w:r>
        <w:rPr>
          <w:rFonts w:ascii="Times New Roman" w:hAnsi="Times New Roman" w:eastAsia="Times New Roman" w:cs="Times New Roman"/>
        </w:rPr>
        <w:t xml:space="preserve"> </w:t>
      </w:r>
      <w:r>
        <w:rPr>
          <w:rFonts w:ascii="Nirmala UI" w:hAnsi="Nirmala UI" w:eastAsia="Nirmala UI" w:cs="Nirmala UI"/>
        </w:rPr>
        <w:t>ಒಂದಕ್ಕಿಂತ</w:t>
      </w:r>
      <w:r>
        <w:rPr>
          <w:rFonts w:ascii="Times New Roman" w:hAnsi="Times New Roman" w:eastAsia="Times New Roman" w:cs="Times New Roman"/>
        </w:rPr>
        <w:t xml:space="preserve"> </w:t>
      </w:r>
      <w:r>
        <w:rPr>
          <w:rFonts w:ascii="Nirmala UI" w:hAnsi="Nirmala UI" w:eastAsia="Nirmala UI" w:cs="Nirmala UI"/>
        </w:rPr>
        <w:t>ಹೆಚ್ಚು</w:t>
      </w:r>
      <w:r>
        <w:rPr>
          <w:rFonts w:ascii="Times New Roman" w:hAnsi="Times New Roman" w:eastAsia="Times New Roman" w:cs="Times New Roman"/>
        </w:rPr>
        <w:t xml:space="preserve"> </w:t>
      </w:r>
      <w:r>
        <w:rPr>
          <w:rFonts w:ascii="Nirmala UI" w:hAnsi="Nirmala UI" w:eastAsia="Nirmala UI" w:cs="Nirmala UI"/>
        </w:rPr>
        <w:t>ನೆರವೇರಿಕೆಗಳಿದ್ದವು</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“Umasiugup to kasalakan no tagna sumurat tungud song pagbisitang mgo hukom ibabaw sa Jerusalem, ampuwan nun mionong kotumanan na uman, na yatu ra to makalilisang no kapagkaruba inino a malumong landong. Siyan ko kapalaran to pinili no siyudad, makakita ki to kapahamtang to kalibutan na midawat no midi to kalooy to Diyos dow tinamakan din to Iyang balaod. Madulom man so mgo talaan to kapait to kinabuhi to tao na nasaksihan to yuta sulod to malugoy din no mgo siglo to sala. Masakit so kasingkasing, dow maluya so huna-huna kon pamalandungon ini. Makalilisang man so mgo sangpotanan to pagsalikway to kagamhanan to Langit. Apan mas labi pang madulom no talan-awon so ipinadayag diha to mgo pagpahibalo tungud to palaabuton. So mgo talaan to nanglabay,—yung malugoy no panunuran to mgo kagubot, mgo panagbangi, dow mgo rebolusyon, so ‘gubat to sundalo … inubanan to magubot no kasaba, dow mgo panapton na naligid diha to dugo’ (Isaias 9:5),—unsa ra man kini kon itanding to mgo kalisang to yadtong adlawa kon so Nagpugong no Espiritu to Diyos bug-os nang hawion tikang to mgo dautan, dili en pagpugong to pagbuto to tawhanong kailibgon dow sa kapungot ni Satanas! Yadto no timpo, makita to kalibutan, na warad pa gayod kasinati kaniadto, so mgo sangpotanan to paggahom ni Satanas.”</w:t>
      </w:r>
    </w:p>
    <w:p>
      <w:pPr>
        <w:pStyle w:val="ArticleScripture"/>
        <w:jc w:val="left"/>
      </w:pPr>
      <w:r>
        <w:rPr>
          <w:rFonts w:ascii="Times New Roman" w:hAnsi="Times New Roman" w:eastAsia="Times New Roman" w:cs="Times New Roman"/>
        </w:rPr>
        <w:t>“Ngemihla leyo, njengasesikhathini sokuchithwa kweJerusalema, abantu bakaNkulunkulu bayakukhululwa, wonke oyakufunyanwa ebhaliwe phakathi kwabaphilayo. U-Isaya 4:3. UKristu umemezele ukuthi Uzakubuya okwesibili ukuze aqoqele Kwakhe abathembekileyo Bakhe: ‘Khona ziyakukhala zonke izizwe zomhlaba, futhi ziyakubona iNdodana yomuntu iza ngamafu ezulu ngamandla nangenkazimulo enkulu. Futhi Uyakuthuma izingelosi Zakhe ngokukhala okukhulu kwecilongo, futhi ziyakubaqoqa ndawonye abakhethiweyo Bakhe emimoyeni yomine, kusukela komunye umkhawulo wezulu kuze kufike komunye.’ UMathewu 24:30, 31. Khona-ke labo abangayilaleli ivangeli bayakuchithwa ngomoya womlomo Wakhe futhi babhujiswe ngokukhazimula kokuza Kwakhe. 2 Thesalonika 2:8. Njengo-Israyeli wasendulo, ababi bayazibhubhisa bona ngokwabo; bayawa ngobubi babo. Ngokuphila kwesononi, bazibeke kude kangaka nokuvumelana noNkulunkulu, imvelo yabo yonakaliswe kangaka ngobubi, ukuthi ukubonakaliswa kwenkazimulo Yakhe kubo kungumlilo oqothulayo.”</w:t>
      </w:r>
    </w:p>
    <w:p>
      <w:pPr>
        <w:pStyle w:val="ArticleScripture"/>
        <w:jc w:val="left"/>
      </w:pPr>
      <w:r>
        <w:rPr>
          <w:rFonts w:ascii="Times New Roman" w:hAnsi="Times New Roman" w:eastAsia="Times New Roman" w:cs="Times New Roman"/>
        </w:rPr>
        <w:t>“Христын үгэнд дамжуулагдсан сургамжийг үл хайхран өнгөрөөхөөс хүмүүс болгоомжилог. Тэрээр шавь нараа Иерусалимын сүйрлийн талаар анхааруулж, зугтан аврагдаж чадахуйц ойртон ирж буй мөхлийн тэмдгийг тэдэнд өгсөнтэй адил, эцсийн сүйрлийн өдрийн талаар Тэрээр ертөнцөд мөн анхааруулж, түүний ойртож буйг илтгэх шинж тэмдгүүдийг өгсөн билээ. Ингэснээр хүссэн бүхэн ирэх уур хилэнгээс зугтан зайлах боломжтой юм. Есүс ийнхүү тунхагладаг: ‘Наранд, саран дээр, одод дотор тэмдгүүд байх болно; газар дээр үндэстнүүдийн зовнил байх болно.’ Лук 21:25; Матай 24:29; Марк 13:24–26; Илчлэл 6:12–17. Түүний ирэлтийн эдгээр зөнч дохиог хардаг хүмүүс ‘ойрхон болсон, үүдэн дээр ирсэн гэдгийг’ мэдэх ёстой. Матай 24:33. ‘Тиймээс сэрэмжлэгтүн’ хэмээн Тэр анхааруулсан. Марк 13:35. Анхааруулгыг анхааран дагсдыг тэр өдөр гэнэдүүлэн нөмрөхөөргүй, тэд харанхуйд орхигдохгүй. Харин сэрэмжлэхгүй хүмүүст ‘Эзэний өдөр шөнийн хулгайч мэт ирнэ.’ 1 Тесалоник 5:2–5.” Агуу тэмцэл, 36, 37.</w:t>
      </w:r>
    </w:p>
    <w:p>
      <w:pPr>
        <w:pStyle w:val="ArticleBody"/>
        <w:jc w:val="left"/>
      </w:pPr>
      <w:r>
        <w:rPr>
          <w:rFonts w:ascii="Times New Roman" w:hAnsi="Times New Roman" w:eastAsia="Times New Roman" w:cs="Times New Roman"/>
        </w:rPr>
        <w:t>Sister White a lekhakani satangtha, Jerusalem nangbu thugatpagi matam adu mahakna pumnamak manghanba khudingmak amadagi tougadabani. Aduga, thawai gi mapan tanthokpa matamda modern Rome (dragan, saram adu amasung amangba maichou) gi matam pumnamakta puthokpa phattaba achumba leiba chathokpa aduna thawai-gi Babylon gi aruba leplammi, adubu thawai-gi Babylon (papacy) adu 1798 ta amuk hantharakna leplammi. Jerusalem gi thugatpa aduna phibam thokpa church ama gi mathakta Iswar gi phattaba achumba leiba chathokpa adu phang-i.</w:t>
      </w:r>
    </w:p>
    <w:p>
      <w:pPr>
        <w:pStyle w:val="ArticleBody"/>
        <w:jc w:val="left"/>
      </w:pPr>
      <w:r>
        <w:rPr>
          <w:rFonts w:ascii="Times New Roman" w:hAnsi="Times New Roman" w:eastAsia="Times New Roman" w:cs="Times New Roman"/>
        </w:rPr>
        <w:t xml:space="preserve">66 AD </w:t>
      </w:r>
      <w:r>
        <w:rPr>
          <w:rFonts w:ascii="Nirmala UI" w:hAnsi="Nirmala UI" w:eastAsia="Nirmala UI" w:cs="Nirmala UI"/>
        </w:rPr>
        <w:t>से</w:t>
      </w:r>
      <w:r>
        <w:rPr>
          <w:rFonts w:ascii="Times New Roman" w:hAnsi="Times New Roman" w:eastAsia="Times New Roman" w:cs="Times New Roman"/>
        </w:rPr>
        <w:t xml:space="preserve"> 70 AD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66 AD </w:t>
      </w:r>
      <w:r>
        <w:rPr>
          <w:rFonts w:ascii="Nirmala UI" w:hAnsi="Nirmala UI" w:eastAsia="Nirmala UI" w:cs="Nirmala UI"/>
        </w:rPr>
        <w:t>से</w:t>
      </w:r>
      <w:r>
        <w:rPr>
          <w:rFonts w:ascii="Times New Roman" w:hAnsi="Times New Roman" w:eastAsia="Times New Roman" w:cs="Times New Roman"/>
        </w:rPr>
        <w:t xml:space="preserve"> 70 AD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अन्यजातीयता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w:t>
      </w:r>
    </w:p>
    <w:p>
      <w:pPr>
        <w:pStyle w:val="ArticleBody"/>
        <w:jc w:val="left"/>
      </w:pPr>
      <w:r>
        <w:rPr>
          <w:rFonts w:ascii="Times New Roman" w:hAnsi="Times New Roman" w:eastAsia="Times New Roman" w:cs="Times New Roman"/>
        </w:rPr>
        <w:t>ڕۆمايە روحانی لەژێر گەمارۆ و وێرانکردنەوەیەکدا کە بە پاپایەتی ئەنجام درا، سێ ساڵ و نیوی پێشبینی خایاند، لە 538 هەتا 1798. ئەو دوو وێنەیە نمونەی گەمارۆ و وێرانکردنەوەی ئۆرشەلیمە لەو «کاتژمێر»ەی قەیرانی یاسای یەکشەممە کە بە ڕۆمای نوێ هاتووەتە ئاراوە. دواهەمین لە سێ وێرانکردنەوەکەی ئۆرشەلیم پاشگەز دەکرێتەوە، وەک لە کتێبی دانیالدا نیشان دراوە.</w:t>
      </w:r>
    </w:p>
    <w:p>
      <w:pPr>
        <w:pStyle w:val="ArticleBody"/>
        <w:jc w:val="left"/>
      </w:pPr>
      <w:r>
        <w:rPr>
          <w:rFonts w:ascii="Times New Roman" w:hAnsi="Times New Roman" w:eastAsia="Times New Roman" w:cs="Times New Roman"/>
        </w:rPr>
        <w:t>Kitab Daniel dimulai dengan penaklukan dan penghancuran Yerusalem oleh Babel, dan berakhir dengan kehancuran Babel serta kemenangan Yerusalem. Dalam masing-masing dari ketiga peperangan itu, diberikan suatu tanda kepada orang-orang Kristen yang memberitahukan mereka untuk melarikan diri dari peperangan yang akan datang. Pada tahun 66 M, tanda itu terjadi ketika tentara-tentara Roma kafir menempatkan panji-panji mereka (bendera-bendera perang mereka) di tanah suci tempat kudus. Pada tahun 538, tanda itu terjadi ketika “manusia durhaka” dinyatakan, duduk di dalam bait Allah (gereja Kristen), sambil menunjukkan dirinya seolah-olah ia adalah Allah, ketika ia memberlakukan suatu undang-undang hari Minggu pada Konsili Orléans pada tahun itu. Penegakan hari Minggu adalah apa yang kepausan identifikasikan sebagai bukti otoritas mereka atas dunia Kristen, sebab mereka berpendapat (dengan benar) bahwa tidak ada dukungan bagi ibadah hari Minggu di dalam Firman Allah, dan fakta bahwa mereka menetapkan hari Minggu sebagai hari ibadah dalam Kekristenan merupakan bukti bahwa otoritas tradisi dan adat kebiasaan kafir mereka berada di atas Alkitab.</w:t>
      </w:r>
    </w:p>
    <w:p>
      <w:pPr>
        <w:pStyle w:val="ArticleBody"/>
        <w:jc w:val="left"/>
      </w:pPr>
      <w:r>
        <w:rPr>
          <w:rFonts w:ascii="Times New Roman" w:hAnsi="Times New Roman" w:eastAsia="Times New Roman" w:cs="Times New Roman"/>
        </w:rPr>
        <w:t>Na mmerɛ afe 538 mu no, na ɛsɛ sɛ Kristofoɔ tete wɔn ho fi Roma asɔre no ho, ɛnyɛ efisɛ na ɛnyɛ Kristofoɔ asɔre ankasa nko, na mmom efisɛ na wɔde papacy tumi no agyiraehyɛde no asi Onyankopɔn asɔre kronkron tenabea no so. Ɔbaa White kyerɛkyerɛ saa abakɔsɛm no mu mpaapaemu yi a ɛhyɛɛ bere no ase, bere a Onyankopɔn asɔre guan kɔɔ sare so mfe apem ahanu ne aduosia no mu.</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འོན་ཀྱང་འོད་ཀྱི་རྒྱལ་པོ་དང་མུན་པའི་རྒྱལ་པོ་བར་མཉམ་འབྲེལ་མེད་ལ།</w:t>
      </w:r>
      <w:r>
        <w:rPr>
          <w:rFonts w:ascii="Times New Roman" w:hAnsi="Times New Roman" w:eastAsia="Times New Roman" w:cs="Times New Roman"/>
        </w:rPr>
        <w:t xml:space="preserve"> </w:t>
      </w:r>
      <w:r>
        <w:rPr>
          <w:rFonts w:ascii="Microsoft Himalaya" w:hAnsi="Microsoft Himalaya" w:eastAsia="Microsoft Himalaya" w:cs="Microsoft Himalaya"/>
        </w:rPr>
        <w:t>དེ་གཉིས་ཀྱི་རྗེས་འབྲངས་པ་ཚོའི་བར་ལའང་མཉམ་འབྲེལ་ཡོད་མི་རུང་།</w:t>
      </w:r>
      <w:r>
        <w:rPr>
          <w:rFonts w:ascii="Times New Roman" w:hAnsi="Times New Roman" w:eastAsia="Times New Roman" w:cs="Times New Roman"/>
        </w:rPr>
        <w:t xml:space="preserve"> </w:t>
      </w:r>
      <w:r>
        <w:rPr>
          <w:rFonts w:ascii="Microsoft Himalaya" w:hAnsi="Microsoft Himalaya" w:eastAsia="Microsoft Himalaya" w:cs="Microsoft Himalaya"/>
        </w:rPr>
        <w:t>ནམ་ཞིག་ཡེ་ཤུ་བའི་མི་རྣམས་ཀྱིས་ཕ་གན་ལས་ཕྱེད་ཙམ་བསྒྱུར་ཟིན་པ་ཞིག་ཡིན་པ་ཙམ་གྱི་མི་རྣམས་དང་མཉམ་དུ་སྦྲེལ་བར་འཐད་པ་བྱས་པ་ན།</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དེ་དག་གིས་བདེན་པ་ལས་ཇེ་རིང་ཇེ་རིང་དུ་འཁྲིད་པའི་ལམ་ཞིག་ཏུ་ཞུགས་པ་ཡིན།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ས་ཏན་གྱིས་ཁོས་ཀྲིསྟོས་ཀྱི་རྗེས་འབྲངས་པ་གྲངས་མང་པོ་ཞིག་བསླུས་ཐུབ་པས་དགའ་སྐྱིད་ཆེན་པོས་འཕྱོ་བ་བྱས།</w:t>
      </w:r>
      <w:r>
        <w:rPr>
          <w:rFonts w:ascii="Times New Roman" w:hAnsi="Times New Roman" w:eastAsia="Times New Roman" w:cs="Times New Roman"/>
        </w:rPr>
        <w:t xml:space="preserve"> </w:t>
      </w:r>
      <w:r>
        <w:rPr>
          <w:rFonts w:ascii="Microsoft Himalaya" w:hAnsi="Microsoft Himalaya" w:eastAsia="Microsoft Himalaya" w:cs="Microsoft Himalaya"/>
        </w:rPr>
        <w:t>དེ་ནས་ཁོས་རང་གི་དབང་ཤུགས་དེ་དག་ལ་ལྷག་པར་བཀོལ་ནས།</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དཀོན་མཆོག་ལ་དམ་བཅའ་བརྟན་པོར་གནས་མཁན་རྣམས་ལ་གནོད་པ་བྱ་བར་སྐུལ་བ་བྱས།</w:t>
      </w:r>
      <w:r>
        <w:rPr>
          <w:rFonts w:ascii="Times New Roman" w:hAnsi="Times New Roman" w:eastAsia="Times New Roman" w:cs="Times New Roman"/>
        </w:rPr>
        <w:t xml:space="preserve"> </w:t>
      </w:r>
      <w:r>
        <w:rPr>
          <w:rFonts w:ascii="Microsoft Himalaya" w:hAnsi="Microsoft Himalaya" w:eastAsia="Microsoft Himalaya" w:cs="Microsoft Himalaya"/>
        </w:rPr>
        <w:t>བདེན་པའི་ཡེ་ཤུ་བའི་ཆོས་ལ་ཇི་ལྟར་འགལ་ཟླ་བྱེད་དགོས་པ་ནི།</w:t>
      </w:r>
      <w:r>
        <w:rPr>
          <w:rFonts w:ascii="Times New Roman" w:hAnsi="Times New Roman" w:eastAsia="Times New Roman" w:cs="Times New Roman"/>
        </w:rPr>
        <w:t xml:space="preserve"> </w:t>
      </w:r>
      <w:r>
        <w:rPr>
          <w:rFonts w:ascii="Microsoft Himalaya" w:hAnsi="Microsoft Himalaya" w:eastAsia="Microsoft Himalaya" w:cs="Microsoft Himalaya"/>
        </w:rPr>
        <w:t>སྔོན་ཆད་དེའི་སྲུང་སྐྱོབ་པ་ཡིན་མྱོང་བ་དེ་ཚོ་ལས་ལྷག་པར་རྟོགས་པ་མེད།</w:t>
      </w:r>
      <w:r>
        <w:rPr>
          <w:rFonts w:ascii="Times New Roman" w:hAnsi="Times New Roman" w:eastAsia="Times New Roman" w:cs="Times New Roman"/>
        </w:rPr>
        <w:t xml:space="preserve"> </w:t>
      </w:r>
      <w:r>
        <w:rPr>
          <w:rFonts w:ascii="Microsoft Himalaya" w:hAnsi="Microsoft Himalaya" w:eastAsia="Microsoft Himalaya" w:cs="Microsoft Himalaya"/>
        </w:rPr>
        <w:t>དེ་ལྟར་ལོག་པར་གྱུར་པའི་ཡེ་ཤུ་བ་དེ་ཚོས།</w:t>
      </w:r>
      <w:r>
        <w:rPr>
          <w:rFonts w:ascii="Times New Roman" w:hAnsi="Times New Roman" w:eastAsia="Times New Roman" w:cs="Times New Roman"/>
        </w:rPr>
        <w:t xml:space="preserve"> </w:t>
      </w:r>
      <w:r>
        <w:rPr>
          <w:rFonts w:ascii="Microsoft Himalaya" w:hAnsi="Microsoft Himalaya" w:eastAsia="Microsoft Himalaya" w:cs="Microsoft Himalaya"/>
        </w:rPr>
        <w:t>རང་གི་ཕྱེད་ཕ་གན་གྱི་གྲོགས་པོ་རྣམས་དང་མཉམ་དུ་འབྲེལ་ནས།</w:t>
      </w:r>
      <w:r>
        <w:rPr>
          <w:rFonts w:ascii="Times New Roman" w:hAnsi="Times New Roman" w:eastAsia="Times New Roman" w:cs="Times New Roman"/>
        </w:rPr>
        <w:t xml:space="preserve"> </w:t>
      </w:r>
      <w:r>
        <w:rPr>
          <w:rFonts w:ascii="Microsoft Himalaya" w:hAnsi="Microsoft Himalaya" w:eastAsia="Microsoft Himalaya" w:cs="Microsoft Himalaya"/>
        </w:rPr>
        <w:t>ཀྲིསྟོས་ཀྱི་བསྟན་པའི་ཆོས་དོན་གྱི་གཞི་རྩ་ཆེས་གལ་ཆེ་བ་རྣམས་ལ་འཐབ་འཛིང་གཏོང་བར་ཁ་ཕྱོགས་བསྒྱུར།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“Dogong anda sini yaa bu bana ma kyɛrɛ hɔ ga nyɛ hewalɛi bo nɛ ji nyɛ nyɛ yaa, ni nɛ baatsɛ akɛ amlii kɛ sumɔ lɛ ni ba shishi lɛi ni ba kɛ tsuii ni ba kɛko nɔ ni ba tsɔɔ lɛ ji shishi lɛi. Kɛkɛ ba he Biblia kɛ lɛ mlii bo nɛ ji hewalɛi ni sumɔi lɛ. Ba yɔɔ sumɔ hewalɛi kɛ shishi lɛ heresy, ni baatsɛ ba kɛ hewalɛi nɔ yitso mli lɛ, ba tswaa amɛ ni ba yi amɛ he.”</w:t>
      </w:r>
    </w:p>
    <w:p>
      <w:pPr>
        <w:pStyle w:val="ArticleScripture"/>
        <w:jc w:val="left"/>
      </w:pPr>
      <w:r>
        <w:rPr>
          <w:rFonts w:ascii="Times New Roman" w:hAnsi="Times New Roman" w:eastAsia="Times New Roman" w:cs="Times New Roman"/>
        </w:rPr>
        <w:t>«Удаан бөгөөд ширүүн тэмцлийн дараа, үнэнч цөөнх нь хэрэв тэр урвагч сүм хуурамч сургаал ба шүтээн шүтлэгээсээ өөрийгөө чөлөөлөхөөс цаашид ч татгалзсаар байвал, түүнтэй байсан аливаа холбоогоо бүрмөсөн таслахаар шийджээ. Бурханы үгэнд дуулгавартай байхыг хүсвэл тусгаарлал нь туйлын зайлшгүй хэрэгтэйг тэд ойлгосон. Өөрсдийнх нь сүнсэнд үхлийн аюултай алдааг тэд тэвчиж үл зүрхэлсэн бөгөөд үр хүүхэд, ач зээ нарынхаа итгэлийг аюулд оруулах үлгэр жишээ тогтоохыг ч хүссэнгүй. Амар тайван ба эв нэгдлийг хангахын тулд тэд Бурханд үнэнч байдалтай нийцэх ямар ч буулт хийхэд бэлэн байсан; гэвч зарчмыг золиослон олдох амар тайван нь дэндүү өндөр үнээр худалдаж авсантай адил болно гэж тэд мэдэрч байв. Хэрэв эв нэгдлийг зөвхөн үнэн ба зөвт байдлыг буулт хийснээр л олж авч болох юм бол, тэгвэл ялгаа байг, тэр бүү хэл дайн ч байг.» The Great Controversy, 45.</w:t>
      </w:r>
    </w:p>
    <w:p>
      <w:pPr>
        <w:pStyle w:val="ArticleBody"/>
        <w:jc w:val="left"/>
      </w:pPr>
      <w:r>
        <w:rPr>
          <w:rFonts w:ascii="Times New Roman" w:hAnsi="Times New Roman" w:eastAsia="Times New Roman" w:cs="Times New Roman"/>
        </w:rPr>
        <w:t>Na yá'át'ééhígíí dóó nihá ałtseʼígíí nitsáhákeesgo, tʼáá hólǫ́ǫgi łikanígíí tʼááłáʼígi nídeeshʼaah dooleeł.</w:t>
      </w:r>
    </w:p>
    <w:p>
      <w:pPr>
        <w:pStyle w:val="ArticleScripture"/>
        <w:jc w:val="left"/>
      </w:pPr>
      <w:r>
        <w:rPr>
          <w:rFonts w:ascii="Times New Roman" w:hAnsi="Times New Roman" w:eastAsia="Times New Roman" w:cs="Times New Roman"/>
        </w:rPr>
        <w:t>«Безконечність простягається перед нами. Завіса ось-ось буде піднята. Ми, що займаємо це урочисте, відповідальне становище, — що ми робимо, про що ми думаємо, що тримаємося за свою себелюбну любов до вигоди, тоді як довкола нас гинуть душі? Невже наші серця стали зовсім зачерствілими? Невже ми не можемо відчувати або розуміти, що маємо звершити працю задля спасіння інших? Браття, чи не належите ви до тих, що, маючи очі, не бачать, і, маючи вуха, не чують? Чи даремно Бог дав вам пізнання Своєї волі? Чи даремно Він посилав вам застереження за застереженням? Чи вірите ви в свідчення вічної істини про те, що має незабаром прийти на землю, чи вірите ви, що Божі суди нависли над людьми, — і чи можете ви й далі сидіти в бездіяльності, ліниві, недбалі, любителі насолод?»</w:t>
      </w:r>
    </w:p>
    <w:p>
      <w:pPr>
        <w:pStyle w:val="ArticleScripture"/>
        <w:jc w:val="left"/>
      </w:pPr>
      <w:r>
        <w:rPr>
          <w:rFonts w:ascii="Times New Roman" w:hAnsi="Times New Roman" w:eastAsia="Times New Roman" w:cs="Times New Roman"/>
        </w:rPr>
        <w:t>«ئېندى ئەمدى خۇدانىڭ خەلقى ئۈچۈن ئۆز مېھىر-مۇھەببىتىنى دۇنياغا باغلاشنىڭ ياكى ئۆز خەزىنىسىنى دۇنيادا توپلاشنىڭ ۋاقتى ئەمەس. ۋاقىت ئۇنچە يىراق ئەمەسكى، دەسلەپكى شاگىرتلارغا ئوخشاش، بىز ۋەيرانە ۋە يالغۇز جايلاردا پاناھ ئىزدەشكە مەجبۇر بولىمىز. رىم قوشۇنلىرىنىڭ يېرۇسالېمنى قورشاپ ئالىشى يەھۇدىيەدىكى مەسىھىيلەر ئۈچۈن قېچىشنىڭ بەلگىسى بولغاندەك، شۇنىڭدەك، بىزنىڭ مىللىتىمىز تەرىپىدىن پاپالىق شەنبىنى ئىجرا قىلىدىغان پەرمان ئارقىلىق ھۆكۈمرانلىق كۈچىنىڭ قولغا ئېلىنىشى بىز ئۈچۈن ئاگاھلاندۇرۇش بولىدۇ. شۇ چاغدا چوڭ شەھەرلەرنى تەرك ئېتىپ، كىچىك شەھەرلەرنىمۇ تاشلاپ، تاغلار ئارىسىدىكى يوشۇرۇن جايلاردىكى ئايرىم-يېگانە ماكانلارغا كۆچۈش ئۈچۈن ئالدىن تەييارلىق كۆرۈش ۋاقتى بولىدۇ. ھازىر بولسا، بۇ يەردە قىممەت تۇرالغۇلارنى ئىزدەشنىڭ ئورنىغا، تېخىمۇ ياخشى بىر يۇرتقا، يەنى ئاسمانىي يۇرتقا كۆچۈش ئۈچۈن تەييارلىق قىلىشىمىز كېرەك. ۋاسىتە-مابلىغىمىزنى ئۆز-ئۆزىمىزنى رازى قىلىشقا سەرپ قىلىشنىڭ ئورنىغا، تېجەشنى ئۆگىنىشىمىز كېرەك. خۇدا تەرىپىدىن ئارىيەتكە بېرىلگەن ھەر بىر ئىقتىدار دۇنياغا ئاگاھلاندۇرۇش يەتكۈزۈشتە، ئۇنىڭ شان-شەرىپى ئۈچۈن ئىشلىتىلىشى كېرەك. خۇدانىڭ ئۆز بىلەن ھەمكارلاشقۇچىلىرى ئۈچۈن شەھەرلەردە قىلىدىغان بىر خىزمىتى بار. بىزنىڭ مىسسىيىلىرىمىز قوللاپ-قۇۋۋەتلىنىشى كېرەك؛ يېڭى مىسسىيىلەر ئېچىلىشى كېرەك. بۇ ئىشنى مۇۋەپپەقىيەت بىلەن ئىلگىرى سۈرۈش ئاز چىقىم تەلەپ قىلمايدۇ. ئىبادەت ئۆيلىرى زۆرۈردۇر، شۇ يەرلەرگە كىشىلەر بۇ زامان ئۈچۈن بولغان ھەقىقەتلەرنى ئاڭلاشقا تەكلىپ قىلىنىشى مۇمكىن. دەل مۇشۇ مەقسەت ئۈچۈن، خۇدا ئۆز ۋەكىللىرىگە مەبلەغ تاپشۇرۇپ قويغان. مال-مۈلكىڭلار دۇنياۋى كارخانىلارغا باغلىنىپ قالمىسۇن، بۇنداق بولغاندا بۇ خىزمەت توسىلىپ قالىدۇ. ۋەسىتىلىرىڭلارنى خۇدانىڭ ئىش-قازاسىنىڭ مەنپەئىتى ئۈچۈن ئۆز قولۇڭلاردا باشقۇرالايدىغان جايدىن تۇتۇڭلار. خەزىنىلىرىڭلارنى ئۆزۈڭلاردىن بۇرۇن ئاسمانغا ئەۋەتىڭلار.»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 دانیال — شمارہ تینتالیس</dc:title>
  <dc:subject>Ñe’ekuaa hag̃ua umi mba’e he’iséva pe Ñemongy’a Oñehundíva rehegua marandu py’aguapýpe Biblia pegua</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