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Fyrtiåtta</w:t>
      </w:r>
    </w:p>
    <w:p>
      <w:pPr>
        <w:pStyle w:val="ArticleSubtitle"/>
        <w:jc w:val="left"/>
      </w:pPr>
      <w:r>
        <w:rPr>
          <w:rFonts w:ascii="Arial" w:hAnsi="Arial" w:eastAsia="Arial" w:cs="Arial"/>
        </w:rPr>
        <w:t>Desvelando la profecía: el significado de la visión de Habacuc, las dos tablas y el misterio del continuo en la interpretación bíblica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Ñawpaq yachaypa yapakuynin, Ulai Mayupa rikuchisqanwan rikuchisqa kasqan, chaymi tukukuqpi Habacucpa iskay tablankunapi qillqasqa karqan.</w:t>
      </w:r>
    </w:p>
    <w:p>
      <w:pPr>
        <w:pStyle w:val="ArticleScripture"/>
        <w:jc w:val="left"/>
      </w:pPr>
      <w:r>
        <w:rPr>
          <w:rFonts w:ascii="Times New Roman" w:hAnsi="Times New Roman" w:eastAsia="Times New Roman" w:cs="Times New Roman"/>
        </w:rPr>
        <w:t>“Nheʻẽmarandu kuéra ojeheʼapýva umi profesía ndive haʼekuéra oimoʼã vaʼekue ojeporuha Cristo ou jeýta hag̃ua mokõiha jevy jave, ogueru avei ñemboʼe ha mboʼepy ijojahaʼỹva oñemohenda porãva hikuái oĩha hag̃ua upe tekove pyʼa mokõi ha pyʼa rendaʼỹme, ha omokyreʼỹ chupekuéra tohaʼarõ paciencia reheve jerovia rupive, pe mbaʼe koʼág̃a iñypytũva gueteri iñarandu hag̃uame, ára oúvape ojekuaaukáta hesakã hag̃uáicha.”</w:t>
      </w:r>
    </w:p>
    <w:p>
      <w:pPr>
        <w:pStyle w:val="ArticleScripture"/>
        <w:jc w:val="left"/>
      </w:pPr>
      <w:r>
        <w:rPr>
          <w:rFonts w:ascii="Times New Roman" w:hAnsi="Times New Roman" w:eastAsia="Times New Roman" w:cs="Times New Roman"/>
        </w:rPr>
        <w:t>«</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ᏗᎧᏃᎮᏍᎬ</w:t>
      </w:r>
      <w:r>
        <w:rPr>
          <w:rFonts w:ascii="Times New Roman" w:hAnsi="Times New Roman" w:eastAsia="Times New Roman" w:cs="Times New Roman"/>
        </w:rPr>
        <w:t xml:space="preserve"> </w:t>
      </w:r>
      <w:r>
        <w:rPr>
          <w:rFonts w:ascii="Gadugi" w:hAnsi="Gadugi" w:eastAsia="Gadugi" w:cs="Gadugi"/>
        </w:rPr>
        <w:t>ᎠᏂᏙᎯᏳᎯ</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ᎻᏆᎫ</w:t>
      </w:r>
      <w:r>
        <w:rPr>
          <w:rFonts w:ascii="Times New Roman" w:hAnsi="Times New Roman" w:eastAsia="Times New Roman" w:cs="Times New Roman"/>
        </w:rPr>
        <w:t xml:space="preserve"> 2:1–4 </w:t>
      </w:r>
      <w:r>
        <w:rPr>
          <w:rFonts w:ascii="Gadugi" w:hAnsi="Gadugi" w:eastAsia="Gadugi" w:cs="Gadugi"/>
        </w:rPr>
        <w:t>ᎤᏪᏥ</w:t>
      </w:r>
      <w:r>
        <w:rPr>
          <w:rFonts w:ascii="Times New Roman" w:hAnsi="Times New Roman" w:eastAsia="Times New Roman" w:cs="Times New Roman"/>
        </w:rPr>
        <w:t>: “</w:t>
      </w:r>
      <w:r>
        <w:rPr>
          <w:rFonts w:ascii="Gadugi" w:hAnsi="Gadugi" w:eastAsia="Gadugi" w:cs="Gadugi"/>
        </w:rPr>
        <w:t>ᎠᏆᏙᎾᎥ</w:t>
      </w:r>
      <w:r>
        <w:rPr>
          <w:rFonts w:ascii="Times New Roman" w:hAnsi="Times New Roman" w:eastAsia="Times New Roman" w:cs="Times New Roman"/>
        </w:rPr>
        <w:t xml:space="preserve"> </w:t>
      </w:r>
      <w:r>
        <w:rPr>
          <w:rFonts w:ascii="Gadugi" w:hAnsi="Gadugi" w:eastAsia="Gadugi" w:cs="Gadugi"/>
        </w:rPr>
        <w:t>ᏓᎦᏘᏯ</w:t>
      </w:r>
      <w:r>
        <w:rPr>
          <w:rFonts w:ascii="Times New Roman" w:hAnsi="Times New Roman" w:eastAsia="Times New Roman" w:cs="Times New Roman"/>
        </w:rPr>
        <w:t xml:space="preserve"> </w:t>
      </w:r>
      <w:r>
        <w:rPr>
          <w:rFonts w:ascii="Gadugi" w:hAnsi="Gadugi" w:eastAsia="Gadugi" w:cs="Gadugi"/>
        </w:rPr>
        <w:t>ᎤᎵᏍᏚᎶᎯᏍᏗ</w:t>
      </w:r>
      <w:r>
        <w:rPr>
          <w:rFonts w:ascii="Times New Roman" w:hAnsi="Times New Roman" w:eastAsia="Times New Roman" w:cs="Times New Roman"/>
        </w:rPr>
        <w:t xml:space="preserve"> </w:t>
      </w:r>
      <w:r>
        <w:rPr>
          <w:rFonts w:ascii="Gadugi" w:hAnsi="Gadugi" w:eastAsia="Gadugi" w:cs="Gadugi"/>
        </w:rPr>
        <w:t>ᎤᎾᏫᏱ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ᏥᏆᎴᏂᏙᎵ</w:t>
      </w:r>
      <w:r>
        <w:rPr>
          <w:rFonts w:ascii="Times New Roman" w:hAnsi="Times New Roman" w:eastAsia="Times New Roman" w:cs="Times New Roman"/>
        </w:rPr>
        <w:t xml:space="preserve"> </w:t>
      </w:r>
      <w:r>
        <w:rPr>
          <w:rFonts w:ascii="Gadugi" w:hAnsi="Gadugi" w:eastAsia="Gadugi" w:cs="Gadugi"/>
        </w:rPr>
        <w:t>ᎠᏁᎳ</w:t>
      </w:r>
      <w:r>
        <w:rPr>
          <w:rFonts w:ascii="Times New Roman" w:hAnsi="Times New Roman" w:eastAsia="Times New Roman" w:cs="Times New Roman"/>
        </w:rPr>
        <w:t xml:space="preserve"> </w:t>
      </w:r>
      <w:r>
        <w:rPr>
          <w:rFonts w:ascii="Gadugi" w:hAnsi="Gadugi" w:eastAsia="Gadugi" w:cs="Gadugi"/>
        </w:rPr>
        <w:t>ᎤᏍᏚᎶᎯᏍᏗᏱ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ᏓᎦᎦᏌᏯ</w:t>
      </w:r>
      <w:r>
        <w:rPr>
          <w:rFonts w:ascii="Times New Roman" w:hAnsi="Times New Roman" w:eastAsia="Times New Roman" w:cs="Times New Roman"/>
        </w:rPr>
        <w:t xml:space="preserve"> </w:t>
      </w:r>
      <w:r>
        <w:rPr>
          <w:rFonts w:ascii="Gadugi" w:hAnsi="Gadugi" w:eastAsia="Gadugi" w:cs="Gadugi"/>
        </w:rPr>
        <w:t>ᎠᎩᎪᏩᏛ</w:t>
      </w:r>
      <w:r>
        <w:rPr>
          <w:rFonts w:ascii="Times New Roman" w:hAnsi="Times New Roman" w:eastAsia="Times New Roman" w:cs="Times New Roman"/>
        </w:rPr>
        <w:t xml:space="preserve"> </w:t>
      </w:r>
      <w:r>
        <w:rPr>
          <w:rFonts w:ascii="Gadugi" w:hAnsi="Gadugi" w:eastAsia="Gadugi" w:cs="Gadugi"/>
        </w:rPr>
        <w:t>ᏂᎦᏪ</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ᎠᏆᏁᎬᏫᏳᎯ</w:t>
      </w:r>
      <w:r>
        <w:rPr>
          <w:rFonts w:ascii="Times New Roman" w:hAnsi="Times New Roman" w:eastAsia="Times New Roman" w:cs="Times New Roman"/>
        </w:rPr>
        <w:t xml:space="preserve"> </w:t>
      </w:r>
      <w:r>
        <w:rPr>
          <w:rFonts w:ascii="Gadugi" w:hAnsi="Gadugi" w:eastAsia="Gadugi" w:cs="Gadugi"/>
        </w:rPr>
        <w:t>ᎢᎠᏆᏁᎬ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ᏅᏓᎦᎵᏍᏔᏂᏙᎲ</w:t>
      </w:r>
      <w:r>
        <w:rPr>
          <w:rFonts w:ascii="Times New Roman" w:hAnsi="Times New Roman" w:eastAsia="Times New Roman" w:cs="Times New Roman"/>
        </w:rPr>
        <w:t xml:space="preserve"> </w:t>
      </w:r>
      <w:r>
        <w:rPr>
          <w:rFonts w:ascii="Gadugi" w:hAnsi="Gadugi" w:eastAsia="Gadugi" w:cs="Gadugi"/>
        </w:rPr>
        <w:t>ᎦᎬᏩᏁᎵ</w:t>
      </w:r>
      <w:r>
        <w:rPr>
          <w:rFonts w:ascii="Times New Roman" w:hAnsi="Times New Roman" w:eastAsia="Times New Roman" w:cs="Times New Roman"/>
        </w:rPr>
        <w:t xml:space="preserve"> </w:t>
      </w:r>
      <w:r>
        <w:rPr>
          <w:rFonts w:ascii="Gadugi" w:hAnsi="Gadugi" w:eastAsia="Gadugi" w:cs="Gadugi"/>
        </w:rPr>
        <w:t>ᎠᏆᏁᎢᏍᏗ</w:t>
      </w:r>
      <w:r>
        <w:rPr>
          <w:rFonts w:ascii="Times New Roman" w:hAnsi="Times New Roman" w:eastAsia="Times New Roman" w:cs="Times New Roman"/>
        </w:rPr>
        <w:t xml:space="preserve">. </w:t>
      </w:r>
      <w:r>
        <w:rPr>
          <w:rFonts w:ascii="Gadugi" w:hAnsi="Gadugi" w:eastAsia="Gadugi" w:cs="Gadugi"/>
        </w:rPr>
        <w:t>ᎤᎬᏫᏳᎯᏃ</w:t>
      </w:r>
      <w:r>
        <w:rPr>
          <w:rFonts w:ascii="Times New Roman" w:hAnsi="Times New Roman" w:eastAsia="Times New Roman" w:cs="Times New Roman"/>
        </w:rPr>
        <w:t xml:space="preserve"> </w:t>
      </w:r>
      <w:r>
        <w:rPr>
          <w:rFonts w:ascii="Gadugi" w:hAnsi="Gadugi" w:eastAsia="Gadugi" w:cs="Gadugi"/>
        </w:rPr>
        <w:t>ᎠᏆᏁᏤᎴᎢ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ᎠᏆᏪᏎᎴᎢ</w:t>
      </w:r>
      <w:r>
        <w:rPr>
          <w:rFonts w:ascii="Times New Roman" w:hAnsi="Times New Roman" w:eastAsia="Times New Roman" w:cs="Times New Roman"/>
        </w:rPr>
        <w:t xml:space="preserve">, </w:t>
      </w:r>
      <w:r>
        <w:rPr>
          <w:rFonts w:ascii="Gadugi" w:hAnsi="Gadugi" w:eastAsia="Gadugi" w:cs="Gadugi"/>
        </w:rPr>
        <w:t>ᎭᏃᏪᎳ</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ᎯᏂᎬᏁᎸ</w:t>
      </w:r>
      <w:r>
        <w:rPr>
          <w:rFonts w:ascii="Times New Roman" w:hAnsi="Times New Roman" w:eastAsia="Times New Roman" w:cs="Times New Roman"/>
        </w:rPr>
        <w:t xml:space="preserve"> </w:t>
      </w:r>
      <w:r>
        <w:rPr>
          <w:rFonts w:ascii="Gadugi" w:hAnsi="Gadugi" w:eastAsia="Gadugi" w:cs="Gadugi"/>
        </w:rPr>
        <w:t>ᏧᎳᏅᏛ</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ᎦᏰᎵᎦ</w:t>
      </w:r>
      <w:r>
        <w:rPr>
          <w:rFonts w:ascii="Times New Roman" w:hAnsi="Times New Roman" w:eastAsia="Times New Roman" w:cs="Times New Roman"/>
        </w:rPr>
        <w:t xml:space="preserve"> </w:t>
      </w:r>
      <w:r>
        <w:rPr>
          <w:rFonts w:ascii="Gadugi" w:hAnsi="Gadugi" w:eastAsia="Gadugi" w:cs="Gadugi"/>
        </w:rPr>
        <w:t>ᎤᏪᏅ</w:t>
      </w:r>
      <w:r>
        <w:rPr>
          <w:rFonts w:ascii="Microsoft YaHei" w:hAnsi="Microsoft YaHei" w:eastAsia="Microsoft YaHei" w:cs="Microsoft YaHei"/>
        </w:rPr>
        <w:t>读</w:t>
      </w:r>
      <w:r>
        <w:rPr>
          <w:rFonts w:ascii="Gadugi" w:hAnsi="Gadugi" w:eastAsia="Gadugi" w:cs="Gadugi"/>
        </w:rPr>
        <w:t>ᏍᏗ</w:t>
      </w:r>
      <w:r>
        <w:rPr>
          <w:rFonts w:ascii="Times New Roman" w:hAnsi="Times New Roman" w:eastAsia="Times New Roman" w:cs="Times New Roman"/>
        </w:rPr>
        <w:t xml:space="preserve"> </w:t>
      </w:r>
      <w:r>
        <w:rPr>
          <w:rFonts w:ascii="Gadugi" w:hAnsi="Gadugi" w:eastAsia="Gadugi" w:cs="Gadugi"/>
        </w:rPr>
        <w:t>ᎤᏪᏥᏍᎨᏍᏗ</w:t>
      </w:r>
      <w:r>
        <w:rPr>
          <w:rFonts w:ascii="Times New Roman" w:hAnsi="Times New Roman" w:eastAsia="Times New Roman" w:cs="Times New Roman"/>
        </w:rPr>
        <w:t xml:space="preserve">. </w:t>
      </w:r>
      <w:r>
        <w:rPr>
          <w:rFonts w:ascii="Gadugi" w:hAnsi="Gadugi" w:eastAsia="Gadugi" w:cs="Gadugi"/>
        </w:rPr>
        <w:t>ᎤᏬᎯᏳᎯᏰᏃ</w:t>
      </w:r>
      <w:r>
        <w:rPr>
          <w:rFonts w:ascii="Times New Roman" w:hAnsi="Times New Roman" w:eastAsia="Times New Roman" w:cs="Times New Roman"/>
        </w:rPr>
        <w:t xml:space="preserve"> </w:t>
      </w:r>
      <w:r>
        <w:rPr>
          <w:rFonts w:ascii="Gadugi" w:hAnsi="Gadugi" w:eastAsia="Gadugi" w:cs="Gadugi"/>
        </w:rPr>
        <w:t>ᏙᏓᎦᎵᏍᏆᏛ</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ᎦᏬᏂᏍᎨᏍᏗ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ᏱᎦᏰᎪᎩ</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ᎤᏗᏱᏙᎭ</w:t>
      </w:r>
      <w:r>
        <w:rPr>
          <w:rFonts w:ascii="Times New Roman" w:hAnsi="Times New Roman" w:eastAsia="Times New Roman" w:cs="Times New Roman"/>
        </w:rPr>
        <w:t xml:space="preserve">, </w:t>
      </w:r>
      <w:r>
        <w:rPr>
          <w:rFonts w:ascii="Gadugi" w:hAnsi="Gadugi" w:eastAsia="Gadugi" w:cs="Gadugi"/>
        </w:rPr>
        <w:t>ᎯᎦᏘᏰᎸᎭ</w:t>
      </w:r>
      <w:r>
        <w:rPr>
          <w:rFonts w:ascii="Times New Roman" w:hAnsi="Times New Roman" w:eastAsia="Times New Roman" w:cs="Times New Roman"/>
        </w:rPr>
        <w:t xml:space="preserve">; </w:t>
      </w:r>
      <w:r>
        <w:rPr>
          <w:rFonts w:ascii="Gadugi" w:hAnsi="Gadugi" w:eastAsia="Gadugi" w:cs="Gadugi"/>
        </w:rPr>
        <w:t>ᎤᏙᎯᏳᎯᏰᏃ</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ᏓᎦᎷᏥ</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ᏱᎦᏗᏱᏙᎭ</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ᎤᏢᏉᏗᏍᎩ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ᏚᏓᏅᏛ</w:t>
      </w:r>
      <w:r>
        <w:rPr>
          <w:rFonts w:ascii="Times New Roman" w:hAnsi="Times New Roman" w:eastAsia="Times New Roman" w:cs="Times New Roman"/>
        </w:rPr>
        <w:t xml:space="preserve"> </w:t>
      </w:r>
      <w:r>
        <w:rPr>
          <w:rFonts w:ascii="Gadugi" w:hAnsi="Gadugi" w:eastAsia="Gadugi" w:cs="Gadugi"/>
        </w:rPr>
        <w:t>ᏱᏚᏳᎪᏗ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ᎠᏥᏯᎠ</w:t>
      </w:r>
      <w:r>
        <w:rPr>
          <w:rFonts w:ascii="Times New Roman" w:hAnsi="Times New Roman" w:eastAsia="Times New Roman" w:cs="Times New Roman"/>
        </w:rPr>
        <w:t xml:space="preserve">; </w:t>
      </w:r>
      <w:r>
        <w:rPr>
          <w:rFonts w:ascii="Gadugi" w:hAnsi="Gadugi" w:eastAsia="Gadugi" w:cs="Gadugi"/>
        </w:rPr>
        <w:t>ᎤᏓᏅᏘᏍᎩᏂ</w:t>
      </w:r>
      <w:r>
        <w:rPr>
          <w:rFonts w:ascii="Times New Roman" w:hAnsi="Times New Roman" w:eastAsia="Times New Roman" w:cs="Times New Roman"/>
        </w:rPr>
        <w:t xml:space="preserve"> </w:t>
      </w:r>
      <w:r>
        <w:rPr>
          <w:rFonts w:ascii="Gadugi" w:hAnsi="Gadugi" w:eastAsia="Gadugi" w:cs="Gadugi"/>
        </w:rPr>
        <w:t>ᏓᏳᏲᎯᎯ</w:t>
      </w:r>
      <w:r>
        <w:rPr>
          <w:rFonts w:ascii="Times New Roman" w:hAnsi="Times New Roman" w:eastAsia="Times New Roman" w:cs="Times New Roman"/>
        </w:rPr>
        <w:t xml:space="preserve"> </w:t>
      </w:r>
      <w:r>
        <w:rPr>
          <w:rFonts w:ascii="Gadugi" w:hAnsi="Gadugi" w:eastAsia="Gadugi" w:cs="Gadugi"/>
        </w:rPr>
        <w:t>ᎤᏙᎯᏳᎯᏒ</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«احتى رِڠ 1842، اراهن يڠ دأعطكن دالم نبوءت اين اونتوق “منوليسكن ڤڠليهتن ايتو، دان منجاديكنڽ جلس دأتس ڤاپن-ڤاپن، سوڤاي أوروڠ يڠ ممباچانيا بوليه برلاري” تله منچتوسكن كڤد چارلس فيتش ڤرسياڤن سواتو چارت نبوءت باݢي مڠݢمبركن ڤڠليهتن-ڤڠليهتن دانيال دان وحي. ڤنربيتن چارت اين دڠڬڤ سباݢاي ڤمهنوان ڤرنتاه يڠ دأعطكن ملالوي حبقوق. نامون دميكين، تياد سسياڤا ڤون ڤد وقتو ايتو منيدري بهاوا سواتو ڤنونداءن يڠ كلهاتن دالم ڤلاقسانأن ڤڠليهتن ايتو—سواتو مس تڠݢوه—ديكموكاكن دالم نبوءت يڠ سام. سلڤس كچهواان ايتو، ناص اين كلهاتن امت برمقنا: “كران ڤڠليهتن ايتو ماسيه اونتوق سواتو وقتو يڠ تله دتتڤكن، تتاڤي ڤد اخيرڽ اكن برچاكڤ، دان تيدق اكن بردوستا؛ سكاليفون اي ترتڠݢوه، تنتيكنله اي؛ كرانه اي ڤستي اكن داتڠ، اي تيدق اكن برلاما-لاما…. أورڠ بنار اكن هيدوڤ اوليه ايمانڽ.” The Great Controversy, 391, 392.</w:t>
      </w:r>
    </w:p>
    <w:p>
      <w:pPr>
        <w:pStyle w:val="ArticleBody"/>
        <w:jc w:val="left"/>
      </w:pP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የሐበቁቅ</w:t>
      </w:r>
      <w:r>
        <w:rPr>
          <w:rFonts w:ascii="Times New Roman" w:hAnsi="Times New Roman" w:eastAsia="Times New Roman" w:cs="Times New Roman"/>
        </w:rPr>
        <w:t xml:space="preserve"> </w:t>
      </w:r>
      <w:r>
        <w:rPr>
          <w:rFonts w:ascii="Ebrima" w:hAnsi="Ebrima" w:eastAsia="Ebrima" w:cs="Ebrima"/>
        </w:rPr>
        <w:t>ሰሌዳዎች</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ለማጽናት</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መቅረብ</w:t>
      </w:r>
      <w:r>
        <w:rPr>
          <w:rFonts w:ascii="Times New Roman" w:hAnsi="Times New Roman" w:eastAsia="Times New Roman" w:cs="Times New Roman"/>
        </w:rPr>
        <w:t xml:space="preserve"> </w:t>
      </w:r>
      <w:r>
        <w:rPr>
          <w:rFonts w:ascii="Ebrima" w:hAnsi="Ebrima" w:eastAsia="Ebrima" w:cs="Ebrima"/>
        </w:rPr>
        <w:t>አለባቸው።</w:t>
      </w:r>
    </w:p>
    <w:p>
      <w:pPr>
        <w:pStyle w:val="ArticleScripture"/>
        <w:jc w:val="left"/>
      </w:pPr>
      <w:r>
        <w:rPr>
          <w:rFonts w:ascii="Times New Roman" w:hAnsi="Times New Roman" w:eastAsia="Times New Roman" w:cs="Times New Roman"/>
        </w:rPr>
        <w:t>Lli añsotat e ya ma’ab u yúuyikech, k’aabet a wetiktech jun wa ka’atúul yaan máax, uti’al ti’ u chi’ tu cha’an wa óoxp’éel testigo’obo’ tuláakal t’aan ku ts’áabal ti’ uts. Mateo 18:16.</w:t>
      </w:r>
    </w:p>
    <w:p>
      <w:pPr>
        <w:pStyle w:val="ArticleBody"/>
        <w:jc w:val="left"/>
      </w:pPr>
      <w:r>
        <w:rPr>
          <w:rFonts w:ascii="Times New Roman" w:hAnsi="Times New Roman" w:eastAsia="Times New Roman" w:cs="Times New Roman"/>
        </w:rPr>
        <w:t>نيلَڤاكُّم دو لوحو (ݢامبر راجح ڤراينتيس 1843 دان 1850) دتاڤقکن ساتو سام لاٴين، کدوا-دوأنيا منݢسحکن کبنارن يڠ منجادي پرمات-پرمات ميمڤي ميللر. کسيلڤن 1843، يڠ دݢمبَرکن دأتس لوحو يڠ ڤرتام، اڤابيلا دتاڤقکن دڠن لوحو يڠ کدوا، منتاڤکن ماس تَرِّيڠ ڤڠليهتن ايتو. ميللر (ڤڠاول سمبوليك باݢي سجاره ايتو) برتاني اڤا يڠ هاروس ديکاتاکنه سماس دبيت سجاره‌ڽ.</w:t>
      </w:r>
    </w:p>
    <w:p>
      <w:pPr>
        <w:pStyle w:val="ArticleScripture"/>
        <w:jc w:val="left"/>
      </w:pPr>
      <w:r>
        <w:rPr>
          <w:rFonts w:ascii="Times New Roman" w:hAnsi="Times New Roman" w:eastAsia="Times New Roman" w:cs="Times New Roman"/>
        </w:rPr>
        <w:t>Naxa dhaabadha eegmadayda, oo waxaan isa saari doonaa munaaradda, oo waan fiirin doonaa inaan arko waxa uu igu odhan doono, iyo waxa aan kaga jawaabi doono markaan canaanto. Xabaquuq 2:1.</w:t>
      </w:r>
    </w:p>
    <w:p>
      <w:pPr>
        <w:pStyle w:val="ArticleBody"/>
        <w:jc w:val="left"/>
      </w:pP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ሚለርን</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እንዲጽፍ</w:t>
      </w:r>
      <w:r>
        <w:rPr>
          <w:rFonts w:ascii="Times New Roman" w:hAnsi="Times New Roman" w:eastAsia="Times New Roman" w:cs="Times New Roman"/>
        </w:rPr>
        <w:t xml:space="preserve"> </w:t>
      </w:r>
      <w:r>
        <w:rPr>
          <w:rFonts w:ascii="Ebrima" w:hAnsi="Ebrima" w:eastAsia="Ebrima" w:cs="Ebrima"/>
        </w:rPr>
        <w:t>አዘዘው፤</w:t>
      </w:r>
      <w:r>
        <w:rPr>
          <w:rFonts w:ascii="Times New Roman" w:hAnsi="Times New Roman" w:eastAsia="Times New Roman" w:cs="Times New Roman"/>
        </w:rPr>
        <w:t xml:space="preserve"> </w:t>
      </w:r>
      <w:r>
        <w:rPr>
          <w:rFonts w:ascii="Ebrima" w:hAnsi="Ebrima" w:eastAsia="Ebrima" w:cs="Ebrima"/>
        </w:rPr>
        <w:t>በሕልሙም</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የያዘውን</w:t>
      </w:r>
      <w:r>
        <w:rPr>
          <w:rFonts w:ascii="Times New Roman" w:hAnsi="Times New Roman" w:eastAsia="Times New Roman" w:cs="Times New Roman"/>
        </w:rPr>
        <w:t xml:space="preserve"> </w:t>
      </w:r>
      <w:r>
        <w:rPr>
          <w:rFonts w:ascii="Ebrima" w:hAnsi="Ebrima" w:eastAsia="Ebrima" w:cs="Ebrima"/>
        </w:rPr>
        <w:t>ሣጥን</w:t>
      </w:r>
      <w:r>
        <w:rPr>
          <w:rFonts w:ascii="Times New Roman" w:hAnsi="Times New Roman" w:eastAsia="Times New Roman" w:cs="Times New Roman"/>
        </w:rPr>
        <w:t xml:space="preserve"> </w:t>
      </w:r>
      <w:r>
        <w:rPr>
          <w:rFonts w:ascii="Ebrima" w:hAnsi="Ebrima" w:eastAsia="Ebrima" w:cs="Ebrima"/>
        </w:rPr>
        <w:t>በክፍሉ</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ጠረጴዛ</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አኖረው።</w:t>
      </w:r>
    </w:p>
    <w:p>
      <w:pPr>
        <w:pStyle w:val="ArticleScripture"/>
        <w:jc w:val="left"/>
      </w:pPr>
      <w:r>
        <w:rPr>
          <w:rFonts w:ascii="Times New Roman" w:hAnsi="Times New Roman" w:eastAsia="Times New Roman" w:cs="Times New Roman"/>
        </w:rPr>
        <w:t>مار اَی مُکا جواب دیئم تہ ونان: رویاہ لکھیو، تہ اَس پَٹِکَن ہدصاف کرِو، تاکہ یِمَس اَس پَڑھِو، سُہ دَوِتھ ہیکِو۔ حبقوق 2:2۔</w:t>
      </w:r>
    </w:p>
    <w:p>
      <w:pPr>
        <w:pStyle w:val="ArticleBody"/>
        <w:jc w:val="left"/>
      </w:pPr>
      <w:r>
        <w:rPr>
          <w:rFonts w:ascii="Times New Roman" w:hAnsi="Times New Roman" w:eastAsia="Times New Roman" w:cs="Times New Roman"/>
        </w:rPr>
        <w:t>Dë tabilt nak ën jël yic bï tarriŋ thïn, ku bï yic cïën kɔk kɛ dït.</w:t>
      </w:r>
    </w:p>
    <w:p>
      <w:pPr>
        <w:pStyle w:val="ArticleScripture"/>
        <w:jc w:val="left"/>
      </w:pPr>
      <w:r>
        <w:rPr>
          <w:rFonts w:ascii="Times New Roman" w:hAnsi="Times New Roman" w:eastAsia="Times New Roman" w:cs="Times New Roman"/>
        </w:rPr>
        <w:t>Yokuroramó arépa guaránte ñemongeta; ipahápe oñeʼẽta ha ndijapumoʼãi. Oñembotapykue ramo jepe, ehaʼarõke chupe; añetehápe oukóta, ndahiʼaréi moʼãi. Habacuc 2:3.</w:t>
      </w:r>
    </w:p>
    <w:p>
      <w:pPr>
        <w:pStyle w:val="ArticleBody"/>
        <w:jc w:val="left"/>
      </w:pPr>
      <w:r>
        <w:rPr>
          <w:rFonts w:ascii="Times New Roman" w:hAnsi="Times New Roman" w:eastAsia="Times New Roman" w:cs="Times New Roman"/>
        </w:rPr>
        <w:t>Axtarışın artması ilə (Millerin cəvahiratı) ortaya çıxan üçmərhələli sınaq prosesi daha sonra təsvir olunur.</w:t>
      </w:r>
    </w:p>
    <w:p>
      <w:pPr>
        <w:pStyle w:val="ArticleScripture"/>
        <w:jc w:val="left"/>
      </w:pPr>
      <w:r>
        <w:rPr>
          <w:rFonts w:ascii="Times New Roman" w:hAnsi="Times New Roman" w:eastAsia="Times New Roman" w:cs="Times New Roman"/>
        </w:rPr>
        <w:t>Mira, su alma envanecida no es recta dentro de él; mas el justo por su fe vivirá. Habacuc 2:4.</w:t>
      </w:r>
    </w:p>
    <w:p>
      <w:pPr>
        <w:pStyle w:val="ArticleBody"/>
        <w:jc w:val="left"/>
      </w:pPr>
      <w:r>
        <w:rPr>
          <w:rFonts w:ascii="Times New Roman" w:hAnsi="Times New Roman" w:eastAsia="Times New Roman" w:cs="Times New Roman"/>
        </w:rPr>
        <w:t>Na ngàllo yu ñaari yi di jaamu Yàlla, dinañu feeñ ci jéego nattu gi nekk ci Daniel, sàppit bu fukk ak ñaar.</w:t>
      </w:r>
    </w:p>
    <w:p>
      <w:pPr>
        <w:pStyle w:val="ArticleScripture"/>
        <w:jc w:val="left"/>
      </w:pPr>
      <w:r>
        <w:rPr>
          <w:rFonts w:ascii="Times New Roman" w:hAnsi="Times New Roman" w:eastAsia="Times New Roman" w:cs="Times New Roman"/>
        </w:rPr>
        <w:t>Agogo, fa no kwan, Daniel; efisɛ wɔato nsɛm no mu na wɔasɔ ano akosi awiei bere no. Wɔbɛhohoro bebree, na wɔbɛyɛ wɔn fitaa, na wɔasɔ wɔn ahwɛ; na amumɔyɛfo de, wɔbɛyɛ amumɔyɛ; na amumɔyɛfo no mu biara rente ase; na anyansafo de, wɔbɛte ase. Daniel 12:9, 10.</w:t>
      </w:r>
    </w:p>
    <w:p>
      <w:pPr>
        <w:pStyle w:val="ArticleBody"/>
        <w:jc w:val="left"/>
      </w:pPr>
      <w:r>
        <w:rPr>
          <w:rFonts w:ascii="Times New Roman" w:hAnsi="Times New Roman" w:eastAsia="Times New Roman" w:cs="Times New Roman"/>
        </w:rPr>
        <w:t>دانیال کے دانا وہی متی پچیس کی عقلمند کنواریاں ہیں جو ایمان کے وسیلہ سے راست باز ٹھہرائی گئیں، اور شریر وہی نادان کنواریاں تھیں جو غرور میں پھول اٹھیں۔ ملر کے خواب کے آخر میں، جواہرات دس کنواریوں کی تمثیل کے تیل کی نمائندگی کرتے ہیں، اور وہی پیغام تھا۔</w:t>
      </w:r>
    </w:p>
    <w:p>
      <w:pPr>
        <w:pStyle w:val="ArticleScripture"/>
        <w:jc w:val="left"/>
      </w:pPr>
      <w:r>
        <w:rPr>
          <w:rFonts w:ascii="Times New Roman" w:hAnsi="Times New Roman" w:eastAsia="Times New Roman" w:cs="Times New Roman"/>
        </w:rPr>
        <w:t>“</w:t>
      </w:r>
      <w:r>
        <w:rPr>
          <w:rFonts w:ascii="Nirmala UI" w:hAnsi="Nirmala UI" w:eastAsia="Nirmala UI" w:cs="Nirmala UI"/>
        </w:rPr>
        <w:t>౧౦౦</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పంపు</w:t>
      </w:r>
      <w:r>
        <w:rPr>
          <w:rFonts w:ascii="Times New Roman" w:hAnsi="Times New Roman" w:eastAsia="Times New Roman" w:cs="Times New Roman"/>
        </w:rPr>
        <w:t xml:space="preserve"> </w:t>
      </w:r>
      <w:r>
        <w:rPr>
          <w:rFonts w:ascii="Nirmala UI" w:hAnsi="Nirmala UI" w:eastAsia="Nirmala UI" w:cs="Nirmala UI"/>
        </w:rPr>
        <w:t>సమాచారములను</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స్వీకరించనప్పుడు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అవమానింపబడుచున్నాడు</w:t>
      </w:r>
      <w:r>
        <w:rPr>
          <w:rFonts w:ascii="Times New Roman" w:hAnsi="Times New Roman" w:eastAsia="Times New Roman" w:cs="Times New Roman"/>
        </w:rPr>
        <w:t xml:space="preserve">. </w:t>
      </w:r>
      <w:r>
        <w:rPr>
          <w:rFonts w:ascii="Nirmala UI" w:hAnsi="Nirmala UI" w:eastAsia="Nirmala UI" w:cs="Nirmala UI"/>
        </w:rPr>
        <w:t>అట్లయితే</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చీకటిలోనున్నవారికి</w:t>
      </w:r>
      <w:r>
        <w:rPr>
          <w:rFonts w:ascii="Times New Roman" w:hAnsi="Times New Roman" w:eastAsia="Times New Roman" w:cs="Times New Roman"/>
        </w:rPr>
        <w:t xml:space="preserve"> </w:t>
      </w:r>
      <w:r>
        <w:rPr>
          <w:rFonts w:ascii="Nirmala UI" w:hAnsi="Nirmala UI" w:eastAsia="Nirmala UI" w:cs="Nirmala UI"/>
        </w:rPr>
        <w:t>చేరవేయబడునట్లు</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ఆత్మలలో</w:t>
      </w:r>
      <w:r>
        <w:rPr>
          <w:rFonts w:ascii="Times New Roman" w:hAnsi="Times New Roman" w:eastAsia="Times New Roman" w:cs="Times New Roman"/>
        </w:rPr>
        <w:t xml:space="preserve"> </w:t>
      </w:r>
      <w:r>
        <w:rPr>
          <w:rFonts w:ascii="Nirmala UI" w:hAnsi="Nirmala UI" w:eastAsia="Nirmala UI" w:cs="Nirmala UI"/>
        </w:rPr>
        <w:t>కుమ్మరించుదలచిన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సువర్ణ</w:t>
      </w:r>
      <w:r>
        <w:rPr>
          <w:rFonts w:ascii="Times New Roman" w:hAnsi="Times New Roman" w:eastAsia="Times New Roman" w:cs="Times New Roman"/>
        </w:rPr>
        <w:t xml:space="preserve"> </w:t>
      </w:r>
      <w:r>
        <w:rPr>
          <w:rFonts w:ascii="Nirmala UI" w:hAnsi="Nirmala UI" w:eastAsia="Nirmala UI" w:cs="Nirmala UI"/>
        </w:rPr>
        <w:t>తైలమును</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నిరాకరించుచున్నాము</w:t>
      </w:r>
      <w:r>
        <w:rPr>
          <w:rFonts w:ascii="Times New Roman" w:hAnsi="Times New Roman" w:eastAsia="Times New Roman" w:cs="Times New Roman"/>
        </w:rPr>
        <w:t>. ‘</w:t>
      </w:r>
      <w:r>
        <w:rPr>
          <w:rFonts w:ascii="Nirmala UI" w:hAnsi="Nirmala UI" w:eastAsia="Nirmala UI" w:cs="Nirmala UI"/>
        </w:rPr>
        <w:t>ఇదిగో</w:t>
      </w:r>
      <w:r>
        <w:rPr>
          <w:rFonts w:ascii="Times New Roman" w:hAnsi="Times New Roman" w:eastAsia="Times New Roman" w:cs="Times New Roman"/>
        </w:rPr>
        <w:t xml:space="preserve">, </w:t>
      </w:r>
      <w:r>
        <w:rPr>
          <w:rFonts w:ascii="Nirmala UI" w:hAnsi="Nirmala UI" w:eastAsia="Nirmala UI" w:cs="Nirmala UI"/>
        </w:rPr>
        <w:t>వరుడు</w:t>
      </w:r>
      <w:r>
        <w:rPr>
          <w:rFonts w:ascii="Times New Roman" w:hAnsi="Times New Roman" w:eastAsia="Times New Roman" w:cs="Times New Roman"/>
        </w:rPr>
        <w:t xml:space="preserve"> </w:t>
      </w:r>
      <w:r>
        <w:rPr>
          <w:rFonts w:ascii="Nirmala UI" w:hAnsi="Nirmala UI" w:eastAsia="Nirmala UI" w:cs="Nirmala UI"/>
        </w:rPr>
        <w:t>వచ్చుచున్నాడు</w:t>
      </w:r>
      <w:r>
        <w:rPr>
          <w:rFonts w:ascii="Times New Roman" w:hAnsi="Times New Roman" w:eastAsia="Times New Roman" w:cs="Times New Roman"/>
        </w:rPr>
        <w:t xml:space="preserve">; </w:t>
      </w:r>
      <w:r>
        <w:rPr>
          <w:rFonts w:ascii="Nirmala UI" w:hAnsi="Nirmala UI" w:eastAsia="Nirmala UI" w:cs="Nirmala UI"/>
        </w:rPr>
        <w:t>ఆయనను</w:t>
      </w:r>
      <w:r>
        <w:rPr>
          <w:rFonts w:ascii="Times New Roman" w:hAnsi="Times New Roman" w:eastAsia="Times New Roman" w:cs="Times New Roman"/>
        </w:rPr>
        <w:t xml:space="preserve"> </w:t>
      </w:r>
      <w:r>
        <w:rPr>
          <w:rFonts w:ascii="Nirmala UI" w:hAnsi="Nirmala UI" w:eastAsia="Nirmala UI" w:cs="Nirmala UI"/>
        </w:rPr>
        <w:t>ఎదుర్కొనుటకు</w:t>
      </w:r>
      <w:r>
        <w:rPr>
          <w:rFonts w:ascii="Times New Roman" w:hAnsi="Times New Roman" w:eastAsia="Times New Roman" w:cs="Times New Roman"/>
        </w:rPr>
        <w:t xml:space="preserve"> </w:t>
      </w:r>
      <w:r>
        <w:rPr>
          <w:rFonts w:ascii="Nirmala UI" w:hAnsi="Nirmala UI" w:eastAsia="Nirmala UI" w:cs="Nirmala UI"/>
        </w:rPr>
        <w:t>బయటికి</w:t>
      </w:r>
      <w:r>
        <w:rPr>
          <w:rFonts w:ascii="Times New Roman" w:hAnsi="Times New Roman" w:eastAsia="Times New Roman" w:cs="Times New Roman"/>
        </w:rPr>
        <w:t xml:space="preserve"> </w:t>
      </w:r>
      <w:r>
        <w:rPr>
          <w:rFonts w:ascii="Nirmala UI" w:hAnsi="Nirmala UI" w:eastAsia="Nirmala UI" w:cs="Nirmala UI"/>
        </w:rPr>
        <w:t>వెలువడుడి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పిలుపు</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తైలమును</w:t>
      </w:r>
      <w:r>
        <w:rPr>
          <w:rFonts w:ascii="Times New Roman" w:hAnsi="Times New Roman" w:eastAsia="Times New Roman" w:cs="Times New Roman"/>
        </w:rPr>
        <w:t xml:space="preserve"> </w:t>
      </w:r>
      <w:r>
        <w:rPr>
          <w:rFonts w:ascii="Nirmala UI" w:hAnsi="Nirmala UI" w:eastAsia="Nirmala UI" w:cs="Nirmala UI"/>
        </w:rPr>
        <w:t>స్వీకరింపని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హృదయములలో</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కృపను</w:t>
      </w:r>
      <w:r>
        <w:rPr>
          <w:rFonts w:ascii="Times New Roman" w:hAnsi="Times New Roman" w:eastAsia="Times New Roman" w:cs="Times New Roman"/>
        </w:rPr>
        <w:t xml:space="preserve"> </w:t>
      </w:r>
      <w:r>
        <w:rPr>
          <w:rFonts w:ascii="Nirmala UI" w:hAnsi="Nirmala UI" w:eastAsia="Nirmala UI" w:cs="Nirmala UI"/>
        </w:rPr>
        <w:t>పోషింపని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మూర్ఖ</w:t>
      </w:r>
      <w:r>
        <w:rPr>
          <w:rFonts w:ascii="Times New Roman" w:hAnsi="Times New Roman" w:eastAsia="Times New Roman" w:cs="Times New Roman"/>
        </w:rPr>
        <w:t xml:space="preserve"> </w:t>
      </w:r>
      <w:r>
        <w:rPr>
          <w:rFonts w:ascii="Nirmala UI" w:hAnsi="Nirmala UI" w:eastAsia="Nirmala UI" w:cs="Nirmala UI"/>
        </w:rPr>
        <w:t>కన్యకలవలె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ప్రభువును</w:t>
      </w:r>
      <w:r>
        <w:rPr>
          <w:rFonts w:ascii="Times New Roman" w:hAnsi="Times New Roman" w:eastAsia="Times New Roman" w:cs="Times New Roman"/>
        </w:rPr>
        <w:t xml:space="preserve"> </w:t>
      </w:r>
      <w:r>
        <w:rPr>
          <w:rFonts w:ascii="Nirmala UI" w:hAnsi="Nirmala UI" w:eastAsia="Nirmala UI" w:cs="Nirmala UI"/>
        </w:rPr>
        <w:t>ఎదుర్కొనుటకు</w:t>
      </w:r>
      <w:r>
        <w:rPr>
          <w:rFonts w:ascii="Times New Roman" w:hAnsi="Times New Roman" w:eastAsia="Times New Roman" w:cs="Times New Roman"/>
        </w:rPr>
        <w:t xml:space="preserve"> </w:t>
      </w:r>
      <w:r>
        <w:rPr>
          <w:rFonts w:ascii="Nirmala UI" w:hAnsi="Nirmala UI" w:eastAsia="Nirmala UI" w:cs="Nirmala UI"/>
        </w:rPr>
        <w:t>సిద్ధముగా</w:t>
      </w:r>
      <w:r>
        <w:rPr>
          <w:rFonts w:ascii="Times New Roman" w:hAnsi="Times New Roman" w:eastAsia="Times New Roman" w:cs="Times New Roman"/>
        </w:rPr>
        <w:t xml:space="preserve"> </w:t>
      </w:r>
      <w:r>
        <w:rPr>
          <w:rFonts w:ascii="Nirmala UI" w:hAnsi="Nirmala UI" w:eastAsia="Nirmala UI" w:cs="Nirmala UI"/>
        </w:rPr>
        <w:t>లేరని</w:t>
      </w:r>
      <w:r>
        <w:rPr>
          <w:rFonts w:ascii="Times New Roman" w:hAnsi="Times New Roman" w:eastAsia="Times New Roman" w:cs="Times New Roman"/>
        </w:rPr>
        <w:t xml:space="preserve"> </w:t>
      </w:r>
      <w:r>
        <w:rPr>
          <w:rFonts w:ascii="Nirmala UI" w:hAnsi="Nirmala UI" w:eastAsia="Nirmala UI" w:cs="Nirmala UI"/>
        </w:rPr>
        <w:t>గ్రహించుదురు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తైలమును</w:t>
      </w:r>
      <w:r>
        <w:rPr>
          <w:rFonts w:ascii="Times New Roman" w:hAnsi="Times New Roman" w:eastAsia="Times New Roman" w:cs="Times New Roman"/>
        </w:rPr>
        <w:t xml:space="preserve"> </w:t>
      </w:r>
      <w:r>
        <w:rPr>
          <w:rFonts w:ascii="Nirmala UI" w:hAnsi="Nirmala UI" w:eastAsia="Nirmala UI" w:cs="Nirmala UI"/>
        </w:rPr>
        <w:t>పొందుటకు</w:t>
      </w:r>
      <w:r>
        <w:rPr>
          <w:rFonts w:ascii="Times New Roman" w:hAnsi="Times New Roman" w:eastAsia="Times New Roman" w:cs="Times New Roman"/>
        </w:rPr>
        <w:t xml:space="preserve"> </w:t>
      </w:r>
      <w:r>
        <w:rPr>
          <w:rFonts w:ascii="Nirmala UI" w:hAnsi="Nirmala UI" w:eastAsia="Nirmala UI" w:cs="Nirmala UI"/>
        </w:rPr>
        <w:t>వారియందు</w:t>
      </w:r>
      <w:r>
        <w:rPr>
          <w:rFonts w:ascii="Times New Roman" w:hAnsi="Times New Roman" w:eastAsia="Times New Roman" w:cs="Times New Roman"/>
        </w:rPr>
        <w:t xml:space="preserve"> </w:t>
      </w:r>
      <w:r>
        <w:rPr>
          <w:rFonts w:ascii="Nirmala UI" w:hAnsi="Nirmala UI" w:eastAsia="Nirmala UI" w:cs="Nirmala UI"/>
        </w:rPr>
        <w:t>స్వయముగా</w:t>
      </w:r>
      <w:r>
        <w:rPr>
          <w:rFonts w:ascii="Times New Roman" w:hAnsi="Times New Roman" w:eastAsia="Times New Roman" w:cs="Times New Roman"/>
        </w:rPr>
        <w:t xml:space="preserve"> </w:t>
      </w:r>
      <w:r>
        <w:rPr>
          <w:rFonts w:ascii="Nirmala UI" w:hAnsi="Nirmala UI" w:eastAsia="Nirmala UI" w:cs="Nirmala UI"/>
        </w:rPr>
        <w:t>శక్తి</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జీవితములు</w:t>
      </w:r>
      <w:r>
        <w:rPr>
          <w:rFonts w:ascii="Times New Roman" w:hAnsi="Times New Roman" w:eastAsia="Times New Roman" w:cs="Times New Roman"/>
        </w:rPr>
        <w:t xml:space="preserve"> </w:t>
      </w:r>
      <w:r>
        <w:rPr>
          <w:rFonts w:ascii="Nirmala UI" w:hAnsi="Nirmala UI" w:eastAsia="Nirmala UI" w:cs="Nirmala UI"/>
        </w:rPr>
        <w:t>పాడైపోవును</w:t>
      </w:r>
      <w:r>
        <w:rPr>
          <w:rFonts w:ascii="Times New Roman" w:hAnsi="Times New Roman" w:eastAsia="Times New Roman" w:cs="Times New Roman"/>
        </w:rPr>
        <w:t>.” Review and Herald, July 20, 1897.</w:t>
      </w:r>
    </w:p>
    <w:p>
      <w:pPr>
        <w:pStyle w:val="ArticleBody"/>
        <w:jc w:val="left"/>
      </w:pPr>
      <w:r>
        <w:rPr>
          <w:rFonts w:ascii="Times New Roman" w:hAnsi="Times New Roman" w:eastAsia="Times New Roman" w:cs="Times New Roman"/>
        </w:rPr>
        <w:t>Maallimmi yeroo dhumaatti ifa isaanii dachaa kudhaniin caalaa ni ibsa; lakkoofsi kudhanis taʼe ifnis mallattoo qorumsaati. Yeroo dhumaatti, kan xumura abjuu Miller keessatti bakka bu’ame keessatti, ifni dhugaa kan gabateewwan Habakkuk irratti bakka bu’e ergaa qorumsaa ni uuma; innis fakkeenya durboota kudhanii keessatti akka ergaa Iyyi Halkan Giddugaleessaa ta’etti bakka bu’ameera. Adeemsi qorumsaa sun irra-deebii adeemsa qorumsaa seenaa Millerootaa ti; sababiin isaas fakkeenyi durboota kudhanii yeroo dhumaatti hanga qubee isaatti irra deebi’ama.</w:t>
      </w:r>
    </w:p>
    <w:p>
      <w:pPr>
        <w:pStyle w:val="ArticleScripture"/>
        <w:jc w:val="left"/>
      </w:pPr>
      <w:r>
        <w:rPr>
          <w:rFonts w:ascii="Times New Roman" w:hAnsi="Times New Roman" w:eastAsia="Times New Roman" w:cs="Times New Roman"/>
        </w:rPr>
        <w:t>“Ndzi tala ku kongomisiwa eka xifaniso xa vanhwanyana va khume, va ntlhanu va vona a va tlharihile, kutani va ntlhanu va ri swiphukuphuku. Xifaniso lexi xi hetisekile naswona xi ta hetiseka hi ku landza rito rin’wana ni rin’wana, hikuva xi ni ku tirhisiwa ko hlawuleka eka nkarhi lowu, naswona, ku fana ni rungula ra ntsumi ya vunharhu, xi hetisekile naswona xi ta ya emahlweni xi va ntiyiso wa nkarhi wa sweswi ku fikela emakumu ka nkarhi.” Review and Herald, August 19, 1890.</w:t>
      </w:r>
    </w:p>
    <w:p>
      <w:pPr>
        <w:pStyle w:val="ArticleBody"/>
        <w:jc w:val="left"/>
      </w:pPr>
      <w:r>
        <w:rPr>
          <w:rFonts w:ascii="Times New Roman" w:hAnsi="Times New Roman" w:eastAsia="Times New Roman" w:cs="Times New Roman"/>
        </w:rPr>
        <w:t>دە ئۆن آزماییشێکە، و لە کۆتایی دە ڕۆژدا دانیال و ئەو سێ بەڕێزە بە دیاریکراوی جوان‌تر و پڕتر بوون لەوانەی خواردنی بابلیان دەخوارد. ئەو لووتبەرزانەی کە لە حەبەقوق دا نیشان دراون و بە گومانپەروەری، نەک بە باوەڕ، ژیان دەکرد، خەسڵەتی بابل‌ـیان پەروەردە کرد. لە مێژووی میلەریدا بوون بە کچانی بابل، و لە حەبەقوق دا ئەو تایبەتمەندییە پێشبینیکراوانەی پاپایەتی بەکاردێنرێت بۆ ناساندنی خەسڵەتی ئەوانەی هەڵیان بژارد بە باوەڕ نەژین.</w:t>
      </w:r>
    </w:p>
    <w:p>
      <w:pPr>
        <w:pStyle w:val="ArticleScripture"/>
        <w:jc w:val="left"/>
      </w:pPr>
      <w:r>
        <w:rPr>
          <w:rFonts w:ascii="Times New Roman" w:hAnsi="Times New Roman" w:eastAsia="Times New Roman" w:cs="Times New Roman"/>
        </w:rPr>
        <w:t>Behold, áni yéego át'éego át'éii yáhoot'éego doo hólǫ́ǫ da; t'áá ajiłiiʼígíí t'áá íiyisí bee ííná. Aooʼ, dóó ałtsé, tsídiił nihichʼįʼ yáhoot'éego, bílaʼ ashkiih nisinígíí át'é, dóó kintahgóó dah naashá doo íiyisí atʼé da, niʼ hell bee hazʼą́ą́ʼígíí nihił bééhózinígíí biniiyé yáhootʼééłgo, dóó death bitsʼą́ą́dóó łikiz, dóó doo bílaʼ hashtłʼish da; tʼáá nihákees béésh bee tʼáá ałtso dineʼé, dóó tʼáá ałtso tʼááłáʼí ákótʼéego biyiʼ náhizhééł. Doo tʼáá ałtso díí biniiyé ałkʼidááʼ yinishyééł da, dóó hazhóʼógo biniiyé baa haneʼ yinishyééł, dóó hadishní, Hózhǫ́ǫgo dooleeł éí doodago nihá áníłʼį́į́ʼígíí, éí bitsʼą́ą́dóó nídoolkaahígíí! háádę́ę́ʼ? dóó ayóó ánílwoʼígíí tłʼóół bee éí bee bił yiłchxoshígíí! Doo áádóó tʼáá łahgo nídááshááhii nį́į́ʼ da, éí ní bitéego daʼdeeshʼaah, dóó nídááshááhii nį́į́ʼ da, éí ní yiká adeeshxí? dóó nihíjiʼígíí tʼáá nihaa hólǫ́ dooleeł. Áádóó tʼáá nihákees naaltsoos bikááʼ tʼáá ałtso naagháhígíí ní yáhootʼééłgo, tʼáá ałtso dineʼé bitah dah naaznilígíí nį́į́ʼ nihá nídoolkaah; dineʼé bił chʼééhjįʼ, dóó kintah bighan, kinaaldáhí, dóó tʼáá ałtso biyiʼ naagháhígíí bee biniinaa. Habakkuk 2:4–8.</w:t>
      </w:r>
    </w:p>
    <w:p>
      <w:pPr>
        <w:pStyle w:val="ArticleBody"/>
        <w:jc w:val="left"/>
      </w:pPr>
      <w:r>
        <w:rPr>
          <w:rFonts w:ascii="Ebrima" w:hAnsi="Ebrima" w:eastAsia="Ebrima" w:cs="Ebrima"/>
        </w:rPr>
        <w:t>የማቴዎስ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ድንግልናት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የመጣው</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ባሕርይን</w:t>
      </w:r>
      <w:r>
        <w:rPr>
          <w:rFonts w:ascii="Times New Roman" w:hAnsi="Times New Roman" w:eastAsia="Times New Roman" w:cs="Times New Roman"/>
        </w:rPr>
        <w:t xml:space="preserve"> </w:t>
      </w:r>
      <w:r>
        <w:rPr>
          <w:rFonts w:ascii="Ebrima" w:hAnsi="Ebrima" w:eastAsia="Ebrima" w:cs="Ebrima"/>
        </w:rPr>
        <w:t>ያዳበሩ</w:t>
      </w:r>
      <w:r>
        <w:rPr>
          <w:rFonts w:ascii="Times New Roman" w:hAnsi="Times New Roman" w:eastAsia="Times New Roman" w:cs="Times New Roman"/>
        </w:rPr>
        <w:t xml:space="preserve"> </w:t>
      </w:r>
      <w:r>
        <w:rPr>
          <w:rFonts w:ascii="Ebrima" w:hAnsi="Ebrima" w:eastAsia="Ebrima" w:cs="Ebrima"/>
        </w:rPr>
        <w:t>የአምልኮ</w:t>
      </w:r>
      <w:r>
        <w:rPr>
          <w:rFonts w:ascii="Times New Roman" w:hAnsi="Times New Roman" w:eastAsia="Times New Roman" w:cs="Times New Roman"/>
        </w:rPr>
        <w:t xml:space="preserve"> </w:t>
      </w:r>
      <w:r>
        <w:rPr>
          <w:rFonts w:ascii="Ebrima" w:hAnsi="Ebrima" w:eastAsia="Ebrima" w:cs="Ebrima"/>
        </w:rPr>
        <w:t>ሰጪዎችን</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ያፈራል፤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አሕዛብን</w:t>
      </w:r>
      <w:r>
        <w:rPr>
          <w:rFonts w:ascii="Times New Roman" w:hAnsi="Times New Roman" w:eastAsia="Times New Roman" w:cs="Times New Roman"/>
        </w:rPr>
        <w:t xml:space="preserve"> </w:t>
      </w:r>
      <w:r>
        <w:rPr>
          <w:rFonts w:ascii="Ebrima" w:hAnsi="Ebrima" w:eastAsia="Ebrima" w:cs="Ebrima"/>
        </w:rPr>
        <w:t>የዘረፈ</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ጳጳሳዊው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በድንገት</w:t>
      </w:r>
      <w:r>
        <w:rPr>
          <w:rFonts w:ascii="Times New Roman" w:hAnsi="Times New Roman" w:eastAsia="Times New Roman" w:cs="Times New Roman"/>
        </w:rPr>
        <w:t xml:space="preserve"> </w:t>
      </w:r>
      <w:r>
        <w:rPr>
          <w:rFonts w:ascii="Ebrima" w:hAnsi="Ebrima" w:eastAsia="Ebrima" w:cs="Ebrima"/>
        </w:rPr>
        <w:t>የሚነከሰው፣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ኤልዛቤልም</w:t>
      </w:r>
      <w:r>
        <w:rPr>
          <w:rFonts w:ascii="Times New Roman" w:hAnsi="Times New Roman" w:eastAsia="Times New Roman" w:cs="Times New Roman"/>
        </w:rPr>
        <w:t xml:space="preserve"> </w:t>
      </w:r>
      <w:r>
        <w:rPr>
          <w:rFonts w:ascii="Ebrima" w:hAnsi="Ebrima" w:eastAsia="Ebrima" w:cs="Ebrima"/>
        </w:rPr>
        <w:t>በውሾች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ተበላችው።</w:t>
      </w:r>
    </w:p>
    <w:p>
      <w:pPr>
        <w:pStyle w:val="ArticleScripture"/>
        <w:jc w:val="left"/>
      </w:pPr>
      <w:r>
        <w:rPr>
          <w:rFonts w:ascii="Times New Roman" w:hAnsi="Times New Roman" w:eastAsia="Times New Roman" w:cs="Times New Roman"/>
        </w:rPr>
        <w:t>Adonaay ni taama han: Eebba, gahe kagay si boro kaabo noorey ra, nda laama beeri foo ga tun ndunnya meeri meeri ra. I ga dii nda bow nda jonde; i ga sanda boro jannoo te, i si hin ka hinne cabe; i jinde ga hẽẽ sanda teeko; i ga huru bariizey ga, i ga soolu war se sanda wonga borey, yaa Siyoon ize wayboro. Ir n’a seeda maa; ir kambe ga laale: jooray n’iri dii, nda daaru sanda wayboro kaŋ ga hay. Ma si fatta saajoo ra, ma si dira fondo ra; zama ibali kaafaa nda hunburu ga goo nongu kul ra. Yaa ay jama ize wayboro, sinji buzu-buzu bankaaray nda taago, nda marga ni boodo ra: te ni boobo sanda baawi foo hinne se, hẽeni gaana kaŋ ga bisi kulu; zama halakakoono ga ka gaaba ga too ir ga. Jeremiah 6:22–26.</w:t>
      </w:r>
    </w:p>
    <w:p>
      <w:pPr>
        <w:pStyle w:val="ArticleBody"/>
        <w:jc w:val="left"/>
      </w:pPr>
      <w:r>
        <w:rPr>
          <w:rFonts w:ascii="Times New Roman" w:hAnsi="Times New Roman" w:eastAsia="Times New Roman" w:cs="Times New Roman"/>
        </w:rPr>
        <w:t>Habakkukpa iskay clasekunaqa fe nisqanrayku cheqanchasqa runakuna, chaymanta Babiloniapa yachachikuyninkunata mikhuspa ukyasqa runakunapas kanku. Millerpa musquyninpa qhepa p’unchayninkunapi, doncellakuna hina sut’ichasqa kaqkunaqa, ichaqa Cristopa caracterninta wiñachinku, chayhina Diospa sellonta chaskispa, utaq papadopa caracterninta wiñachinku, chayhinam bestiapa señalta chaskinku.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กาลเวลาได้มาถึงแล้วที่ความสว่างแท้จริงจะต้องส่องประกายท่ามกลางความมืดฝ่ายศีลธรรม</w:t>
      </w:r>
      <w:r>
        <w:rPr>
          <w:rFonts w:ascii="Times New Roman" w:hAnsi="Times New Roman" w:eastAsia="Times New Roman" w:cs="Times New Roman"/>
        </w:rPr>
        <w:t xml:space="preserve"> </w:t>
      </w:r>
      <w:r>
        <w:rPr>
          <w:rFonts w:ascii="Leelawadee UI" w:hAnsi="Leelawadee UI" w:eastAsia="Leelawadee UI" w:cs="Leelawadee UI"/>
        </w:rPr>
        <w:t>ข่าวสารของทูตสวรรค์องค์ที่สามได้ถูกประกาศออกไปสู่โลก</w:t>
      </w:r>
      <w:r>
        <w:rPr>
          <w:rFonts w:ascii="Times New Roman" w:hAnsi="Times New Roman" w:eastAsia="Times New Roman" w:cs="Times New Roman"/>
        </w:rPr>
        <w:t xml:space="preserve"> </w:t>
      </w:r>
      <w:r>
        <w:rPr>
          <w:rFonts w:ascii="Leelawadee UI" w:hAnsi="Leelawadee UI" w:eastAsia="Leelawadee UI" w:cs="Leelawadee UI"/>
        </w:rPr>
        <w:t>เพื่อเตือนมนุษย์ทั้งหลายมิให้รับเครื่องหมายของสัตว์ร้ายนั้นหรือของรูปของมันไว้ที่หน้าผากหรือที่มือของตน</w:t>
      </w:r>
      <w:r>
        <w:rPr>
          <w:rFonts w:ascii="Times New Roman" w:hAnsi="Times New Roman" w:eastAsia="Times New Roman" w:cs="Times New Roman"/>
        </w:rPr>
        <w:t xml:space="preserve"> </w:t>
      </w:r>
      <w:r>
        <w:rPr>
          <w:rFonts w:ascii="Leelawadee UI" w:hAnsi="Leelawadee UI" w:eastAsia="Leelawadee UI" w:cs="Leelawadee UI"/>
        </w:rPr>
        <w:t>การรับเครื่องหมายนั้นหมายถึงการมาถึงข้อวินิจฉัยเดียวกันกับที่สัตว์ร้ายได้กระทำ</w:t>
      </w:r>
      <w:r>
        <w:rPr>
          <w:rFonts w:ascii="Times New Roman" w:hAnsi="Times New Roman" w:eastAsia="Times New Roman" w:cs="Times New Roman"/>
        </w:rPr>
        <w:t xml:space="preserve"> </w:t>
      </w:r>
      <w:r>
        <w:rPr>
          <w:rFonts w:ascii="Leelawadee UI" w:hAnsi="Leelawadee UI" w:eastAsia="Leelawadee UI" w:cs="Leelawadee UI"/>
        </w:rPr>
        <w:t>และการสนับสนุนแนวคิดเดียวกันนั้น</w:t>
      </w:r>
      <w:r>
        <w:rPr>
          <w:rFonts w:ascii="Times New Roman" w:hAnsi="Times New Roman" w:eastAsia="Times New Roman" w:cs="Times New Roman"/>
        </w:rPr>
        <w:t xml:space="preserve"> </w:t>
      </w:r>
      <w:r>
        <w:rPr>
          <w:rFonts w:ascii="Leelawadee UI" w:hAnsi="Leelawadee UI" w:eastAsia="Leelawadee UI" w:cs="Leelawadee UI"/>
        </w:rPr>
        <w:t>อันเป็นการต่อต้านพระวจนะของพระเจ้าโดยตรง</w:t>
      </w:r>
      <w:r>
        <w:rPr>
          <w:rFonts w:ascii="Times New Roman" w:hAnsi="Times New Roman" w:eastAsia="Times New Roman" w:cs="Times New Roman"/>
        </w:rPr>
        <w:t xml:space="preserve"> </w:t>
      </w:r>
      <w:r>
        <w:rPr>
          <w:rFonts w:ascii="Leelawadee UI" w:hAnsi="Leelawadee UI" w:eastAsia="Leelawadee UI" w:cs="Leelawadee UI"/>
        </w:rPr>
        <w:t>พระเจ้าตรัสถึงบรรดาผู้ที่รับเครื่องหมายนั้นว่า</w:t>
      </w:r>
      <w:r>
        <w:rPr>
          <w:rFonts w:ascii="Times New Roman" w:hAnsi="Times New Roman" w:eastAsia="Times New Roman" w:cs="Times New Roman"/>
        </w:rPr>
        <w:t xml:space="preserve"> ‘</w:t>
      </w:r>
      <w:r>
        <w:rPr>
          <w:rFonts w:ascii="Leelawadee UI" w:hAnsi="Leelawadee UI" w:eastAsia="Leelawadee UI" w:cs="Leelawadee UI"/>
        </w:rPr>
        <w:t>ผู้นั้นจะต้องดื่มเหล้าองุ่นแห่งพระพิโรธของพระเจ้า</w:t>
      </w:r>
      <w:r>
        <w:rPr>
          <w:rFonts w:ascii="Times New Roman" w:hAnsi="Times New Roman" w:eastAsia="Times New Roman" w:cs="Times New Roman"/>
        </w:rPr>
        <w:t xml:space="preserve"> </w:t>
      </w:r>
      <w:r>
        <w:rPr>
          <w:rFonts w:ascii="Leelawadee UI" w:hAnsi="Leelawadee UI" w:eastAsia="Leelawadee UI" w:cs="Leelawadee UI"/>
        </w:rPr>
        <w:t>ซึ่งเทลงไว้โดยไม่เจือปนในถ้วยแห่งความกริ้วของพระองค์</w:t>
      </w:r>
      <w:r>
        <w:rPr>
          <w:rFonts w:ascii="Times New Roman" w:hAnsi="Times New Roman" w:eastAsia="Times New Roman" w:cs="Times New Roman"/>
        </w:rPr>
        <w:t xml:space="preserve"> </w:t>
      </w:r>
      <w:r>
        <w:rPr>
          <w:rFonts w:ascii="Leelawadee UI" w:hAnsi="Leelawadee UI" w:eastAsia="Leelawadee UI" w:cs="Leelawadee UI"/>
        </w:rPr>
        <w:t>และเขาจะต้องถูกทรมานด้วยไฟและกำมะถันต่อหน้าทูตสวรรค์บริสุทธิ์ทั้งหลาย</w:t>
      </w:r>
      <w:r>
        <w:rPr>
          <w:rFonts w:ascii="Times New Roman" w:hAnsi="Times New Roman" w:eastAsia="Times New Roman" w:cs="Times New Roman"/>
        </w:rPr>
        <w:t xml:space="preserve"> </w:t>
      </w:r>
      <w:r>
        <w:rPr>
          <w:rFonts w:ascii="Leelawadee UI" w:hAnsi="Leelawadee UI" w:eastAsia="Leelawadee UI" w:cs="Leelawadee UI"/>
        </w:rPr>
        <w:t>และต่อพระพักตร์พระเมษโปดก</w:t>
      </w:r>
      <w:r>
        <w:rPr>
          <w:rFonts w:ascii="Times New Roman" w:hAnsi="Times New Roman" w:eastAsia="Times New Roman" w:cs="Times New Roman"/>
        </w:rPr>
        <w:t>’” Review and Herald, July 13, 1897.</w:t>
      </w:r>
    </w:p>
    <w:p>
      <w:pPr>
        <w:pStyle w:val="ArticleBody"/>
        <w:jc w:val="left"/>
      </w:pP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ᎤᏂᏔᎵᏍᏔᏅ</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ᎤᎵᏍᏈᎸ</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ᎤᏂᏔᎵᏍᏔᏅ</w:t>
      </w:r>
      <w:r>
        <w:rPr>
          <w:rFonts w:ascii="Times New Roman" w:hAnsi="Times New Roman" w:eastAsia="Times New Roman" w:cs="Times New Roman"/>
        </w:rPr>
        <w:t xml:space="preserve"> </w:t>
      </w:r>
      <w:r>
        <w:rPr>
          <w:rFonts w:ascii="Gadugi" w:hAnsi="Gadugi" w:eastAsia="Gadugi" w:cs="Gadugi"/>
        </w:rPr>
        <w:t>ᎤᎵᏍᏈᎸ</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ᎤᏂᏔᎵᏍᏔᏅ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ᎤᏔᎿᎭᎸ</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ᏓᏂᏔᎵᏍᏔᏂ</w:t>
      </w:r>
      <w:r>
        <w:rPr>
          <w:rFonts w:ascii="Times New Roman" w:hAnsi="Times New Roman" w:eastAsia="Times New Roman" w:cs="Times New Roman"/>
        </w:rPr>
        <w:t xml:space="preserve">. </w:t>
      </w:r>
      <w:r>
        <w:rPr>
          <w:rFonts w:ascii="Gadugi" w:hAnsi="Gadugi" w:eastAsia="Gadugi" w:cs="Gadugi"/>
        </w:rPr>
        <w:t>ᎡᏏᏯ</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ᎠᏂᏁᎫ</w:t>
      </w:r>
      <w:r>
        <w:rPr>
          <w:rFonts w:ascii="Times New Roman" w:hAnsi="Times New Roman" w:eastAsia="Times New Roman" w:cs="Times New Roman"/>
        </w:rPr>
        <w:t xml:space="preserve"> </w:t>
      </w:r>
      <w:r>
        <w:rPr>
          <w:rFonts w:ascii="Gadugi" w:hAnsi="Gadugi" w:eastAsia="Gadugi" w:cs="Gadugi"/>
        </w:rPr>
        <w:t>ᎡᏈᎵᎻ</w:t>
      </w:r>
      <w:r>
        <w:rPr>
          <w:rFonts w:ascii="Times New Roman" w:hAnsi="Times New Roman" w:eastAsia="Times New Roman" w:cs="Times New Roman"/>
        </w:rPr>
        <w:t xml:space="preserve"> </w:t>
      </w:r>
      <w:r>
        <w:rPr>
          <w:rFonts w:ascii="Gadugi" w:hAnsi="Gadugi" w:eastAsia="Gadugi" w:cs="Gadugi"/>
        </w:rPr>
        <w:t>ᎤᏂᎵᏍᏈᎸ</w:t>
      </w:r>
      <w:r>
        <w:rPr>
          <w:rFonts w:ascii="Times New Roman" w:hAnsi="Times New Roman" w:eastAsia="Times New Roman" w:cs="Times New Roman"/>
        </w:rPr>
        <w:t xml:space="preserve"> </w:t>
      </w:r>
      <w:r>
        <w:rPr>
          <w:rFonts w:ascii="Gadugi" w:hAnsi="Gadugi" w:eastAsia="Gadugi" w:cs="Gadugi"/>
        </w:rPr>
        <w:t>ᎤᏂᎨᏫᏒ</w:t>
      </w:r>
      <w:r>
        <w:rPr>
          <w:rFonts w:ascii="Times New Roman" w:hAnsi="Times New Roman" w:eastAsia="Times New Roman" w:cs="Times New Roman"/>
        </w:rPr>
        <w:t xml:space="preserve"> </w:t>
      </w:r>
      <w:r>
        <w:rPr>
          <w:rFonts w:ascii="Gadugi" w:hAnsi="Gadugi" w:eastAsia="Gadugi" w:cs="Gadugi"/>
        </w:rPr>
        <w:t>ᎤᏂᎦᏢᏅᏗ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ᎤᎾᏛᏁᎲᎢ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ᎾᏂᎦᎵᏍᏙᏗ</w:t>
      </w:r>
      <w:r>
        <w:rPr>
          <w:rFonts w:ascii="Times New Roman" w:hAnsi="Times New Roman" w:eastAsia="Times New Roman" w:cs="Times New Roman"/>
        </w:rPr>
        <w:t xml:space="preserve"> </w:t>
      </w:r>
      <w:r>
        <w:rPr>
          <w:rFonts w:ascii="Gadugi" w:hAnsi="Gadugi" w:eastAsia="Gadugi" w:cs="Gadugi"/>
        </w:rPr>
        <w:t>ᏧᏠᏱ</w:t>
      </w:r>
      <w:r>
        <w:rPr>
          <w:rFonts w:ascii="Times New Roman" w:hAnsi="Times New Roman" w:eastAsia="Times New Roman" w:cs="Times New Roman"/>
        </w:rPr>
        <w:t xml:space="preserve"> </w:t>
      </w:r>
      <w:r>
        <w:rPr>
          <w:rFonts w:ascii="Gadugi" w:hAnsi="Gadugi" w:eastAsia="Gadugi" w:cs="Gadugi"/>
        </w:rPr>
        <w:t>ᎦᏓ</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ᏣᎦᏎᏍᏗ</w:t>
      </w:r>
      <w:r>
        <w:rPr>
          <w:rFonts w:ascii="Times New Roman" w:hAnsi="Times New Roman" w:eastAsia="Times New Roman" w:cs="Times New Roman"/>
        </w:rPr>
        <w:t xml:space="preserve"> </w:t>
      </w:r>
      <w:r>
        <w:rPr>
          <w:rFonts w:ascii="Gadugi" w:hAnsi="Gadugi" w:eastAsia="Gadugi" w:cs="Gadugi"/>
        </w:rPr>
        <w:t>ᎤᏂᏰᎸᏒᎯ</w:t>
      </w:r>
      <w:r>
        <w:rPr>
          <w:rFonts w:ascii="Times New Roman" w:hAnsi="Times New Roman" w:eastAsia="Times New Roman" w:cs="Times New Roman"/>
        </w:rPr>
        <w:t xml:space="preserve"> </w:t>
      </w:r>
      <w:r>
        <w:rPr>
          <w:rFonts w:ascii="Gadugi" w:hAnsi="Gadugi" w:eastAsia="Gadugi" w:cs="Gadugi"/>
        </w:rPr>
        <w:t>ᎦᏛᎬᎢ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identificação do “contínuo” como símbolo de Cristo inverte completamente a verdade acerca do “contínuo”, pois o “contínuo” é um símbolo satânico. A identificação de Miller do “contínuo” como paganismo está diretamente representada nas tábuas de Habacuque. A descoberta, por Miller, da passagem em Tessalonicenses, que lhe permitiu compreender que era o paganismo o que foi “tirado”, a fim de que fosse revelado o “homem do pecado”, que se assenta no templo de Deus, é a verdade principal localizada em II Tessalonicenses, capítulo dois.</w:t>
      </w:r>
    </w:p>
    <w:p>
      <w:pPr>
        <w:pStyle w:val="ArticleScripture"/>
        <w:jc w:val="left"/>
      </w:pPr>
      <w:r>
        <w:rPr>
          <w:rFonts w:ascii="Times New Roman" w:hAnsi="Times New Roman" w:eastAsia="Times New Roman" w:cs="Times New Roman"/>
        </w:rPr>
        <w:t>“Ndzi hambete ndzi hlaya, kambe a ndzi nga ha kumi mhaka yin’wana leyi eka yona a yi kumeka [xikarhi hinkwaxo], handle ka le ka Daniyele ntsena. Kutani ndzi tlhela ndzi teka [hi mpfuno wa concordance] marito lawa lama a ma yimile ma ri ni vuxaka na xona, ‘susa;’ u ta susa xikhathri hinkwaxo; ‘ku sukela enkarhini lowu xikhathri hinkwaxo xi ta va xi susiwile,’ ni swin’wana. Ndzi hambete ndzi hlaya, kutani ndzi ehleketa leswaku a ndzi nge kumi ku vonakala eka tsalwa rero; eku heteleleni ndzi fika eka 2 Vatesalonika 2:7, 8. ‘Hikuva xihundla xa ku homboloka se xi tirha; ntsena loyi sweswi a sivelelaka u ta ya emahlweni a sivelela, ku kondza a susiwa endleleni, kutani hi kona loyi wo homboloka a nga ta paluxiwa,’ ni swin’wana. Kutani loko ndzi fikile eka tsalwa rero, awu, ntiyiso wu vonake wu tlhela wu vangama hi ku basa loku nga erivaleni njhani! Hi byebyo! Hi xexo xikhathri hinkwaxo! Kutani ke sweswi, Pawulo u vula yini hi “loyi sweswi a sivelelaka,” kumbe a tshikelerisaka? Hi “munhu wa xidyoho,” ni “loyi wo homboloka,” ku vuriwa Vupapa. Kutani ke, i yini lexi sivaka Vupapa leswaku byi nga paluxiwi? Hikuva, i Vupfukameri; kutani, ‘xikhathri hinkwaxo’ xi fanele xi vula Vupfukameri.”—William Miller, Second Advent Manual, tluka 66.” Advent Review and Sabbath Herald, January 6, 1853.</w:t>
      </w:r>
    </w:p>
    <w:p>
      <w:pPr>
        <w:pStyle w:val="ArticleBody"/>
        <w:jc w:val="left"/>
      </w:pPr>
      <w:r>
        <w:rPr>
          <w:rFonts w:ascii="Nirmala UI" w:hAnsi="Nirmala UI" w:eastAsia="Nirmala UI" w:cs="Nirmala UI"/>
        </w:rPr>
        <w:t>തെസ്സലൊനിക്ക്യരിൽ</w:t>
      </w:r>
      <w:r>
        <w:rPr>
          <w:rFonts w:ascii="Times New Roman" w:hAnsi="Times New Roman" w:eastAsia="Times New Roman" w:cs="Times New Roman"/>
        </w:rPr>
        <w:t xml:space="preserve"> “</w:t>
      </w:r>
      <w:r>
        <w:rPr>
          <w:rFonts w:ascii="Nirmala UI" w:hAnsi="Nirmala UI" w:eastAsia="Nirmala UI" w:cs="Nirmala UI"/>
        </w:rPr>
        <w:t>ദൈനംദിനം</w:t>
      </w:r>
      <w:r>
        <w:rPr>
          <w:rFonts w:ascii="Times New Roman" w:hAnsi="Times New Roman" w:eastAsia="Times New Roman" w:cs="Times New Roman"/>
        </w:rPr>
        <w:t xml:space="preserve">” </w:t>
      </w:r>
      <w:r>
        <w:rPr>
          <w:rFonts w:ascii="Nirmala UI" w:hAnsi="Nirmala UI" w:eastAsia="Nirmala UI" w:cs="Nirmala UI"/>
        </w:rPr>
        <w:t>എന്നതിന്റെ</w:t>
      </w:r>
      <w:r>
        <w:rPr>
          <w:rFonts w:ascii="Times New Roman" w:hAnsi="Times New Roman" w:eastAsia="Times New Roman" w:cs="Times New Roman"/>
        </w:rPr>
        <w:t xml:space="preserve"> </w:t>
      </w:r>
      <w:r>
        <w:rPr>
          <w:rFonts w:ascii="Nirmala UI" w:hAnsi="Nirmala UI" w:eastAsia="Nirmala UI" w:cs="Nirmala UI"/>
        </w:rPr>
        <w:t>അർത്ഥം</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കണ്ടെത്തിയത്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ഭാഗത്തിന്റെ</w:t>
      </w:r>
      <w:r>
        <w:rPr>
          <w:rFonts w:ascii="Times New Roman" w:hAnsi="Times New Roman" w:eastAsia="Times New Roman" w:cs="Times New Roman"/>
        </w:rPr>
        <w:t xml:space="preserve"> </w:t>
      </w:r>
      <w:r>
        <w:rPr>
          <w:rFonts w:ascii="Nirmala UI" w:hAnsi="Nirmala UI" w:eastAsia="Nirmala UI" w:cs="Nirmala UI"/>
        </w:rPr>
        <w:t>പ്രധാന</w:t>
      </w:r>
      <w:r>
        <w:rPr>
          <w:rFonts w:ascii="Times New Roman" w:hAnsi="Times New Roman" w:eastAsia="Times New Roman" w:cs="Times New Roman"/>
        </w:rPr>
        <w:t xml:space="preserve"> </w:t>
      </w:r>
      <w:r>
        <w:rPr>
          <w:rFonts w:ascii="Nirmala UI" w:hAnsi="Nirmala UI" w:eastAsia="Nirmala UI" w:cs="Nirmala UI"/>
        </w:rPr>
        <w:t>സത്യമാണ്</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സ്നേഹിക്കാത്തവരെയും</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ശക്തമായ</w:t>
      </w:r>
      <w:r>
        <w:rPr>
          <w:rFonts w:ascii="Times New Roman" w:hAnsi="Times New Roman" w:eastAsia="Times New Roman" w:cs="Times New Roman"/>
        </w:rPr>
        <w:t xml:space="preserve"> </w:t>
      </w:r>
      <w:r>
        <w:rPr>
          <w:rFonts w:ascii="Nirmala UI" w:hAnsi="Nirmala UI" w:eastAsia="Nirmala UI" w:cs="Nirmala UI"/>
        </w:rPr>
        <w:t>വഞ്ചന</w:t>
      </w:r>
      <w:r>
        <w:rPr>
          <w:rFonts w:ascii="Times New Roman" w:hAnsi="Times New Roman" w:eastAsia="Times New Roman" w:cs="Times New Roman"/>
        </w:rPr>
        <w:t xml:space="preserve"> </w:t>
      </w:r>
      <w:r>
        <w:rPr>
          <w:rFonts w:ascii="Nirmala UI" w:hAnsi="Nirmala UI" w:eastAsia="Nirmala UI" w:cs="Nirmala UI"/>
        </w:rPr>
        <w:t>പ്രാപിക്കാനിരിക്കുന്നവരെയും</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തിരിച്ചറിയുമ്പോൾ</w:t>
      </w:r>
      <w:r>
        <w:rPr>
          <w:rFonts w:ascii="Times New Roman" w:hAnsi="Times New Roman" w:eastAsia="Times New Roman" w:cs="Times New Roman"/>
        </w:rPr>
        <w:t xml:space="preserve">, </w:t>
      </w:r>
      <w:r>
        <w:rPr>
          <w:rFonts w:ascii="Nirmala UI" w:hAnsi="Nirmala UI" w:eastAsia="Nirmala UI" w:cs="Nirmala UI"/>
        </w:rPr>
        <w:t>പൊതുവായ</w:t>
      </w:r>
      <w:r>
        <w:rPr>
          <w:rFonts w:ascii="Times New Roman" w:hAnsi="Times New Roman" w:eastAsia="Times New Roman" w:cs="Times New Roman"/>
        </w:rPr>
        <w:t xml:space="preserve"> </w:t>
      </w:r>
      <w:r>
        <w:rPr>
          <w:rFonts w:ascii="Nirmala UI" w:hAnsi="Nirmala UI" w:eastAsia="Nirmala UI" w:cs="Nirmala UI"/>
        </w:rPr>
        <w:t>അർത്ഥത്തിൽ</w:t>
      </w:r>
      <w:r>
        <w:rPr>
          <w:rFonts w:ascii="Times New Roman" w:hAnsi="Times New Roman" w:eastAsia="Times New Roman" w:cs="Times New Roman"/>
        </w:rPr>
        <w:t xml:space="preserve"> </w:t>
      </w:r>
      <w:r>
        <w:rPr>
          <w:rFonts w:ascii="Nirmala UI" w:hAnsi="Nirmala UI" w:eastAsia="Nirmala UI" w:cs="Nirmala UI"/>
        </w:rPr>
        <w:t>സത്യത്തോടുള്ള</w:t>
      </w:r>
      <w:r>
        <w:rPr>
          <w:rFonts w:ascii="Times New Roman" w:hAnsi="Times New Roman" w:eastAsia="Times New Roman" w:cs="Times New Roman"/>
        </w:rPr>
        <w:t xml:space="preserve"> </w:t>
      </w:r>
      <w:r>
        <w:rPr>
          <w:rFonts w:ascii="Nirmala UI" w:hAnsi="Nirmala UI" w:eastAsia="Nirmala UI" w:cs="Nirmala UI"/>
        </w:rPr>
        <w:t>വൈരാഗ്യത്തെയാണു</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നിർവിവാദമായി</w:t>
      </w:r>
      <w:r>
        <w:rPr>
          <w:rFonts w:ascii="Times New Roman" w:hAnsi="Times New Roman" w:eastAsia="Times New Roman" w:cs="Times New Roman"/>
        </w:rPr>
        <w:t xml:space="preserve"> </w:t>
      </w:r>
      <w:r>
        <w:rPr>
          <w:rFonts w:ascii="Nirmala UI" w:hAnsi="Nirmala UI" w:eastAsia="Nirmala UI" w:cs="Nirmala UI"/>
        </w:rPr>
        <w:t>സൂചിപ്പിക്കുന്നത്</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നേരിട്ട്</w:t>
      </w:r>
      <w:r>
        <w:rPr>
          <w:rFonts w:ascii="Times New Roman" w:hAnsi="Times New Roman" w:eastAsia="Times New Roman" w:cs="Times New Roman"/>
        </w:rPr>
        <w:t xml:space="preserve"> </w:t>
      </w:r>
      <w:r>
        <w:rPr>
          <w:rFonts w:ascii="Nirmala UI" w:hAnsi="Nirmala UI" w:eastAsia="Nirmala UI" w:cs="Nirmala UI"/>
        </w:rPr>
        <w:t>പരാമർശിക്കപ്പെടുന്ന</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w:t>
      </w:r>
      <w:r>
        <w:rPr>
          <w:rFonts w:ascii="Nirmala UI" w:hAnsi="Nirmala UI" w:eastAsia="Nirmala UI" w:cs="Nirmala UI"/>
        </w:rPr>
        <w:t>ദൈനംദിനം</w:t>
      </w:r>
      <w:r>
        <w:rPr>
          <w:rFonts w:ascii="Times New Roman" w:hAnsi="Times New Roman" w:eastAsia="Times New Roman" w:cs="Times New Roman"/>
        </w:rPr>
        <w:t xml:space="preserve">” </w:t>
      </w:r>
      <w:r>
        <w:rPr>
          <w:rFonts w:ascii="Nirmala UI" w:hAnsi="Nirmala UI" w:eastAsia="Nirmala UI" w:cs="Nirmala UI"/>
        </w:rPr>
        <w:t>പൗരാണിക</w:t>
      </w:r>
      <w:r>
        <w:rPr>
          <w:rFonts w:ascii="Times New Roman" w:hAnsi="Times New Roman" w:eastAsia="Times New Roman" w:cs="Times New Roman"/>
        </w:rPr>
        <w:t xml:space="preserve"> </w:t>
      </w:r>
      <w:r>
        <w:rPr>
          <w:rFonts w:ascii="Nirmala UI" w:hAnsi="Nirmala UI" w:eastAsia="Nirmala UI" w:cs="Nirmala UI"/>
        </w:rPr>
        <w:t>റോമിനെ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സത്യമാണ്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sër i wujul ja i mata: niki i matam ket ameman, amin aolepen wujulm a pwe ren mei maram. Ak niki i matam ket a karia, amin aolepen wujulm a pwe ren mei rochopwak. Iei mine, niki i maram mi lolom a rochopwak, ese wor wawen an lapalap rochopwak esa! Esam wor eman aramas mi tongeni angang ngeni samon ruwow: pun a pwe oput emon, ap pokiten pwaipwai ngeni pwal eu; ika pwal, a pwe alluk ngeni emon, ap mamaleki pwal eu. Ousap tongeni angang ngeni Kot me mammon. Matthew 6:22–24.</w:t>
      </w:r>
    </w:p>
    <w:p>
      <w:pPr>
        <w:pStyle w:val="ArticleBody"/>
        <w:jc w:val="left"/>
      </w:pP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ჭეშმარიტებისადმი</w:t>
      </w:r>
      <w:r>
        <w:rPr>
          <w:rFonts w:ascii="Times New Roman" w:hAnsi="Times New Roman" w:eastAsia="Times New Roman" w:cs="Times New Roman"/>
        </w:rPr>
        <w:t xml:space="preserve"> </w:t>
      </w:r>
      <w:r>
        <w:rPr>
          <w:rFonts w:ascii="Sylfaen" w:hAnsi="Sylfaen" w:eastAsia="Sylfaen" w:cs="Sylfaen"/>
        </w:rPr>
        <w:t>სიყვარული</w:t>
      </w:r>
      <w:r>
        <w:rPr>
          <w:rFonts w:ascii="Times New Roman" w:hAnsi="Times New Roman" w:eastAsia="Times New Roman" w:cs="Times New Roman"/>
        </w:rPr>
        <w:t xml:space="preserve"> </w:t>
      </w:r>
      <w:r>
        <w:rPr>
          <w:rFonts w:ascii="Sylfaen" w:hAnsi="Sylfaen" w:eastAsia="Sylfaen" w:cs="Sylfaen"/>
        </w:rPr>
        <w:t>არსებობს</w:t>
      </w:r>
      <w:r>
        <w:rPr>
          <w:rFonts w:ascii="Times New Roman" w:hAnsi="Times New Roman" w:eastAsia="Times New Roman" w:cs="Times New Roman"/>
        </w:rPr>
        <w:t xml:space="preserve">, </w:t>
      </w:r>
      <w:r>
        <w:rPr>
          <w:rFonts w:ascii="Sylfaen" w:hAnsi="Sylfaen" w:eastAsia="Sylfaen" w:cs="Sylfaen"/>
        </w:rPr>
        <w:t>ან</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სიძულვილი</w:t>
      </w:r>
      <w:r>
        <w:rPr>
          <w:rFonts w:ascii="Times New Roman" w:hAnsi="Times New Roman" w:eastAsia="Times New Roman" w:cs="Times New Roman"/>
        </w:rPr>
        <w:t xml:space="preserve">. </w:t>
      </w:r>
      <w:r>
        <w:rPr>
          <w:rFonts w:ascii="Sylfaen" w:hAnsi="Sylfaen" w:eastAsia="Sylfaen" w:cs="Sylfaen"/>
        </w:rPr>
        <w:t>შუა</w:t>
      </w:r>
      <w:r>
        <w:rPr>
          <w:rFonts w:ascii="Times New Roman" w:hAnsi="Times New Roman" w:eastAsia="Times New Roman" w:cs="Times New Roman"/>
        </w:rPr>
        <w:t xml:space="preserve"> </w:t>
      </w:r>
      <w:r>
        <w:rPr>
          <w:rFonts w:ascii="Sylfaen" w:hAnsi="Sylfaen" w:eastAsia="Sylfaen" w:cs="Sylfaen"/>
        </w:rPr>
        <w:t>მდგომარეობა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არსებობს</w:t>
      </w:r>
      <w:r>
        <w:rPr>
          <w:rFonts w:ascii="Times New Roman" w:hAnsi="Times New Roman" w:eastAsia="Times New Roman" w:cs="Times New Roman"/>
        </w:rPr>
        <w:t xml:space="preserve">. </w:t>
      </w:r>
      <w:r>
        <w:rPr>
          <w:rFonts w:ascii="Sylfaen" w:hAnsi="Sylfaen" w:eastAsia="Sylfaen" w:cs="Sylfaen"/>
        </w:rPr>
        <w:t>ძლიერი</w:t>
      </w:r>
      <w:r>
        <w:rPr>
          <w:rFonts w:ascii="Times New Roman" w:hAnsi="Times New Roman" w:eastAsia="Times New Roman" w:cs="Times New Roman"/>
        </w:rPr>
        <w:t xml:space="preserve"> </w:t>
      </w:r>
      <w:r>
        <w:rPr>
          <w:rFonts w:ascii="Sylfaen" w:hAnsi="Sylfaen" w:eastAsia="Sylfaen" w:cs="Sylfaen"/>
        </w:rPr>
        <w:t>ცდუნება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მათეს</w:t>
      </w:r>
      <w:r>
        <w:rPr>
          <w:rFonts w:ascii="Times New Roman" w:hAnsi="Times New Roman" w:eastAsia="Times New Roman" w:cs="Times New Roman"/>
        </w:rPr>
        <w:t xml:space="preserve"> </w:t>
      </w:r>
      <w:r>
        <w:rPr>
          <w:rFonts w:ascii="Sylfaen" w:hAnsi="Sylfaen" w:eastAsia="Sylfaen" w:cs="Sylfaen"/>
        </w:rPr>
        <w:t>ოცდამეხუთე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უგუნურ</w:t>
      </w:r>
      <w:r>
        <w:rPr>
          <w:rFonts w:ascii="Times New Roman" w:hAnsi="Times New Roman" w:eastAsia="Times New Roman" w:cs="Times New Roman"/>
        </w:rPr>
        <w:t xml:space="preserve"> </w:t>
      </w:r>
      <w:r>
        <w:rPr>
          <w:rFonts w:ascii="Sylfaen" w:hAnsi="Sylfaen" w:eastAsia="Sylfaen" w:cs="Sylfaen"/>
        </w:rPr>
        <w:t>ქალწულებზე</w:t>
      </w:r>
      <w:r>
        <w:rPr>
          <w:rFonts w:ascii="Times New Roman" w:hAnsi="Times New Roman" w:eastAsia="Times New Roman" w:cs="Times New Roman"/>
        </w:rPr>
        <w:t xml:space="preserve"> </w:t>
      </w:r>
      <w:r>
        <w:rPr>
          <w:rFonts w:ascii="Sylfaen" w:hAnsi="Sylfaen" w:eastAsia="Sylfaen" w:cs="Sylfaen"/>
        </w:rPr>
        <w:t>მოდის</w:t>
      </w:r>
      <w:r>
        <w:rPr>
          <w:rFonts w:ascii="Times New Roman" w:hAnsi="Times New Roman" w:eastAsia="Times New Roman" w:cs="Times New Roman"/>
        </w:rPr>
        <w:t xml:space="preserve">, </w:t>
      </w:r>
      <w:r>
        <w:rPr>
          <w:rFonts w:ascii="Sylfaen" w:hAnsi="Sylfaen" w:eastAsia="Sylfaen" w:cs="Sylfaen"/>
        </w:rPr>
        <w:t>დაფუძნებულია</w:t>
      </w:r>
      <w:r>
        <w:rPr>
          <w:rFonts w:ascii="Times New Roman" w:hAnsi="Times New Roman" w:eastAsia="Times New Roman" w:cs="Times New Roman"/>
        </w:rPr>
        <w:t xml:space="preserve"> </w:t>
      </w:r>
      <w:r>
        <w:rPr>
          <w:rFonts w:ascii="Sylfaen" w:hAnsi="Sylfaen" w:eastAsia="Sylfaen" w:cs="Sylfaen"/>
        </w:rPr>
        <w:t>იმაზე</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უარყვეს</w:t>
      </w:r>
      <w:r>
        <w:rPr>
          <w:rFonts w:ascii="Times New Roman" w:hAnsi="Times New Roman" w:eastAsia="Times New Roman" w:cs="Times New Roman"/>
        </w:rPr>
        <w:t xml:space="preserve"> </w:t>
      </w:r>
      <w:r>
        <w:rPr>
          <w:rFonts w:ascii="Sylfaen" w:hAnsi="Sylfaen" w:eastAsia="Sylfaen" w:cs="Sylfaen"/>
        </w:rPr>
        <w:t>მილერის</w:t>
      </w:r>
      <w:r>
        <w:rPr>
          <w:rFonts w:ascii="Times New Roman" w:hAnsi="Times New Roman" w:eastAsia="Times New Roman" w:cs="Times New Roman"/>
        </w:rPr>
        <w:t xml:space="preserve"> </w:t>
      </w:r>
      <w:r>
        <w:rPr>
          <w:rFonts w:ascii="Sylfaen" w:hAnsi="Sylfaen" w:eastAsia="Sylfaen" w:cs="Sylfaen"/>
        </w:rPr>
        <w:t>ძვირფასეულობის</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საბოლოო</w:t>
      </w:r>
      <w:r>
        <w:rPr>
          <w:rFonts w:ascii="Times New Roman" w:hAnsi="Times New Roman" w:eastAsia="Times New Roman" w:cs="Times New Roman"/>
        </w:rPr>
        <w:t xml:space="preserve"> </w:t>
      </w:r>
      <w:r>
        <w:rPr>
          <w:rFonts w:ascii="Sylfaen" w:hAnsi="Sylfaen" w:eastAsia="Sylfaen" w:cs="Sylfaen"/>
        </w:rPr>
        <w:t>გამოცდას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ძველი</w:t>
      </w:r>
      <w:r>
        <w:rPr>
          <w:rFonts w:ascii="Times New Roman" w:hAnsi="Times New Roman" w:eastAsia="Times New Roman" w:cs="Times New Roman"/>
        </w:rPr>
        <w:t xml:space="preserve"> </w:t>
      </w:r>
      <w:r>
        <w:rPr>
          <w:rFonts w:ascii="Sylfaen" w:hAnsi="Sylfaen" w:eastAsia="Sylfaen" w:cs="Sylfaen"/>
        </w:rPr>
        <w:t>ისრაელის</w:t>
      </w:r>
      <w:r>
        <w:rPr>
          <w:rFonts w:ascii="Times New Roman" w:hAnsi="Times New Roman" w:eastAsia="Times New Roman" w:cs="Times New Roman"/>
        </w:rPr>
        <w:t xml:space="preserve"> </w:t>
      </w:r>
      <w:r>
        <w:rPr>
          <w:rFonts w:ascii="Sylfaen" w:hAnsi="Sylfaen" w:eastAsia="Sylfaen" w:cs="Sylfaen"/>
        </w:rPr>
        <w:t>საბოლოო</w:t>
      </w:r>
      <w:r>
        <w:rPr>
          <w:rFonts w:ascii="Times New Roman" w:hAnsi="Times New Roman" w:eastAsia="Times New Roman" w:cs="Times New Roman"/>
        </w:rPr>
        <w:t xml:space="preserve"> </w:t>
      </w:r>
      <w:r>
        <w:rPr>
          <w:rFonts w:ascii="Sylfaen" w:hAnsi="Sylfaen" w:eastAsia="Sylfaen" w:cs="Sylfaen"/>
        </w:rPr>
        <w:t>გამოცდა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გამოცდა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უკანასკნელ</w:t>
      </w:r>
      <w:r>
        <w:rPr>
          <w:rFonts w:ascii="Times New Roman" w:hAnsi="Times New Roman" w:eastAsia="Times New Roman" w:cs="Times New Roman"/>
        </w:rPr>
        <w:t xml:space="preserve"> </w:t>
      </w:r>
      <w:r>
        <w:rPr>
          <w:rFonts w:ascii="Sylfaen" w:hAnsi="Sylfaen" w:eastAsia="Sylfaen" w:cs="Sylfaen"/>
        </w:rPr>
        <w:t>დღეებში</w:t>
      </w:r>
      <w:r>
        <w:rPr>
          <w:rFonts w:ascii="Times New Roman" w:hAnsi="Times New Roman" w:eastAsia="Times New Roman" w:cs="Times New Roman"/>
        </w:rPr>
        <w:t xml:space="preserve"> </w:t>
      </w:r>
      <w:r>
        <w:rPr>
          <w:rFonts w:ascii="Sylfaen" w:hAnsi="Sylfaen" w:eastAsia="Sylfaen" w:cs="Sylfaen"/>
        </w:rPr>
        <w:t>მილერის</w:t>
      </w:r>
      <w:r>
        <w:rPr>
          <w:rFonts w:ascii="Times New Roman" w:hAnsi="Times New Roman" w:eastAsia="Times New Roman" w:cs="Times New Roman"/>
        </w:rPr>
        <w:t xml:space="preserve"> </w:t>
      </w:r>
      <w:r>
        <w:rPr>
          <w:rFonts w:ascii="Sylfaen" w:hAnsi="Sylfaen" w:eastAsia="Sylfaen" w:cs="Sylfaen"/>
        </w:rPr>
        <w:t>ძვირფასეულობა</w:t>
      </w:r>
      <w:r>
        <w:rPr>
          <w:rFonts w:ascii="Times New Roman" w:hAnsi="Times New Roman" w:eastAsia="Times New Roman" w:cs="Times New Roman"/>
        </w:rPr>
        <w:t xml:space="preserve"> </w:t>
      </w:r>
      <w:r>
        <w:rPr>
          <w:rFonts w:ascii="Sylfaen" w:hAnsi="Sylfaen" w:eastAsia="Sylfaen" w:cs="Sylfaen"/>
        </w:rPr>
        <w:t>ათჯერ</w:t>
      </w:r>
      <w:r>
        <w:rPr>
          <w:rFonts w:ascii="Times New Roman" w:hAnsi="Times New Roman" w:eastAsia="Times New Roman" w:cs="Times New Roman"/>
        </w:rPr>
        <w:t xml:space="preserve"> </w:t>
      </w:r>
      <w:r>
        <w:rPr>
          <w:rFonts w:ascii="Sylfaen" w:hAnsi="Sylfaen" w:eastAsia="Sylfaen" w:cs="Sylfaen"/>
        </w:rPr>
        <w:t>უფრო</w:t>
      </w:r>
      <w:r>
        <w:rPr>
          <w:rFonts w:ascii="Times New Roman" w:hAnsi="Times New Roman" w:eastAsia="Times New Roman" w:cs="Times New Roman"/>
        </w:rPr>
        <w:t xml:space="preserve"> </w:t>
      </w:r>
      <w:r>
        <w:rPr>
          <w:rFonts w:ascii="Sylfaen" w:hAnsi="Sylfaen" w:eastAsia="Sylfaen" w:cs="Sylfaen"/>
        </w:rPr>
        <w:t>კაშკაშად</w:t>
      </w:r>
      <w:r>
        <w:rPr>
          <w:rFonts w:ascii="Times New Roman" w:hAnsi="Times New Roman" w:eastAsia="Times New Roman" w:cs="Times New Roman"/>
        </w:rPr>
        <w:t xml:space="preserve"> </w:t>
      </w:r>
      <w:r>
        <w:rPr>
          <w:rFonts w:ascii="Sylfaen" w:hAnsi="Sylfaen" w:eastAsia="Sylfaen" w:cs="Sylfaen"/>
        </w:rPr>
        <w:t>ბრწყინავს</w:t>
      </w:r>
      <w:r>
        <w:rPr>
          <w:rFonts w:ascii="Times New Roman" w:hAnsi="Times New Roman" w:eastAsia="Times New Roman" w:cs="Times New Roman"/>
        </w:rPr>
        <w:t xml:space="preserve">. </w:t>
      </w:r>
      <w:r>
        <w:rPr>
          <w:rFonts w:ascii="Sylfaen" w:hAnsi="Sylfaen" w:eastAsia="Sylfaen" w:cs="Sylfaen"/>
        </w:rPr>
        <w:t>მილერის</w:t>
      </w:r>
      <w:r>
        <w:rPr>
          <w:rFonts w:ascii="Times New Roman" w:hAnsi="Times New Roman" w:eastAsia="Times New Roman" w:cs="Times New Roman"/>
        </w:rPr>
        <w:t xml:space="preserve"> </w:t>
      </w:r>
      <w:r>
        <w:rPr>
          <w:rFonts w:ascii="Sylfaen" w:hAnsi="Sylfaen" w:eastAsia="Sylfaen" w:cs="Sylfaen"/>
        </w:rPr>
        <w:t>ძვირფასეულობის</w:t>
      </w:r>
      <w:r>
        <w:rPr>
          <w:rFonts w:ascii="Times New Roman" w:hAnsi="Times New Roman" w:eastAsia="Times New Roman" w:cs="Times New Roman"/>
        </w:rPr>
        <w:t xml:space="preserve"> </w:t>
      </w:r>
      <w:r>
        <w:rPr>
          <w:rFonts w:ascii="Sylfaen" w:hAnsi="Sylfaen" w:eastAsia="Sylfaen" w:cs="Sylfaen"/>
        </w:rPr>
        <w:t>უარყოფის</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ყოველდღიური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ეფრემის</w:t>
      </w:r>
      <w:r>
        <w:rPr>
          <w:rFonts w:ascii="Times New Roman" w:hAnsi="Times New Roman" w:eastAsia="Times New Roman" w:cs="Times New Roman"/>
        </w:rPr>
        <w:t xml:space="preserve"> </w:t>
      </w:r>
      <w:r>
        <w:rPr>
          <w:rFonts w:ascii="Sylfaen" w:hAnsi="Sylfaen" w:eastAsia="Sylfaen" w:cs="Sylfaen"/>
        </w:rPr>
        <w:t>მთვრალებმა</w:t>
      </w:r>
      <w:r>
        <w:rPr>
          <w:rFonts w:ascii="Times New Roman" w:hAnsi="Times New Roman" w:eastAsia="Times New Roman" w:cs="Times New Roman"/>
        </w:rPr>
        <w:t xml:space="preserve"> </w:t>
      </w:r>
      <w:r>
        <w:rPr>
          <w:rFonts w:ascii="Sylfaen" w:hAnsi="Sylfaen" w:eastAsia="Sylfaen" w:cs="Sylfaen"/>
        </w:rPr>
        <w:t>ადვენტიზმის</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თაობაში</w:t>
      </w:r>
      <w:r>
        <w:rPr>
          <w:rFonts w:ascii="Times New Roman" w:hAnsi="Times New Roman" w:eastAsia="Times New Roman" w:cs="Times New Roman"/>
        </w:rPr>
        <w:t xml:space="preserve"> </w:t>
      </w:r>
      <w:r>
        <w:rPr>
          <w:rFonts w:ascii="Sylfaen" w:hAnsi="Sylfaen" w:eastAsia="Sylfaen" w:cs="Sylfaen"/>
        </w:rPr>
        <w:t>თავდაყირა</w:t>
      </w:r>
      <w:r>
        <w:rPr>
          <w:rFonts w:ascii="Times New Roman" w:hAnsi="Times New Roman" w:eastAsia="Times New Roman" w:cs="Times New Roman"/>
        </w:rPr>
        <w:t xml:space="preserve"> </w:t>
      </w:r>
      <w:r>
        <w:rPr>
          <w:rFonts w:ascii="Sylfaen" w:hAnsi="Sylfaen" w:eastAsia="Sylfaen" w:cs="Sylfaen"/>
        </w:rPr>
        <w:t>დააყენეს</w:t>
      </w:r>
      <w:r>
        <w:rPr>
          <w:rFonts w:ascii="Times New Roman" w:hAnsi="Times New Roman" w:eastAsia="Times New Roman" w:cs="Times New Roman"/>
        </w:rPr>
        <w:t>. „</w:t>
      </w:r>
      <w:r>
        <w:rPr>
          <w:rFonts w:ascii="Sylfaen" w:hAnsi="Sylfaen" w:eastAsia="Sylfaen" w:cs="Sylfaen"/>
        </w:rPr>
        <w:t>ყოველდღიური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წარმართობის</w:t>
      </w:r>
      <w:r>
        <w:rPr>
          <w:rFonts w:ascii="Times New Roman" w:hAnsi="Times New Roman" w:eastAsia="Times New Roman" w:cs="Times New Roman"/>
        </w:rPr>
        <w:t xml:space="preserve"> </w:t>
      </w:r>
      <w:r>
        <w:rPr>
          <w:rFonts w:ascii="Sylfaen" w:hAnsi="Sylfaen" w:eastAsia="Sylfaen" w:cs="Sylfaen"/>
        </w:rPr>
        <w:t>სატანური</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მთვრალებმა</w:t>
      </w:r>
      <w:r>
        <w:rPr>
          <w:rFonts w:ascii="Times New Roman" w:hAnsi="Times New Roman" w:eastAsia="Times New Roman" w:cs="Times New Roman"/>
        </w:rPr>
        <w:t xml:space="preserve"> </w:t>
      </w:r>
      <w:r>
        <w:rPr>
          <w:rFonts w:ascii="Sylfaen" w:hAnsi="Sylfaen" w:eastAsia="Sylfaen" w:cs="Sylfaen"/>
        </w:rPr>
        <w:t>შემოიტანეს</w:t>
      </w:r>
      <w:r>
        <w:rPr>
          <w:rFonts w:ascii="Times New Roman" w:hAnsi="Times New Roman" w:eastAsia="Times New Roman" w:cs="Times New Roman"/>
        </w:rPr>
        <w:t xml:space="preserve"> </w:t>
      </w:r>
      <w:r>
        <w:rPr>
          <w:rFonts w:ascii="Sylfaen" w:hAnsi="Sylfaen" w:eastAsia="Sylfaen" w:cs="Sylfaen"/>
        </w:rPr>
        <w:t>ყალბი</w:t>
      </w:r>
      <w:r>
        <w:rPr>
          <w:rFonts w:ascii="Times New Roman" w:hAnsi="Times New Roman" w:eastAsia="Times New Roman" w:cs="Times New Roman"/>
        </w:rPr>
        <w:t xml:space="preserve"> </w:t>
      </w:r>
      <w:r>
        <w:rPr>
          <w:rFonts w:ascii="Sylfaen" w:hAnsi="Sylfaen" w:eastAsia="Sylfaen" w:cs="Sylfaen"/>
        </w:rPr>
        <w:t>ძვირფასი</w:t>
      </w:r>
      <w:r>
        <w:rPr>
          <w:rFonts w:ascii="Times New Roman" w:hAnsi="Times New Roman" w:eastAsia="Times New Roman" w:cs="Times New Roman"/>
        </w:rPr>
        <w:t xml:space="preserve"> </w:t>
      </w:r>
      <w:r>
        <w:rPr>
          <w:rFonts w:ascii="Sylfaen" w:hAnsi="Sylfaen" w:eastAsia="Sylfaen" w:cs="Sylfaen"/>
        </w:rPr>
        <w:t>ქვა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განდგომილი</w:t>
      </w:r>
      <w:r>
        <w:rPr>
          <w:rFonts w:ascii="Times New Roman" w:hAnsi="Times New Roman" w:eastAsia="Times New Roman" w:cs="Times New Roman"/>
        </w:rPr>
        <w:t xml:space="preserve"> </w:t>
      </w:r>
      <w:r>
        <w:rPr>
          <w:rFonts w:ascii="Sylfaen" w:hAnsi="Sylfaen" w:eastAsia="Sylfaen" w:cs="Sylfaen"/>
        </w:rPr>
        <w:t>პროტესტანტობიდან</w:t>
      </w:r>
      <w:r>
        <w:rPr>
          <w:rFonts w:ascii="Times New Roman" w:hAnsi="Times New Roman" w:eastAsia="Times New Roman" w:cs="Times New Roman"/>
        </w:rPr>
        <w:t xml:space="preserve"> </w:t>
      </w:r>
      <w:r>
        <w:rPr>
          <w:rFonts w:ascii="Sylfaen" w:hAnsi="Sylfaen" w:eastAsia="Sylfaen" w:cs="Sylfaen"/>
        </w:rPr>
        <w:t>მოიტანეს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ყოველდღიურს</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სიმბოლოდ</w:t>
      </w:r>
      <w:r>
        <w:rPr>
          <w:rFonts w:ascii="Times New Roman" w:hAnsi="Times New Roman" w:eastAsia="Times New Roman" w:cs="Times New Roman"/>
        </w:rPr>
        <w:t xml:space="preserve"> </w:t>
      </w:r>
      <w:r>
        <w:rPr>
          <w:rFonts w:ascii="Sylfaen" w:hAnsi="Sylfaen" w:eastAsia="Sylfaen" w:cs="Sylfaen"/>
        </w:rPr>
        <w:t>განსაზღვრავს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مِيلِر فَهمِهُ لِجواهرِه كان محدودًا بالتاريخ الذي أُقيم فيه. وإذ كان مقتنعًا بأن المجيء الثاني هو الحدث النبوي التالي، فإن الجرح المميت للبابوية سنة 1798 لم يكن يمكنه إلا أن يمثّل المملكة الأرضية الرابعة والأخيرة في دانيال الثاني. وكان مِيلِر أيضًا محدودًا في فهمه لـ«المحرقة الدائمة»، لأن شهادته هي أنه، بواسطة الإعلان، أُرشد إلى منهج محدد للدراسة، وقد ذكر أنه استخدم كتابه المقدس، و«كونكوردانس كرودِن»، وقرأ بعض الصحف. أمّا قراره أن يدرس على ذلك النحو، فقد خطر ببساطة في ذهنه.</w:t>
      </w:r>
    </w:p>
    <w:p>
      <w:pPr>
        <w:pStyle w:val="ArticleScripture"/>
        <w:jc w:val="left"/>
      </w:pPr>
      <w:r>
        <w:rPr>
          <w:rFonts w:ascii="Times New Roman" w:hAnsi="Times New Roman" w:eastAsia="Times New Roman" w:cs="Times New Roman"/>
        </w:rPr>
        <w:t>«دەورانِ ئەو دوازدە ساڵەی کە من دەئیست بووم، هەموو مێژووییەکانم دەخوێندەوە کە دەم‌توانی بدۆزمەوە؛ بەڵام ئێستا کتێبی پیرۆزم خۆش دەویست، چونکە لەسەر عیسا فێر دەکرد! بەڵام هێشتا بەشێکی زۆر لە کتێبی پیرۆز لام تاریک بوو. لە ساڵی 1818 یان 19دا، کاتێک لەگەڵ هاوڕێیەک گفتوگۆم دەکرد، کە چووبووم بۆ سەردانی و ئەو کە منی دەناسی و قسەکانی منی بیستبوو لەو کاتەی دەئیست بووم، بە شێوەیەکی تا ڕادەیەک پرمانا پرسیاری لێ کردم: ‘سەبارەت بە ئەم دەقە و ئەو دەقە چی بیر دەکەیتەوە؟’ ئاماژەی بەو دەقانە کۆنانە دەکرد کە من لە کاتی دەئیستبوونمدا ناڕەزامەندیم لێیان هەبوو. تێگەیشتم مەبەستی چییە، و وەڵامم دایەوە—ئەگەر کاتم بدەیت، پێت دەڵێم واتایان چییە. ‘چەند کاتت دەوێت؟’ من نازانم، بەڵام پێت دەڵێم، وەڵامم دایەوە، چونکە نەم‌توانی باوەڕ بکەم کە خودا وەحییەکی دابێت کە نەکرێت تێبگەندرێت. ئینجا بڕیارم دا کتێبی پیرۆزم بخوێنمەوە و بیخوێنمەوە، بەو باوەڕەی کە دەتوانم بزانم ڕۆحی پیرۆز چی مەبەست بوو. بەڵام هەر کاتێک ئەم بڕیارەم پێکهێنا، ئەم بیرۆکەیە هاتە لام—‘ئەگەر دەقێکت دۆزییەوە کە ناتوانیت تێی بگەیت، چی دەکەیت؟’ ئینجا ئەم شێوازەی خوێندنەوەی کتێبی پیرۆز هاتە بیرم:—وشەکانی ئەو جۆرە دەقانە وەردەگرم، و لە ناو کتێبی پیرۆزدا شوێنیان دەکەوم، و بەم شێوەیە واتایان دەدۆزمەوە. Concordanceی Crudenم لەبەردەست بوو، کە پێم وایە باشترینە لە هەموو جیهاندا؛ جا ئەو و کتێبی پیرۆزم هەڵگرت و لە پشت مێزەکەم دانیشتم، و هیچی دیکەم نەدەخوێندەوە، جگە لە کەمێک ڕۆژنامە، چونکە بڕیارم دابوو بزانم کتێبی پیرۆزم چی دەڵێت. Apollos Hale, The Second Advent Manual, 65.»</w:t>
      </w:r>
    </w:p>
    <w:p>
      <w:pPr>
        <w:pStyle w:val="ArticleBody"/>
        <w:jc w:val="left"/>
      </w:pPr>
      <w:r>
        <w:rPr>
          <w:rFonts w:ascii="Times New Roman" w:hAnsi="Times New Roman" w:eastAsia="Times New Roman" w:cs="Times New Roman"/>
        </w:rPr>
        <w:t>جواهيرات ميلر لم يُعترَف بها بمجرد منهجه في الدراسة فحسب، بل أيضًا بوحيٍ مباشرٍ من الله.</w:t>
      </w:r>
    </w:p>
    <w:p>
      <w:pPr>
        <w:pStyle w:val="ArticleScripture"/>
        <w:jc w:val="left"/>
      </w:pPr>
      <w:r>
        <w:rPr>
          <w:rFonts w:ascii="Times New Roman" w:hAnsi="Times New Roman" w:eastAsia="Times New Roman" w:cs="Times New Roman"/>
        </w:rPr>
        <w:t>«Էլոհիմը Իր հրեշտակն ուղարկեց, որ ներգործի մի հողագործի սրտի վրա, որը չէր հավատացել Աստվածաշնչին, որպեսզի առաջնորդի նրան մարգարեությունները քննելու։ Էլոհիմի հրեշտակները բազմիցս այցելեցին այդ ընտրյալին, որպեսզի առաջնորդեն նրա միտքը և նրա հասկացողության համար բացեն այն մարգարեությունները, որոնք մշտապես խավար էին եղել Էլոհիմի ժողովրդի համար։ Ճշմարտության շղթայի սկիզբը տրվեց նրան, և նա առաջնորդվեց որոնելու օղակ առ օղակ, մինչև որ զարմանքով և հիացմունքով նայեց Էլոհիմի Խոսքին։ Նա այնտեղ տեսավ ճշմարտության կատարյալ շղթա։ Այն Խոսքը, որը նա համարել էր աններշնչված, այժմ իր տեսիլքի առջև բացվեց իր գեղեցկությամբ և փառքով։ Նա տեսավ, որ Սուրբ Գրքի մի մասը բացատրում է մյուսը, և երբ մի հատված փակ էր նրա հասկացողության համար, նա Խոսքի մեկ այլ մասում գտնում էր այն, ինչը բացատրում էր դա։ Նա Աստծո սուրբ Խոսքին վերաբերվում էր ուրախությամբ և ամենախոր հարգանքով ու երկյուղածությամբ»։ Early Writings, 230.</w:t>
      </w:r>
    </w:p>
    <w:p>
      <w:pPr>
        <w:pStyle w:val="ArticleBody"/>
        <w:jc w:val="left"/>
      </w:pPr>
      <w:r>
        <w:rPr>
          <w:rFonts w:ascii="Microsoft YaHei" w:hAnsi="Microsoft YaHei" w:eastAsia="Microsoft YaHei" w:cs="Microsoft YaHei"/>
        </w:rPr>
        <w:t>姉妹</w:t>
      </w:r>
      <w:r>
        <w:rPr>
          <w:rFonts w:ascii="MS Gothic" w:hAnsi="MS Gothic" w:eastAsia="MS Gothic" w:cs="MS Gothic"/>
        </w:rPr>
        <w:t>ホワイトが</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御使</w:t>
      </w:r>
      <w:r>
        <w:rPr>
          <w:rFonts w:ascii="MS Gothic" w:hAnsi="MS Gothic" w:eastAsia="MS Gothic" w:cs="MS Gothic"/>
        </w:rPr>
        <w:t>いをミラーのもとに</w:t>
      </w:r>
      <w:r>
        <w:rPr>
          <w:rFonts w:ascii="Microsoft YaHei" w:hAnsi="Microsoft YaHei" w:eastAsia="Microsoft YaHei" w:cs="Microsoft YaHei"/>
        </w:rPr>
        <w:t>遣</w:t>
      </w:r>
      <w:r>
        <w:rPr>
          <w:rFonts w:ascii="MS Gothic" w:hAnsi="MS Gothic" w:eastAsia="MS Gothic" w:cs="MS Gothic"/>
        </w:rPr>
        <w:t>わされた</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述</w:t>
      </w:r>
      <w:r>
        <w:rPr>
          <w:rFonts w:ascii="MS Gothic" w:hAnsi="MS Gothic" w:eastAsia="MS Gothic" w:cs="MS Gothic"/>
        </w:rPr>
        <w:t>べるとき</w:t>
      </w:r>
      <w:r>
        <w:rPr>
          <w:rFonts w:ascii="Microsoft YaHei" w:hAnsi="Microsoft YaHei" w:eastAsia="Microsoft YaHei" w:cs="Microsoft YaHei"/>
        </w:rPr>
        <w:t>、</w:t>
      </w:r>
      <w:r>
        <w:rPr>
          <w:rFonts w:ascii="MS Gothic" w:hAnsi="MS Gothic" w:eastAsia="MS Gothic" w:cs="MS Gothic"/>
        </w:rPr>
        <w:t>それはミラーのもとに</w:t>
      </w:r>
      <w:r>
        <w:rPr>
          <w:rFonts w:ascii="Microsoft YaHei" w:hAnsi="Microsoft YaHei" w:eastAsia="Microsoft YaHei" w:cs="Microsoft YaHei"/>
        </w:rPr>
        <w:t>遣</w:t>
      </w:r>
      <w:r>
        <w:rPr>
          <w:rFonts w:ascii="MS Gothic" w:hAnsi="MS Gothic" w:eastAsia="MS Gothic" w:cs="MS Gothic"/>
        </w:rPr>
        <w:t>わされた</w:t>
      </w:r>
      <w:r>
        <w:rPr>
          <w:rFonts w:ascii="Microsoft YaHei" w:hAnsi="Microsoft YaHei" w:eastAsia="Microsoft YaHei" w:cs="Microsoft YaHei"/>
        </w:rPr>
        <w:t>御使</w:t>
      </w:r>
      <w:r>
        <w:rPr>
          <w:rFonts w:ascii="MS Gothic" w:hAnsi="MS Gothic" w:eastAsia="MS Gothic" w:cs="MS Gothic"/>
        </w:rPr>
        <w:t>いがガブリエルであったことを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、「御使</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語</w:t>
      </w:r>
      <w:r>
        <w:rPr>
          <w:rFonts w:ascii="MS Gothic" w:hAnsi="MS Gothic" w:eastAsia="MS Gothic" w:cs="MS Gothic"/>
        </w:rPr>
        <w:t>はガブリエルに</w:t>
      </w:r>
      <w:r>
        <w:rPr>
          <w:rFonts w:ascii="Microsoft YaHei" w:hAnsi="Microsoft YaHei" w:eastAsia="Microsoft YaHei" w:cs="Microsoft YaHei"/>
        </w:rPr>
        <w:t>当</w:t>
      </w:r>
      <w:r>
        <w:rPr>
          <w:rFonts w:ascii="MS Gothic" w:hAnsi="MS Gothic" w:eastAsia="MS Gothic" w:cs="MS Gothic"/>
        </w:rPr>
        <w:t>てられる</w:t>
      </w:r>
      <w:r>
        <w:rPr>
          <w:rFonts w:ascii="Microsoft YaHei" w:hAnsi="Microsoft YaHei" w:eastAsia="Microsoft YaHei" w:cs="Microsoft YaHei"/>
        </w:rPr>
        <w:t>表現</w:t>
      </w:r>
      <w:r>
        <w:rPr>
          <w:rFonts w:ascii="MS Gothic" w:hAnsi="MS Gothic" w:eastAsia="MS Gothic" w:cs="MS Gothic"/>
        </w:rPr>
        <w:t>だからである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«بە کلامەکانی فریشتەکە، “من جبرائیلم، ئەوەی لە بەردەم خودا دەوەستم،” دەردەکەوێت کە ئەو لە دادگاکانی ئاسماندا پایەیەکی بەرزی ڕێز و شەرەفی هەیە. کاتێک بە پەیامێک هات بۆ دانیال، وتی: “هیچ‌کەس نییە کە لەم شتانەدا لەگەڵ من ڕابوەستێت، جگە لە میکائیل [مەسیح]، سەرۆکی تۆ.” دانیال 10:21. دەربارەی جبرائیل، ڕزگارکەر لە ئاشکراکردندا دەفەرموێت کە “ئەوی نارد و بە فریشتەی خۆی بۆ خزمەتکاری خۆی یۆحەننا ئاماژەی پێدا.” ئاشکراکردن 1:1.» — ئارەزووی تەمەنەکان، 99.</w:t>
      </w:r>
    </w:p>
    <w:p>
      <w:pPr>
        <w:pStyle w:val="ArticleBody"/>
        <w:jc w:val="left"/>
      </w:pPr>
      <w:r>
        <w:rPr>
          <w:rFonts w:ascii="Times New Roman" w:hAnsi="Times New Roman" w:eastAsia="Times New Roman" w:cs="Times New Roman"/>
        </w:rPr>
        <w:t>Գաբրիելն ու մյուս հրեշտակները ուղարկվեցին առաջնորդելու Միլլերի միտքը և «նրա հասկացողության համար բացելու այն մարգարեությունները, որոնք միշտ խավար էին եղել Աստծո ժողովրդի համար»։ Նրա պատգամը ձևավորված չէր պարզապես իր ուսումնասիրության մեթոդի միջոցով, այլև աստվածային հայտնությամբ։ Աստվածաշունչը ուսումնասիրելու հենց այն մեթոդը, որ նա գործածեց, ներշնչվել էր նրա մտքին։ Երբ Աստված ճշմարտությունը բերում է մեր մտքին, դա աստվածային հայտնություն է՝ ի տարբերություն այն բանի, երբ ճշմարտությանը հասնում ենք Աստվածաշունչը ճիշտ բաժանելու գործընթացով։ Միլլերը երկուսն էլ արեց, սակայն աստվածային հայտնությունը պարտադիր պետք է մաս կազմեր այն կերպի, որով Միլլերը եկավ հասկանալու «մշտականի» թեման։</w:t>
      </w:r>
    </w:p>
    <w:p>
      <w:pPr>
        <w:pStyle w:val="ArticleBody"/>
        <w:jc w:val="left"/>
      </w:pPr>
      <w:r>
        <w:rPr>
          <w:rFonts w:ascii="Times New Roman" w:hAnsi="Times New Roman" w:eastAsia="Times New Roman" w:cs="Times New Roman"/>
        </w:rPr>
        <w:t>ميللر لم يكن ليدرك تذبذب الجنس النحوي في دانيال الأصحاح الثامن، الآيات من تسع إلى اثنتي عشرة، إذ لم يكن لديه سوى الكتاب المقدس وفهرس ألفاظ خالٍ من أي معلومات تتعلق باللغات الكتابية. ولم يكن ليرى التمييز بين «sur» و«rum»، وكلاهما يُترجَم بـ «يأخذ بعيدًا». ولم يكن ليرى التمييز بين «miqdash» و«qodesh»، وكلاهما يُترجَم بـ «المقدس».</w:t>
      </w:r>
    </w:p>
    <w:p>
      <w:pPr>
        <w:pStyle w:val="ArticleBody"/>
        <w:jc w:val="left"/>
      </w:pPr>
      <w:r>
        <w:rPr>
          <w:rFonts w:ascii="Times New Roman" w:hAnsi="Times New Roman" w:eastAsia="Times New Roman" w:cs="Times New Roman"/>
        </w:rPr>
        <w:t>Axa kitaabdu Qulqulluu keessaa yeroo dhibba tokkoo fi afuritti argamu dhugaa jecha “tamid” sanaa hin argu ture. Dhugaan inni arguu hin dandeenye (innis dhugaa isuma inni arge sanaa dha), yeroo dhibba tokkoo fi afuritti jechi Ibrootaa “tamid” kitaaba Qulqulluu keessatti itti fayyadame keessaa, kitaaba Daaniʼel keessatti qofa jechi Ibrootaa “tamid” maqaa jechuun itti fayyadama. “Tamid” jechuun jecha Ibrootaa “kan yeroo hundumaa itti fufu” jechuudha; kitaaba Daaniʼel keessattis “the daily” jedhamee hiikama.</w:t>
      </w:r>
    </w:p>
    <w:p>
      <w:pPr>
        <w:pStyle w:val="ArticleBody"/>
        <w:jc w:val="left"/>
      </w:pPr>
      <w:r>
        <w:rPr>
          <w:rFonts w:ascii="Times New Roman" w:hAnsi="Times New Roman" w:eastAsia="Times New Roman" w:cs="Times New Roman"/>
        </w:rPr>
        <w:t>Mabitog laeng iti libro ni Daniel a nausar dayta a sao kas maysa a pangngaran, ket iti dadduma a siam a pulo ket siam a panawen nausarna kas pangadberbio. Gapuna, idi sinangona dagiti mangipatarus iti Biblia a King James ni Daniel a mangusar iti sao a lima a daras kas pangngaran, idinto a amin dagiti dadduma a mannurat iti Biblia inusar da dayta a sao iti siam a pulo ket siam a daras kas pangadberbio, napilitanda babaen iti kinadagsen ti pammaneknek a patarusen ti panangusar ni Daniel iti sao kas pangngaran. Tapno patarusen da ni Daniel, inayon da ti sao a “sacrifice” iti Sao, ket kastoy a pinagbalinda ti maysa a pangngaran a pangadberbio. Ket kalpasanna, tapno patarusen ti mangipatarus, naipaltiing ken Ellen White a maisurat nga isu, “nakitak maipapan iti ‘Daily,’ a ti sao a ‘sacrifice’ ket insuplir ti sirib ti tao, ket saan a kukua ti teksto; ket ti Apo intedna ti husto a pannakaawat dayta kadagidiay nangted iti ipukkaw ti oras ti panangokom.”</w:t>
      </w:r>
    </w:p>
    <w:p>
      <w:pPr>
        <w:pStyle w:val="ArticleBody"/>
        <w:jc w:val="left"/>
      </w:pPr>
      <w:r>
        <w:rPr>
          <w:rFonts w:ascii="Times New Roman" w:hAnsi="Times New Roman" w:eastAsia="Times New Roman" w:cs="Times New Roman"/>
        </w:rPr>
        <w:t>Miller, ba n’adansedi ankasa no, na ɔrehwehwɛ sɛ ɔte aseɛ deɛ “daa daa no” kyerɛ, na awiei koraa ɔtee aseɛ wɔ 2 Thessalonicafoɔ mu. Nanso bio, sɛdeɛ n’adansedi ankasa kyerɛ no, berɛ a na ɔrehwehwɛ sɛ ɔte asɛmfua bi aseɛ no, na ɔhwɛ baabiara a wɔde saa asɛmfua no adi dwuma, na wɔde saa asɛmfua no adi dwuma mpɛn aduɔkron akron bio wɔ Bible no mu. Nanso n’adansedi fa “daa daa no” ho ne sɛ, wanhunu baabiara bio ka Daniel nwoma no ho, berɛ a ɔkaa sɛ, “Mekɔɔ so kenkan, na mantumi anhunu baabi foforɔ biara a wɔahunuu no [daa daa no], gye Daniel mu nko ara.” Wɔde Miller kɔɔ agudeɛ no ho ɛnyɛ ne suapɔn kwan no nko ara so, na mmom ɛnam ɔsoro adiyisɛm a wɔde maa no faa abɔfoɔ som adwuma no so nso.</w:t>
      </w:r>
    </w:p>
    <w:p>
      <w:pPr>
        <w:pStyle w:val="ArticleBody"/>
        <w:jc w:val="left"/>
      </w:pPr>
      <w:r>
        <w:rPr>
          <w:rFonts w:ascii="Times New Roman" w:hAnsi="Times New Roman" w:eastAsia="Times New Roman" w:cs="Times New Roman"/>
        </w:rPr>
        <w:t>Ayma sebeboo inni inni hubbannoo isaa “kan guyyaa guyyaa” jedhamu irratti sirrii ture, garuu daangeffamaa ture. Yeroo shanan “kan guyyaa guyyaa” jedhamuun kitaaba Daaniʼel keessatti ibsame keessaa, yeroo sadan keessaa yeroo tokko “kan guyyaa guyyaa” “fudhatame” jechuun yeroo lamaan kaan irraa hiika adda taʼe akka agarsiisu hubachuu hin dandeenye. Yeroo tokko “kan guyyaa guyyaa” jedhu jecha Ibrootaa “rum” wajjin fayyadameera; yeroo lamaan kaan immoo jecha Ibrootaa “sur” wajjin fayyadameera. Jechoonni lamaan isaanii iyyuu “fudhachuu” jechuun hiikamu; garuu “rum” inni Daaniʼel boqonnaa saddeet, lakkoofsa kudha tokko keessatti jiru “ol kaasuu fi ulfeessuu” jechuun hiikama; boqonnaa kudha tokko, lakkoofsa soddomii tokko keessatti, akkasumas boqonnaa kudha lama, lakkoofsa kudha tokko keessatti, jechi “sur” immoo “kaasuu” jechuun hiikama.</w:t>
      </w:r>
    </w:p>
    <w:p>
      <w:pPr>
        <w:pStyle w:val="ArticleBody"/>
        <w:jc w:val="left"/>
      </w:pP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ꯆꯥꯛ</w:t>
      </w:r>
      <w:r>
        <w:rPr>
          <w:rFonts w:ascii="Times New Roman" w:hAnsi="Times New Roman" w:eastAsia="Times New Roman" w:cs="Times New Roman"/>
        </w:rPr>
        <w:t>-</w:t>
      </w:r>
      <w:r>
        <w:rPr>
          <w:rFonts w:ascii="Nirmala UI" w:hAnsi="Nirmala UI" w:eastAsia="Nirmala UI" w:cs="Nirmala UI"/>
        </w:rPr>
        <w:t>ꯊꯨꯡ</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ꯊꯤꯑꯣꯂꯣꯖꯤꯑꯥꯟꯁꯤꯡꯅ</w:t>
      </w:r>
      <w:r>
        <w:rPr>
          <w:rFonts w:ascii="Times New Roman" w:hAnsi="Times New Roman" w:eastAsia="Times New Roman" w:cs="Times New Roman"/>
        </w:rPr>
        <w:t xml:space="preserve"> </w:t>
      </w:r>
      <w:r>
        <w:rPr>
          <w:rFonts w:ascii="Nirmala UI" w:hAnsi="Nirmala UI" w:eastAsia="Nirmala UI" w:cs="Nirmala UI"/>
        </w:rPr>
        <w:t>ꯌꯥꯛꯈꯤ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ꯂꯧꯊꯣꯛꯂꯒꯥ</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ꯅꯨꯡꯉꯥꯏꯍꯟꯕꯥ</w:t>
      </w:r>
      <w:r>
        <w:rPr>
          <w:rFonts w:ascii="Times New Roman" w:hAnsi="Times New Roman" w:eastAsia="Times New Roman" w:cs="Times New Roman"/>
        </w:rPr>
        <w:t xml:space="preserve"> </w:t>
      </w:r>
      <w:r>
        <w:rPr>
          <w:rFonts w:ascii="Nirmala UI" w:hAnsi="Nirmala UI" w:eastAsia="Nirmala UI" w:cs="Nirmala UI"/>
        </w:rPr>
        <w:t>ꯃꯇꯝꯗꯥꯁꯨ</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ꯑꯅꯤꯃꯛꯅꯥ</w:t>
      </w:r>
      <w:r>
        <w:rPr>
          <w:rFonts w:ascii="Times New Roman" w:hAnsi="Times New Roman" w:eastAsia="Times New Roman" w:cs="Times New Roman"/>
        </w:rPr>
        <w:t xml:space="preserve"> </w:t>
      </w:r>
      <w:r>
        <w:rPr>
          <w:rFonts w:ascii="Nirmala UI" w:hAnsi="Nirmala UI" w:eastAsia="Nirmala UI" w:cs="Nirmala UI"/>
        </w:rPr>
        <w:t>ꯂꯧꯊꯣꯛꯄꯒꯤ</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ꯈꯪꯍꯟꯒꯗꯕꯅꯤꯡꯉꯥꯏ꯫</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ꯌꯥꯛꯈꯤ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“the daily”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“taken away”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ꯑꯔꯊꯅꯤ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ꯈꯅꯕꯒꯤ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ꯐꯖꯔꯥ</w:t>
      </w:r>
      <w:r>
        <w:rPr>
          <w:rFonts w:ascii="Times New Roman" w:hAnsi="Times New Roman" w:eastAsia="Times New Roman" w:cs="Times New Roman"/>
        </w:rPr>
        <w:t xml:space="preserve"> </w:t>
      </w:r>
      <w:r>
        <w:rPr>
          <w:rFonts w:ascii="Nirmala UI" w:hAnsi="Nirmala UI" w:eastAsia="Nirmala UI" w:cs="Nirmala UI"/>
        </w:rPr>
        <w:t>ꯃꯌꯥꯡ</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ꯑꯣꯏꯈꯤꯕꯅꯤꯡꯉꯥꯏ꯫</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ꯅꯠꯇ꯭ꯔꯕꯁꯨ</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ꯊꯣꯛꯂꯛꯄꯒꯤ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ꯊꯤꯡꯕꯁꯤ</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“sur”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ꯋꯥꯍꯩꯗꯨ</w:t>
      </w:r>
      <w:r>
        <w:rPr>
          <w:rFonts w:ascii="Times New Roman" w:hAnsi="Times New Roman" w:eastAsia="Times New Roman" w:cs="Times New Roman"/>
        </w:rPr>
        <w:t xml:space="preserve"> </w:t>
      </w:r>
      <w:r>
        <w:rPr>
          <w:rFonts w:ascii="Nirmala UI" w:hAnsi="Nirmala UI" w:eastAsia="Nirmala UI" w:cs="Nirmala UI"/>
        </w:rPr>
        <w:t>ꯑꯍꯨꯝꯃꯛꯇꯥ</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ꯊꯥꯗꯣꯛꯑꯕ</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ꯊꯤꯑꯣꯂꯣꯖꯤꯑꯥꯟꯁꯤꯡꯒꯤ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“the daily” </w:t>
      </w:r>
      <w:r>
        <w:rPr>
          <w:rFonts w:ascii="Nirmala UI" w:hAnsi="Nirmala UI" w:eastAsia="Nirmala UI" w:cs="Nirmala UI"/>
        </w:rPr>
        <w:t>ꯁꯤ</w:t>
      </w:r>
      <w:r>
        <w:rPr>
          <w:rFonts w:ascii="Times New Roman" w:hAnsi="Times New Roman" w:eastAsia="Times New Roman" w:cs="Times New Roman"/>
        </w:rPr>
        <w:t xml:space="preserve"> “taken away”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ꯈꯨꯗꯤꯡꯃꯛꯇꯥ</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ꯑꯃꯥꯅꯕ</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ꯄꯤꯕꯅꯤꯡꯉꯥꯏ꯫</w:t>
      </w:r>
    </w:p>
    <w:p>
      <w:pPr>
        <w:pStyle w:val="ArticleBody"/>
        <w:jc w:val="left"/>
      </w:pPr>
      <w:r>
        <w:rPr>
          <w:rFonts w:ascii="Times New Roman" w:hAnsi="Times New Roman" w:eastAsia="Times New Roman" w:cs="Times New Roman"/>
        </w:rPr>
        <w:t>چەشت وەها لەگەڵ وشەکانی «miqdash» و «qodesh» دەکەن کە هەردووکیان وەک «پیرۆزگا» وەرگێڕدراون، لە ئایەتەکانی یازدە تا چواردەی بەشی هەشتدا. لە هەر ئاماژەیەک بە «پیرۆزگا» لەو چوار ئایەتەدا، ئەوان بە پێداگری دەڵێن هەموویان نوێنەرایەتی پیرۆزگای خودا دەکەن. دیسان بە هەمان شێوەی لێکدانەوە، دانیال دەبووایە تەنها «qodesh» بەکاربهێنایە لە هەموو سێ ئاماژەکەدا، نەک ئەوەی «miqdash» لە ئایەتی یازدەدا بەکاربهێنێت. Miller جیاوازیی نێوان ئەو وشانەی نەدەناسی، بەڵام ئەڵهیدانە نوێییەکان دەیانناسن، و کاتێک دەیانناسن، بە پێداگری دەڵێن نابێت هیچ جیاوازییەک بناسرێت. هەرچەندە Miller، کە جیاوازیی نێوان ئەو وشانەی نەدەناسی، بە تێگەیشتنێکی تەواو پێچەوانەی ئەڵهیدانە نوێییەکان گەیشت.</w:t>
      </w:r>
    </w:p>
    <w:p>
      <w:pPr>
        <w:pStyle w:val="ArticleBody"/>
        <w:jc w:val="left"/>
      </w:pPr>
      <w:r>
        <w:rPr>
          <w:rFonts w:ascii="Leelawadee UI" w:hAnsi="Leelawadee UI" w:eastAsia="Leelawadee UI" w:cs="Leelawadee UI"/>
        </w:rPr>
        <w:t>ភាពជាក់ស្តែងគឺថា</w:t>
      </w:r>
      <w:r>
        <w:rPr>
          <w:rFonts w:ascii="Times New Roman" w:hAnsi="Times New Roman" w:eastAsia="Times New Roman" w:cs="Times New Roman"/>
        </w:rPr>
        <w:t xml:space="preserve"> </w:t>
      </w:r>
      <w:r>
        <w:rPr>
          <w:rFonts w:ascii="Leelawadee UI" w:hAnsi="Leelawadee UI" w:eastAsia="Leelawadee UI" w:cs="Leelawadee UI"/>
        </w:rPr>
        <w:t>ដានីយ៉ែលជាអ្នកនិពន្ធដែលប្រុងប្រយ័ត្នយ៉ាងខ្លាំង</w:t>
      </w:r>
      <w:r>
        <w:rPr>
          <w:rFonts w:ascii="Times New Roman" w:hAnsi="Times New Roman" w:eastAsia="Times New Roman" w:cs="Times New Roman"/>
        </w:rPr>
        <w:t xml:space="preserve"> </w:t>
      </w:r>
      <w:r>
        <w:rPr>
          <w:rFonts w:ascii="Leelawadee UI" w:hAnsi="Leelawadee UI" w:eastAsia="Leelawadee UI" w:cs="Leelawadee UI"/>
        </w:rPr>
        <w:t>ម្នាក់ដែលស្គាល់ភាសាហេប្រ៊ូ</w:t>
      </w:r>
      <w:r>
        <w:rPr>
          <w:rFonts w:ascii="Times New Roman" w:hAnsi="Times New Roman" w:eastAsia="Times New Roman" w:cs="Times New Roman"/>
        </w:rPr>
        <w:t xml:space="preserve"> </w:t>
      </w:r>
      <w:r>
        <w:rPr>
          <w:rFonts w:ascii="Leelawadee UI" w:hAnsi="Leelawadee UI" w:eastAsia="Leelawadee UI" w:cs="Leelawadee UI"/>
        </w:rPr>
        <w:t>ហើយត្រូវបានវិនិច្ឆ័យថាមានប្រាជ្ញាលើសអ្នកប្រាជ្ញទាំងអស់នៅបាប៊ីឡូនដល់ទៅដប់ដង</w:t>
      </w:r>
      <w:r>
        <w:rPr>
          <w:rFonts w:ascii="Times New Roman" w:hAnsi="Times New Roman" w:eastAsia="Times New Roman" w:cs="Times New Roman"/>
        </w:rPr>
        <w:t xml:space="preserve"> </w:t>
      </w:r>
      <w:r>
        <w:rPr>
          <w:rFonts w:ascii="Leelawadee UI" w:hAnsi="Leelawadee UI" w:eastAsia="Leelawadee UI" w:cs="Leelawadee UI"/>
        </w:rPr>
        <w:t>ដែលពួកគេក៏ជាមនុស្សមានប្រាជ្ញាយ៉ាងខ្លាំងនៅក្នុងសង្គមរបស់ខ្លួនផងដែរ។</w:t>
      </w:r>
      <w:r>
        <w:rPr>
          <w:rFonts w:ascii="Times New Roman" w:hAnsi="Times New Roman" w:eastAsia="Times New Roman" w:cs="Times New Roman"/>
        </w:rPr>
        <w:t xml:space="preserve"> </w:t>
      </w:r>
      <w:r>
        <w:rPr>
          <w:rFonts w:ascii="Leelawadee UI" w:hAnsi="Leelawadee UI" w:eastAsia="Leelawadee UI" w:cs="Leelawadee UI"/>
        </w:rPr>
        <w:t>ប្រសិនបើមាននរណាម្នាក់ស្គាល់ការប្រើប្រាស់ត្រឹមត្រូវនៃភាសាហេប្រ៊ូ</w:t>
      </w:r>
      <w:r>
        <w:rPr>
          <w:rFonts w:ascii="Times New Roman" w:hAnsi="Times New Roman" w:eastAsia="Times New Roman" w:cs="Times New Roman"/>
        </w:rPr>
        <w:t xml:space="preserve"> </w:t>
      </w:r>
      <w:r>
        <w:rPr>
          <w:rFonts w:ascii="Leelawadee UI" w:hAnsi="Leelawadee UI" w:eastAsia="Leelawadee UI" w:cs="Leelawadee UI"/>
        </w:rPr>
        <w:t>និងរបៀបដែលវាគួរត្រូវបានបង្ហាញឲ្យត្រឹមត្រូវនៅក្នុងប្រវត្តិសាស្ត្រពិសេសនោះ</w:t>
      </w:r>
      <w:r>
        <w:rPr>
          <w:rFonts w:ascii="Times New Roman" w:hAnsi="Times New Roman" w:eastAsia="Times New Roman" w:cs="Times New Roman"/>
        </w:rPr>
        <w:t xml:space="preserve"> </w:t>
      </w:r>
      <w:r>
        <w:rPr>
          <w:rFonts w:ascii="Leelawadee UI" w:hAnsi="Leelawadee UI" w:eastAsia="Leelawadee UI" w:cs="Leelawadee UI"/>
        </w:rPr>
        <w:t>មនុស្សនោះគឺដានីយ៉ែល។</w:t>
      </w:r>
      <w:r>
        <w:rPr>
          <w:rFonts w:ascii="Times New Roman" w:hAnsi="Times New Roman" w:eastAsia="Times New Roman" w:cs="Times New Roman"/>
        </w:rPr>
        <w:t xml:space="preserve"> </w:t>
      </w:r>
      <w:r>
        <w:rPr>
          <w:rFonts w:ascii="Leelawadee UI" w:hAnsi="Leelawadee UI" w:eastAsia="Leelawadee UI" w:cs="Leelawadee UI"/>
        </w:rPr>
        <w:t>ប្រសិនបើដានីយ៉ែលបានប្រើពាក្យខុសៗគ្នា</w:t>
      </w:r>
      <w:r>
        <w:rPr>
          <w:rFonts w:ascii="Times New Roman" w:hAnsi="Times New Roman" w:eastAsia="Times New Roman" w:cs="Times New Roman"/>
        </w:rPr>
        <w:t xml:space="preserve"> </w:t>
      </w:r>
      <w:r>
        <w:rPr>
          <w:rFonts w:ascii="Leelawadee UI" w:hAnsi="Leelawadee UI" w:eastAsia="Leelawadee UI" w:cs="Leelawadee UI"/>
        </w:rPr>
        <w:t>នោះគឺដោយសារពាក្យទាំងនោះត្រូវបានបម្រុងទុកឲ្យបញ្ជាក់នូវអត្ថន័យខុសៗគ្នា</w:t>
      </w:r>
      <w:r>
        <w:rPr>
          <w:rFonts w:ascii="Times New Roman" w:hAnsi="Times New Roman" w:eastAsia="Times New Roman" w:cs="Times New Roman"/>
        </w:rPr>
        <w:t xml:space="preserve"> </w:t>
      </w:r>
      <w:r>
        <w:rPr>
          <w:rFonts w:ascii="Leelawadee UI" w:hAnsi="Leelawadee UI" w:eastAsia="Leelawadee UI" w:cs="Leelawadee UI"/>
        </w:rPr>
        <w:t>ដែលគាត់បានខិតខំបង្ហាញដោយចេតនា។</w:t>
      </w:r>
      <w:r>
        <w:rPr>
          <w:rFonts w:ascii="Times New Roman" w:hAnsi="Times New Roman" w:eastAsia="Times New Roman" w:cs="Times New Roman"/>
        </w:rPr>
        <w:t xml:space="preserve"> </w:t>
      </w:r>
      <w:r>
        <w:rPr>
          <w:rFonts w:ascii="Leelawadee UI" w:hAnsi="Leelawadee UI" w:eastAsia="Leelawadee UI" w:cs="Leelawadee UI"/>
        </w:rPr>
        <w:t>នៅពេលដែលការប្រើប្រាស់ដោយឡែករបស់ដានីយ៉ែលចំពោះពាក្យដែលត្រូវបានបកប្រែថា</w:t>
      </w:r>
      <w:r>
        <w:rPr>
          <w:rFonts w:ascii="Times New Roman" w:hAnsi="Times New Roman" w:eastAsia="Times New Roman" w:cs="Times New Roman"/>
        </w:rPr>
        <w:t xml:space="preserve"> “</w:t>
      </w:r>
      <w:r>
        <w:rPr>
          <w:rFonts w:ascii="Leelawadee UI" w:hAnsi="Leelawadee UI" w:eastAsia="Leelawadee UI" w:cs="Leelawadee UI"/>
        </w:rPr>
        <w:t>ទីបរិសុទ្ធ</w:t>
      </w:r>
      <w:r>
        <w:rPr>
          <w:rFonts w:ascii="Times New Roman" w:hAnsi="Times New Roman" w:eastAsia="Times New Roman" w:cs="Times New Roman"/>
        </w:rPr>
        <w:t xml:space="preserve">” </w:t>
      </w:r>
      <w:r>
        <w:rPr>
          <w:rFonts w:ascii="Leelawadee UI" w:hAnsi="Leelawadee UI" w:eastAsia="Leelawadee UI" w:cs="Leelawadee UI"/>
        </w:rPr>
        <w:t>ឬថា</w:t>
      </w:r>
      <w:r>
        <w:rPr>
          <w:rFonts w:ascii="Times New Roman" w:hAnsi="Times New Roman" w:eastAsia="Times New Roman" w:cs="Times New Roman"/>
        </w:rPr>
        <w:t xml:space="preserve"> “</w:t>
      </w:r>
      <w:r>
        <w:rPr>
          <w:rFonts w:ascii="Leelawadee UI" w:hAnsi="Leelawadee UI" w:eastAsia="Leelawadee UI" w:cs="Leelawadee UI"/>
        </w:rPr>
        <w:t>ដកចេញ</w:t>
      </w:r>
      <w:r>
        <w:rPr>
          <w:rFonts w:ascii="Times New Roman" w:hAnsi="Times New Roman" w:eastAsia="Times New Roman" w:cs="Times New Roman"/>
        </w:rPr>
        <w:t xml:space="preserve">” </w:t>
      </w:r>
      <w:r>
        <w:rPr>
          <w:rFonts w:ascii="Leelawadee UI" w:hAnsi="Leelawadee UI" w:eastAsia="Leelawadee UI" w:cs="Leelawadee UI"/>
        </w:rPr>
        <w:t>ត្រូវបានទទួលស្គាល់</w:t>
      </w:r>
      <w:r>
        <w:rPr>
          <w:rFonts w:ascii="Times New Roman" w:hAnsi="Times New Roman" w:eastAsia="Times New Roman" w:cs="Times New Roman"/>
        </w:rPr>
        <w:t xml:space="preserve"> </w:t>
      </w:r>
      <w:r>
        <w:rPr>
          <w:rFonts w:ascii="Leelawadee UI" w:hAnsi="Leelawadee UI" w:eastAsia="Leelawadee UI" w:cs="Leelawadee UI"/>
        </w:rPr>
        <w:t>វាបញ្ជាក់គាំទ្រការយល់ដឹងរបស់មីឡ្លើរ</w:t>
      </w:r>
      <w:r>
        <w:rPr>
          <w:rFonts w:ascii="Times New Roman" w:hAnsi="Times New Roman" w:eastAsia="Times New Roman" w:cs="Times New Roman"/>
        </w:rPr>
        <w:t xml:space="preserve"> </w:t>
      </w:r>
      <w:r>
        <w:rPr>
          <w:rFonts w:ascii="Leelawadee UI" w:hAnsi="Leelawadee UI" w:eastAsia="Leelawadee UI" w:cs="Leelawadee UI"/>
        </w:rPr>
        <w:t>អំពី</w:t>
      </w:r>
      <w:r>
        <w:rPr>
          <w:rFonts w:ascii="Times New Roman" w:hAnsi="Times New Roman" w:eastAsia="Times New Roman" w:cs="Times New Roman"/>
        </w:rPr>
        <w:t xml:space="preserve"> “</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ដែលមីឡ្លើរបានទទួលស្គាល់នៅក្នុងខគម្ពីរដែលប៉ូលកំណត់អត្តសញ្ញាណថា</w:t>
      </w:r>
      <w:r>
        <w:rPr>
          <w:rFonts w:ascii="Times New Roman" w:hAnsi="Times New Roman" w:eastAsia="Times New Roman" w:cs="Times New Roman"/>
        </w:rPr>
        <w:t xml:space="preserve"> </w:t>
      </w:r>
      <w:r>
        <w:rPr>
          <w:rFonts w:ascii="Leelawadee UI" w:hAnsi="Leelawadee UI" w:eastAsia="Leelawadee UI" w:cs="Leelawadee UI"/>
        </w:rPr>
        <w:t>អស់អ្នកដែលស្អប់សេចក្តីពិត</w:t>
      </w:r>
      <w:r>
        <w:rPr>
          <w:rFonts w:ascii="Times New Roman" w:hAnsi="Times New Roman" w:eastAsia="Times New Roman" w:cs="Times New Roman"/>
        </w:rPr>
        <w:t xml:space="preserve"> </w:t>
      </w:r>
      <w:r>
        <w:rPr>
          <w:rFonts w:ascii="Leelawadee UI" w:hAnsi="Leelawadee UI" w:eastAsia="Leelawadee UI" w:cs="Leelawadee UI"/>
        </w:rPr>
        <w:t>ត្រូវបានកំណត់ឲ្យទទួលការភាន់ច្រឡំយ៉ាងខ្លាំង។</w:t>
      </w:r>
    </w:p>
    <w:p>
      <w:pPr>
        <w:pStyle w:val="ArticleBody"/>
        <w:jc w:val="left"/>
      </w:pPr>
      <w:r>
        <w:rPr>
          <w:rFonts w:ascii="Gadugi" w:hAnsi="Gadugi" w:eastAsia="Gadugi" w:cs="Gadugi"/>
        </w:rPr>
        <w:t>ᎤᏂᏍᎦᏅᎢ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ᎤᏂᎦᏔᎲᎢ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ᎤᏎᎪᎩ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ᎠᎬᏱᏍᎩ</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ᎠᏩᏛᎯ</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ᎨᏏ</w:t>
      </w:r>
      <w:r>
        <w:rPr>
          <w:rFonts w:ascii="Times New Roman" w:hAnsi="Times New Roman" w:eastAsia="Times New Roman" w:cs="Times New Roman"/>
        </w:rPr>
        <w:t xml:space="preserve"> </w:t>
      </w:r>
      <w:r>
        <w:rPr>
          <w:rFonts w:ascii="Gadugi" w:hAnsi="Gadugi" w:eastAsia="Gadugi" w:cs="Gadugi"/>
        </w:rPr>
        <w:t>ᎤᎾᏟᏍᏗ</w:t>
      </w:r>
      <w:r>
        <w:rPr>
          <w:rFonts w:ascii="Times New Roman" w:hAnsi="Times New Roman" w:eastAsia="Times New Roman" w:cs="Times New Roman"/>
        </w:rPr>
        <w:t xml:space="preserve"> </w:t>
      </w:r>
      <w:r>
        <w:rPr>
          <w:rFonts w:ascii="Gadugi" w:hAnsi="Gadugi" w:eastAsia="Gadugi" w:cs="Gadugi"/>
        </w:rPr>
        <w:t>ᎡᏆᎵᎻ</w:t>
      </w:r>
      <w:r>
        <w:rPr>
          <w:rFonts w:ascii="Times New Roman" w:hAnsi="Times New Roman" w:eastAsia="Times New Roman" w:cs="Times New Roman"/>
        </w:rPr>
        <w:t xml:space="preserve"> </w:t>
      </w:r>
      <w:r>
        <w:rPr>
          <w:rFonts w:ascii="Gadugi" w:hAnsi="Gadugi" w:eastAsia="Gadugi" w:cs="Gadugi"/>
        </w:rPr>
        <w:t>ᎠᏂᏗᏔᎮᎯ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ᎠᏂᏥᏙᎲᎢ</w:t>
      </w:r>
      <w:r>
        <w:rPr>
          <w:rFonts w:ascii="Times New Roman" w:hAnsi="Times New Roman" w:eastAsia="Times New Roman" w:cs="Times New Roman"/>
        </w:rPr>
        <w:t xml:space="preserve">. </w:t>
      </w:r>
      <w:r>
        <w:rPr>
          <w:rFonts w:ascii="Gadugi" w:hAnsi="Gadugi" w:eastAsia="Gadugi" w:cs="Gadugi"/>
        </w:rPr>
        <w:t>ᎢᎬᏱᏍᎩ</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ᎠᏂᎦᏔᎿᎢ</w:t>
      </w:r>
      <w:r>
        <w:rPr>
          <w:rFonts w:ascii="Times New Roman" w:hAnsi="Times New Roman" w:eastAsia="Times New Roman" w:cs="Times New Roman"/>
        </w:rPr>
        <w:t xml:space="preserve"> </w:t>
      </w:r>
      <w:r>
        <w:rPr>
          <w:rFonts w:ascii="Gadugi" w:hAnsi="Gadugi" w:eastAsia="Gadugi" w:cs="Gadugi"/>
        </w:rPr>
        <w:t>ᎠᏂᎾᏝᎢ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ᎠᏂᏁᎫᏥᎢ</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ᏑᎾᏓᏛᏁᏗ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ᎤᎾᏛᏓᏍᏗ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ᎠᏂᎦᏔᎿᎢ</w:t>
      </w:r>
      <w:r>
        <w:rPr>
          <w:rFonts w:ascii="Times New Roman" w:hAnsi="Times New Roman" w:eastAsia="Times New Roman" w:cs="Times New Roman"/>
        </w:rPr>
        <w:t xml:space="preserve"> </w:t>
      </w:r>
      <w:r>
        <w:rPr>
          <w:rFonts w:ascii="Gadugi" w:hAnsi="Gadugi" w:eastAsia="Gadugi" w:cs="Gadugi"/>
        </w:rPr>
        <w:t>ᎠᏂᏁᏪᏍᎬᎢ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ᎤᏂᏚᎵᏍᎬ</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ᎠᏎᎪᎩ</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ᎤᏂᏍᏓᏩᏛᎢ</w:t>
      </w:r>
      <w:r>
        <w:rPr>
          <w:rFonts w:ascii="Times New Roman" w:hAnsi="Times New Roman" w:eastAsia="Times New Roman" w:cs="Times New Roman"/>
        </w:rPr>
        <w:t xml:space="preserve"> </w:t>
      </w:r>
      <w:r>
        <w:rPr>
          <w:rFonts w:ascii="Gadugi" w:hAnsi="Gadugi" w:eastAsia="Gadugi" w:cs="Gadugi"/>
        </w:rPr>
        <w:t>ᎠᏂᏍᏓᏟᎶᏍᏔᏅ</w:t>
      </w:r>
      <w:r>
        <w:rPr>
          <w:rFonts w:ascii="Times New Roman" w:hAnsi="Times New Roman" w:eastAsia="Times New Roman" w:cs="Times New Roman"/>
        </w:rPr>
        <w:t xml:space="preserve"> </w:t>
      </w:r>
      <w:r>
        <w:rPr>
          <w:rFonts w:ascii="Gadugi" w:hAnsi="Gadugi" w:eastAsia="Gadugi" w:cs="Gadugi"/>
        </w:rPr>
        <w:t>ᎠᏲᎱᏍᎬᎢ</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ᎦᏌᏉ</w:t>
      </w:r>
      <w:r>
        <w:rPr>
          <w:rFonts w:ascii="Times New Roman" w:hAnsi="Times New Roman" w:eastAsia="Times New Roman" w:cs="Times New Roman"/>
        </w:rPr>
        <w:t xml:space="preserve"> </w:t>
      </w:r>
      <w:r>
        <w:rPr>
          <w:rFonts w:ascii="Gadugi" w:hAnsi="Gadugi" w:eastAsia="Gadugi" w:cs="Gadugi"/>
        </w:rPr>
        <w:t>ᎤᏗᏅᏒ</w:t>
      </w:r>
      <w:r>
        <w:rPr>
          <w:rFonts w:ascii="Times New Roman" w:hAnsi="Times New Roman" w:eastAsia="Times New Roman" w:cs="Times New Roman"/>
        </w:rPr>
        <w:t xml:space="preserve"> </w:t>
      </w:r>
      <w:r>
        <w:rPr>
          <w:rFonts w:ascii="Gadugi" w:hAnsi="Gadugi" w:eastAsia="Gadugi" w:cs="Gadugi"/>
        </w:rPr>
        <w:t>ᎠᏂᏍᏆᎸᏔᏅ</w:t>
      </w:r>
      <w:r>
        <w:rPr>
          <w:rFonts w:ascii="Times New Roman" w:hAnsi="Times New Roman" w:eastAsia="Times New Roman" w:cs="Times New Roman"/>
        </w:rPr>
        <w:t xml:space="preserve"> </w:t>
      </w:r>
      <w:r>
        <w:rPr>
          <w:rFonts w:ascii="Gadugi" w:hAnsi="Gadugi" w:eastAsia="Gadugi" w:cs="Gadugi"/>
        </w:rPr>
        <w:t>ᎭᏆᎫ</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ᎤᎾᏞᎾᎥ</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 xml:space="preserve"> </w:t>
      </w:r>
      <w:r>
        <w:rPr>
          <w:rFonts w:ascii="Gadugi" w:hAnsi="Gadugi" w:eastAsia="Gadugi" w:cs="Gadugi"/>
        </w:rPr>
        <w:t>ᎹᏚ</w:t>
      </w:r>
      <w:r>
        <w:rPr>
          <w:rFonts w:ascii="Times New Roman" w:hAnsi="Times New Roman" w:eastAsia="Times New Roman" w:cs="Times New Roman"/>
        </w:rPr>
        <w:t xml:space="preserve"> </w:t>
      </w:r>
      <w:r>
        <w:rPr>
          <w:rFonts w:ascii="Gadugi" w:hAnsi="Gadugi" w:eastAsia="Gadugi" w:cs="Gadugi"/>
        </w:rPr>
        <w:t>ᏔᎵᏍᎪ</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ᎤᎾᏓᏅᏒ</w:t>
      </w:r>
      <w:r>
        <w:rPr>
          <w:rFonts w:ascii="Times New Roman" w:hAnsi="Times New Roman" w:eastAsia="Times New Roman" w:cs="Times New Roman"/>
        </w:rPr>
        <w:t xml:space="preserve"> </w:t>
      </w:r>
      <w:r>
        <w:rPr>
          <w:rFonts w:ascii="Gadugi" w:hAnsi="Gadugi" w:eastAsia="Gadugi" w:cs="Gadugi"/>
        </w:rPr>
        <w:t>ᎠᎦᎵᏍᎩ</w:t>
      </w:r>
      <w:r>
        <w:rPr>
          <w:rFonts w:ascii="Times New Roman" w:hAnsi="Times New Roman" w:eastAsia="Times New Roman" w:cs="Times New Roman"/>
        </w:rPr>
        <w:t xml:space="preserve"> </w:t>
      </w:r>
      <w:r>
        <w:rPr>
          <w:rFonts w:ascii="Gadugi" w:hAnsi="Gadugi" w:eastAsia="Gadugi" w:cs="Gadugi"/>
        </w:rPr>
        <w:t>ᎤᏍᏆᎵᏱ</w:t>
      </w:r>
      <w:r>
        <w:rPr>
          <w:rFonts w:ascii="Times New Roman" w:hAnsi="Times New Roman" w:eastAsia="Times New Roman" w:cs="Times New Roman"/>
        </w:rPr>
        <w:t xml:space="preserve"> </w:t>
      </w:r>
      <w:r>
        <w:rPr>
          <w:rFonts w:ascii="Gadugi" w:hAnsi="Gadugi" w:eastAsia="Gadugi" w:cs="Gadugi"/>
        </w:rPr>
        <w:t>ᎤᏂᏓᎴᎰᎢ</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ᎠᎵᏍᏆᏂᎪᏗ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ᎠᏍᎪᎯᏍᏔᏅ</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ᎢᏯᏍᏆᏂᎪᏗ</w:t>
      </w:r>
      <w:r>
        <w:rPr>
          <w:rFonts w:ascii="Times New Roman" w:hAnsi="Times New Roman" w:eastAsia="Times New Roman" w:cs="Times New Roman"/>
        </w:rPr>
        <w:t xml:space="preserve"> </w:t>
      </w:r>
      <w:r>
        <w:rPr>
          <w:rFonts w:ascii="Gadugi" w:hAnsi="Gadugi" w:eastAsia="Gadugi" w:cs="Gadugi"/>
        </w:rPr>
        <w:t>ᎤᎵᏍᏈᏗ</w:t>
      </w:r>
      <w:r>
        <w:rPr>
          <w:rFonts w:ascii="Times New Roman" w:hAnsi="Times New Roman" w:eastAsia="Times New Roman" w:cs="Times New Roman"/>
        </w:rPr>
        <w:t xml:space="preserve"> </w:t>
      </w:r>
      <w:r>
        <w:rPr>
          <w:rFonts w:ascii="Gadugi" w:hAnsi="Gadugi" w:eastAsia="Gadugi" w:cs="Gadugi"/>
        </w:rPr>
        <w:t>ᏗᎵᏏᎲᎢ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ᎤᎵᏍᏆᎱᏛ</w:t>
      </w:r>
      <w:r>
        <w:rPr>
          <w:rFonts w:ascii="Times New Roman" w:hAnsi="Times New Roman" w:eastAsia="Times New Roman" w:cs="Times New Roman"/>
        </w:rPr>
        <w:t xml:space="preserve"> </w:t>
      </w:r>
      <w:r>
        <w:rPr>
          <w:rFonts w:ascii="Gadugi" w:hAnsi="Gadugi" w:eastAsia="Gadugi" w:cs="Gadugi"/>
        </w:rPr>
        <w:t>ᎠᎦᏔᎲᏍᎬ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ᎠᏎᎸᎢ</w:t>
      </w:r>
      <w:r>
        <w:rPr>
          <w:rFonts w:ascii="Times New Roman" w:hAnsi="Times New Roman" w:eastAsia="Times New Roman" w:cs="Times New Roman"/>
        </w:rPr>
        <w:t xml:space="preserve"> </w:t>
      </w:r>
      <w:r>
        <w:rPr>
          <w:rFonts w:ascii="Gadugi" w:hAnsi="Gadugi" w:eastAsia="Gadugi" w:cs="Gadugi"/>
        </w:rPr>
        <w:t>ᎠᏂᎧᏁᏤᎭ</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ᎤᏟᎶᏍᏔᏁᎸ</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ᎤᎵᏍᏆᎱᏛ</w:t>
      </w:r>
      <w:r>
        <w:rPr>
          <w:rFonts w:ascii="Times New Roman" w:hAnsi="Times New Roman" w:eastAsia="Times New Roman" w:cs="Times New Roman"/>
        </w:rPr>
        <w:t xml:space="preserve"> </w:t>
      </w:r>
      <w:r>
        <w:rPr>
          <w:rFonts w:ascii="Gadugi" w:hAnsi="Gadugi" w:eastAsia="Gadugi" w:cs="Gadugi"/>
        </w:rPr>
        <w:t>ᎠᎦᏔᎲᏍᎬ</w:t>
      </w:r>
      <w:r>
        <w:rPr>
          <w:rFonts w:ascii="Times New Roman" w:hAnsi="Times New Roman" w:eastAsia="Times New Roman" w:cs="Times New Roman"/>
        </w:rPr>
        <w:t xml:space="preserve"> </w:t>
      </w:r>
      <w:r>
        <w:rPr>
          <w:rFonts w:ascii="Gadugi" w:hAnsi="Gadugi" w:eastAsia="Gadugi" w:cs="Gadugi"/>
        </w:rPr>
        <w:t>ᏧᏪᏘ</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Ñu ngi di topp ci jàngat bii ci jëfandikukat bii di ñëw.</w:t>
      </w:r>
    </w:p>
    <w:p>
      <w:pPr>
        <w:pStyle w:val="ArticleScripture"/>
        <w:jc w:val="left"/>
      </w:pPr>
      <w:r>
        <w:rPr>
          <w:rFonts w:ascii="Times New Roman" w:hAnsi="Times New Roman" w:eastAsia="Times New Roman" w:cs="Times New Roman"/>
        </w:rPr>
        <w:t>ئەنجا پەروردگار بە موسای فەرموو: «ئەم گەلە تا چەندە من تووڕە دەکات؟ و تا کەی باوەڕم پێ نابێت، لەگەڵ هەموو ئەو نیشانانەی کە لە نێوانیاندا پیشانم دان؟ بە دەردەوە لێیان دەدەم و لە میرات بێبەش دەکەم، و لە تۆ نەتەوەیەکی گەورەتر و بەهێزتر لەوان دروست دەکەم.» موساش بە پەروردگار گوت: «ئەوا میسرییەکان دەیبیسن، چونکە تۆ بە هێزی خۆت ئەم گەلەت لە نێویانەوە هێنایە دەرەوە؛ و ئەوانیش بە دانیشتووانی ئەم خاکەی دەڵێن، چونکە بیستوویانە کە تۆ، ئەی پەروردگار، لە نێو ئەم گەلەدایت، و تۆ، ئەی پەروردگار، ڕووبەڕوو دەبینرێیت، و هەورەکەت لەسەر ئەوان وەستاوە، و بە ڕۆژ لە ستوونی هەوردا و بە شەو لە ستوونی ئاگرەوە پێشەنگییان دەکەیت. جا ئەگەر تۆ هەموو ئەم گەلە وەک یەک پیاو بکوژیت، ئەوا ئەو نەتەوانەی ناوبانگی تۆیان بیستووە دەڵێن: چونکە پەروردگار نەیتوانی ئەم گەلە بباتە ئەو خاکەی کە سوێندی بۆ خواردبوون، بۆیە لە چۆڵەوانی کوشتیانی. ئێستا، تکات لێ دەکەم، با هێزی گەورەی پەروردگارم مەزن بێت، وەک ئەوەی فەرمووت: پەروردگار درێژحەوسەڵەیە و پڕ لە بەزەیییە، تاوان و یاخیبوون دەبەخشێت، بەڵام تاوانبار بە هیچ شێوەیەک بێتاوان ناکات، و تاوانی باوکان لەسەر منداڵان سەردان دەکات تا نەوەی سێیەم و چوارەم. تکات لێ دەکەم، تاوانی ئەم گەلە ببەخشە بەگوێرەی مەزنیی بەزەیی خۆت، هەروەک لە میسرەوە هەتا ئێستا ئەم گەلەت بەخشیوە.» پەروردگار فەرموو: «بەپێی قسەی تۆ بەخشیم؛ بەڵام وەک ئەوەی بەڕاستی من زیندووم، هەموو زەوی پڕ دەبێت لە شکۆی پەروردگار. چونکە هەموو ئەو پیاوانەی شکۆی من و ئەو پەرجووانانەیان بینی کە لە میسر و لە چۆڵەوانیدا ئەنجامم دان، و ئێستا دە جار تاقیان کردمەوە و گوێیان لە دەنگم نەگرت، بە دڵنیاییەوە ئەو خاکە نابینن کە سوێندم بۆ باووباپیرانیان خواردووە، هەروەها هیچ کام لەوانەی منیان تووڕە کرد نابینن. بەڵام کەلیبی خزمەتکارم، چونکە ڕۆحێکی دیکەی لەگەڵدا بوو و بە تەواوی شوێنی منی کەوت، دەیبەمە ئەو خاکەی چووبووە ناوی، و نەوەکەی میراتی دەگرێت.» ژمارەکان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Fyrtiåtta</dc:title>
  <dc:subject>Desvelando la profecía: el significado de la visión de Habacuc, las dos tablas y el misterio del continuo en la interpretación bíblica</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