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Muvi wa Danieri — Namba Makumi Manna Mwenda</w:t>
      </w:r>
    </w:p>
    <w:p>
      <w:pPr>
        <w:pStyle w:val="ArticleSubtitle"/>
        <w:jc w:val="left"/>
      </w:pPr>
      <w:r>
        <w:rPr>
          <w:rFonts w:ascii="Segoe UI" w:hAnsi="Segoe UI" w:eastAsia="Segoe UI" w:cs="Segoe UI"/>
        </w:rPr>
        <w:t>بن</w:t>
      </w:r>
      <w:r>
        <w:rPr>
          <w:rFonts w:ascii="Arial" w:hAnsi="Arial" w:eastAsia="Arial" w:cs="Arial"/>
        </w:rPr>
        <w:t>‌</w:t>
      </w:r>
      <w:r>
        <w:rPr>
          <w:rFonts w:ascii="Segoe UI" w:hAnsi="Segoe UI" w:eastAsia="Segoe UI" w:cs="Segoe UI"/>
        </w:rPr>
        <w:t>بەننە</w:t>
      </w:r>
      <w:r>
        <w:rPr>
          <w:rFonts w:ascii="Arial" w:hAnsi="Arial" w:eastAsia="Arial" w:cs="Arial"/>
        </w:rPr>
        <w:t xml:space="preserve"> </w:t>
      </w:r>
      <w:r>
        <w:rPr>
          <w:rFonts w:ascii="Segoe UI" w:hAnsi="Segoe UI" w:eastAsia="Segoe UI" w:cs="Segoe UI"/>
        </w:rPr>
        <w:t>تەعلیمات</w:t>
      </w:r>
      <w:r>
        <w:rPr>
          <w:rFonts w:ascii="Arial" w:hAnsi="Arial" w:eastAsia="Arial" w:cs="Arial"/>
        </w:rPr>
        <w:t xml:space="preserve">: </w:t>
      </w:r>
      <w:r>
        <w:rPr>
          <w:rFonts w:ascii="Segoe UI" w:hAnsi="Segoe UI" w:eastAsia="Segoe UI" w:cs="Segoe UI"/>
        </w:rPr>
        <w:t>نێوەشەوی</w:t>
      </w:r>
      <w:r>
        <w:rPr>
          <w:rFonts w:ascii="Arial" w:hAnsi="Arial" w:eastAsia="Arial" w:cs="Arial"/>
        </w:rPr>
        <w:t xml:space="preserve"> </w:t>
      </w:r>
      <w:r>
        <w:rPr>
          <w:rFonts w:ascii="Segoe UI" w:hAnsi="Segoe UI" w:eastAsia="Segoe UI" w:cs="Segoe UI"/>
        </w:rPr>
        <w:t>بانگەواز،</w:t>
      </w:r>
      <w:r>
        <w:rPr>
          <w:rFonts w:ascii="Arial" w:hAnsi="Arial" w:eastAsia="Arial" w:cs="Arial"/>
        </w:rPr>
        <w:t xml:space="preserve"> </w:t>
      </w:r>
      <w:r>
        <w:rPr>
          <w:rFonts w:ascii="Segoe UI" w:hAnsi="Segoe UI" w:eastAsia="Segoe UI" w:cs="Segoe UI"/>
        </w:rPr>
        <w:t>ڕۆڵی</w:t>
      </w:r>
      <w:r>
        <w:rPr>
          <w:rFonts w:ascii="Arial" w:hAnsi="Arial" w:eastAsia="Arial" w:cs="Arial"/>
        </w:rPr>
        <w:t xml:space="preserve"> </w:t>
      </w:r>
      <w:r>
        <w:rPr>
          <w:rFonts w:ascii="Segoe UI" w:hAnsi="Segoe UI" w:eastAsia="Segoe UI" w:cs="Segoe UI"/>
        </w:rPr>
        <w:t>ئیسلام،</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پرۆسەی</w:t>
      </w:r>
      <w:r>
        <w:rPr>
          <w:rFonts w:ascii="Arial" w:hAnsi="Arial" w:eastAsia="Arial" w:cs="Arial"/>
        </w:rPr>
        <w:t xml:space="preserve"> </w:t>
      </w:r>
      <w:r>
        <w:rPr>
          <w:rFonts w:ascii="Segoe UI" w:hAnsi="Segoe UI" w:eastAsia="Segoe UI" w:cs="Segoe UI"/>
        </w:rPr>
        <w:t>کۆتایی</w:t>
      </w:r>
      <w:r>
        <w:rPr>
          <w:rFonts w:ascii="Arial" w:hAnsi="Arial" w:eastAsia="Arial" w:cs="Arial"/>
        </w:rPr>
        <w:t xml:space="preserve"> </w:t>
      </w:r>
      <w:r>
        <w:rPr>
          <w:rFonts w:ascii="Segoe UI" w:hAnsi="Segoe UI" w:eastAsia="Segoe UI" w:cs="Segoe UI"/>
        </w:rPr>
        <w:t>تاقیکردنەوە</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دوایی</w:t>
      </w:r>
      <w:r>
        <w:rPr>
          <w:rFonts w:ascii="Arial" w:hAnsi="Arial" w:eastAsia="Arial" w:cs="Arial"/>
        </w:rPr>
        <w:t xml:space="preserve"> </w:t>
      </w:r>
      <w:r>
        <w:rPr>
          <w:rFonts w:ascii="Segoe UI" w:hAnsi="Segoe UI" w:eastAsia="Segoe UI" w:cs="Segoe UI"/>
        </w:rPr>
        <w:t>ڕۆژاندا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 xml:space="preserve">1798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ဥ္လာယီမြစ်ဆိုင်ရာ</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ဖွင့်လှစ်တော်မူသဖြင့်</w:t>
      </w:r>
      <w:r>
        <w:rPr>
          <w:rFonts w:ascii="Times New Roman" w:hAnsi="Times New Roman" w:eastAsia="Times New Roman" w:cs="Times New Roman"/>
        </w:rPr>
        <w:t xml:space="preserve"> </w:t>
      </w:r>
      <w:r>
        <w:rPr>
          <w:rFonts w:ascii="Myanmar Text" w:hAnsi="Myanmar Text" w:eastAsia="Myanmar Text" w:cs="Myanmar Text"/>
        </w:rPr>
        <w:t>ပေါ်ပေါက်လာသော</w:t>
      </w:r>
      <w:r>
        <w:rPr>
          <w:rFonts w:ascii="Times New Roman" w:hAnsi="Times New Roman" w:eastAsia="Times New Roman" w:cs="Times New Roman"/>
        </w:rPr>
        <w:t xml:space="preserve"> </w:t>
      </w:r>
      <w:r>
        <w:rPr>
          <w:rFonts w:ascii="Myanmar Text" w:hAnsi="Myanmar Text" w:eastAsia="Myanmar Text" w:cs="Myanmar Text"/>
        </w:rPr>
        <w:t>အသိပညာတိုးပွားမှုသည်</w:t>
      </w:r>
      <w:r>
        <w:rPr>
          <w:rFonts w:ascii="Times New Roman" w:hAnsi="Times New Roman" w:eastAsia="Times New Roman" w:cs="Times New Roman"/>
        </w:rPr>
        <w:t xml:space="preserve"> 1844 </w:t>
      </w:r>
      <w:r>
        <w:rPr>
          <w:rFonts w:ascii="Myanmar Text" w:hAnsi="Myanmar Text" w:eastAsia="Myanmar Text" w:cs="Myanmar Text"/>
        </w:rPr>
        <w:t>ခုနှစ်ရှိ</w:t>
      </w:r>
      <w:r>
        <w:rPr>
          <w:rFonts w:ascii="Times New Roman" w:hAnsi="Times New Roman" w:eastAsia="Times New Roman" w:cs="Times New Roman"/>
        </w:rPr>
        <w:t xml:space="preserve"> </w:t>
      </w:r>
      <w:r>
        <w:rPr>
          <w:rFonts w:ascii="Myanmar Text" w:hAnsi="Myanmar Text" w:eastAsia="Myanmar Text" w:cs="Myanmar Text"/>
        </w:rPr>
        <w:t>သန်းခေါင်ယံကြွေးကြော်သံ</w:t>
      </w:r>
      <w:r>
        <w:rPr>
          <w:rFonts w:ascii="Times New Roman" w:hAnsi="Times New Roman" w:eastAsia="Times New Roman" w:cs="Times New Roman"/>
        </w:rPr>
        <w:t xml:space="preserve"> </w:t>
      </w:r>
      <w:r>
        <w:rPr>
          <w:rFonts w:ascii="Myanmar Text" w:hAnsi="Myanmar Text" w:eastAsia="Myanmar Text" w:cs="Myanmar Text"/>
        </w:rPr>
        <w:t>လှုပ်ရှားမှု၌</w:t>
      </w:r>
      <w:r>
        <w:rPr>
          <w:rFonts w:ascii="Times New Roman" w:hAnsi="Times New Roman" w:eastAsia="Times New Roman" w:cs="Times New Roman"/>
        </w:rPr>
        <w:t xml:space="preserve"> </w:t>
      </w:r>
      <w:r>
        <w:rPr>
          <w:rFonts w:ascii="Myanmar Text" w:hAnsi="Myanmar Text" w:eastAsia="Myanmar Text" w:cs="Myanmar Text"/>
        </w:rPr>
        <w:t>အထွတ်အထိပ်သို့</w:t>
      </w:r>
      <w:r>
        <w:rPr>
          <w:rFonts w:ascii="Times New Roman" w:hAnsi="Times New Roman" w:eastAsia="Times New Roman" w:cs="Times New Roman"/>
        </w:rPr>
        <w:t xml:space="preserve"> </w:t>
      </w:r>
      <w:r>
        <w:rPr>
          <w:rFonts w:ascii="Myanmar Text" w:hAnsi="Myanmar Text" w:eastAsia="Myanmar Text" w:cs="Myanmar Text"/>
        </w:rPr>
        <w:t>ရောက်ရှိသော</w:t>
      </w:r>
      <w:r>
        <w:rPr>
          <w:rFonts w:ascii="Times New Roman" w:hAnsi="Times New Roman" w:eastAsia="Times New Roman" w:cs="Times New Roman"/>
        </w:rPr>
        <w:t xml:space="preserve"> </w:t>
      </w:r>
      <w:r>
        <w:rPr>
          <w:rFonts w:ascii="Myanmar Text" w:hAnsi="Myanmar Text" w:eastAsia="Myanmar Text" w:cs="Myanmar Text"/>
        </w:rPr>
        <w:t>စမ်းသပ်ခြင်းလုပ်ငန်းစဉ်တစ်ရပ်ကို</w:t>
      </w:r>
      <w:r>
        <w:rPr>
          <w:rFonts w:ascii="Times New Roman" w:hAnsi="Times New Roman" w:eastAsia="Times New Roman" w:cs="Times New Roman"/>
        </w:rPr>
        <w:t xml:space="preserve"> </w:t>
      </w:r>
      <w:r>
        <w:rPr>
          <w:rFonts w:ascii="Myanmar Text" w:hAnsi="Myanmar Text" w:eastAsia="Myanmar Text" w:cs="Myanmar Text"/>
        </w:rPr>
        <w:t>ဖြစ်ပေါ်စေခဲ့သည်။</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ဖွင့်လှစ်လျက်ရှိသော</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သန်းခေါင်ယံကြွေးကြော်သံကို</w:t>
      </w:r>
      <w:r>
        <w:rPr>
          <w:rFonts w:ascii="Times New Roman" w:hAnsi="Times New Roman" w:eastAsia="Times New Roman" w:cs="Times New Roman"/>
        </w:rPr>
        <w:t xml:space="preserve"> </w:t>
      </w:r>
      <w:r>
        <w:rPr>
          <w:rFonts w:ascii="Myanmar Text" w:hAnsi="Myanmar Text" w:eastAsia="Myanmar Text" w:cs="Myanmar Text"/>
        </w:rPr>
        <w:t>ထိုသမိုင်းက</w:t>
      </w:r>
      <w:r>
        <w:rPr>
          <w:rFonts w:ascii="Times New Roman" w:hAnsi="Times New Roman" w:eastAsia="Times New Roman" w:cs="Times New Roman"/>
        </w:rPr>
        <w:t xml:space="preserve"> </w:t>
      </w:r>
      <w:r>
        <w:rPr>
          <w:rFonts w:ascii="Myanmar Text" w:hAnsi="Myanmar Text" w:eastAsia="Myanmar Text" w:cs="Myanmar Text"/>
        </w:rPr>
        <w:t>ကိုယ်စားပြုထားပြီး၊</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ဖွင့်လှစ်လျက်ရှိသော</w:t>
      </w:r>
      <w:r>
        <w:rPr>
          <w:rFonts w:ascii="Times New Roman" w:hAnsi="Times New Roman" w:eastAsia="Times New Roman" w:cs="Times New Roman"/>
        </w:rPr>
        <w:t xml:space="preserve"> </w:t>
      </w:r>
      <w:r>
        <w:rPr>
          <w:rFonts w:ascii="Myanmar Text" w:hAnsi="Myanmar Text" w:eastAsia="Myanmar Text" w:cs="Myanmar Text"/>
        </w:rPr>
        <w:t>သန်းခေါင်ယံကြွေးကြော်သံသည်</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ရတနာများကို</w:t>
      </w:r>
      <w:r>
        <w:rPr>
          <w:rFonts w:ascii="Times New Roman" w:hAnsi="Times New Roman" w:eastAsia="Times New Roman" w:cs="Times New Roman"/>
        </w:rPr>
        <w:t xml:space="preserve"> </w:t>
      </w:r>
      <w:r>
        <w:rPr>
          <w:rFonts w:ascii="Myanmar Text" w:hAnsi="Myanmar Text" w:eastAsia="Myanmar Text" w:cs="Myanmar Text"/>
        </w:rPr>
        <w:t>ပြန်လည်ထူထောင်ခြင်းဖြစ်သောကြောင့်၊</w:t>
      </w:r>
      <w:r>
        <w:rPr>
          <w:rFonts w:ascii="Times New Roman" w:hAnsi="Times New Roman" w:eastAsia="Times New Roman" w:cs="Times New Roman"/>
        </w:rPr>
        <w:t xml:space="preserve"> </w:t>
      </w:r>
      <w:r>
        <w:rPr>
          <w:rFonts w:ascii="Myanmar Text" w:hAnsi="Myanmar Text" w:eastAsia="Myanmar Text" w:cs="Myanmar Text"/>
        </w:rPr>
        <w:t>ထိုသမိုင်း၏</w:t>
      </w:r>
      <w:r>
        <w:rPr>
          <w:rFonts w:ascii="Times New Roman" w:hAnsi="Times New Roman" w:eastAsia="Times New Roman" w:cs="Times New Roman"/>
        </w:rPr>
        <w:t xml:space="preserve"> </w:t>
      </w:r>
      <w:r>
        <w:rPr>
          <w:rFonts w:ascii="Myanmar Text" w:hAnsi="Myanmar Text" w:eastAsia="Myanmar Text" w:cs="Myanmar Text"/>
        </w:rPr>
        <w:t>စမ်းသပ်သော</w:t>
      </w:r>
      <w:r>
        <w:rPr>
          <w:rFonts w:ascii="Times New Roman" w:hAnsi="Times New Roman" w:eastAsia="Times New Roman" w:cs="Times New Roman"/>
        </w:rPr>
        <w:t xml:space="preserve"> </w:t>
      </w:r>
      <w:r>
        <w:rPr>
          <w:rFonts w:ascii="Myanmar Text" w:hAnsi="Myanmar Text" w:eastAsia="Myanmar Text" w:cs="Myanmar Text"/>
        </w:rPr>
        <w:t>သမ္မာတရားများအတိအကျကိုလည်း</w:t>
      </w:r>
      <w:r>
        <w:rPr>
          <w:rFonts w:ascii="Times New Roman" w:hAnsi="Times New Roman" w:eastAsia="Times New Roman" w:cs="Times New Roman"/>
        </w:rPr>
        <w:t xml:space="preserve"> </w:t>
      </w:r>
      <w:r>
        <w:rPr>
          <w:rFonts w:ascii="Myanmar Text" w:hAnsi="Myanmar Text" w:eastAsia="Myanmar Text" w:cs="Myanmar Text"/>
        </w:rPr>
        <w:t>ထည့်သွင်းပါဝင်သည်။</w:t>
      </w:r>
    </w:p>
    <w:p>
      <w:pPr>
        <w:pStyle w:val="ArticleScripture"/>
        <w:jc w:val="left"/>
      </w:pPr>
      <w:r>
        <w:rPr>
          <w:rFonts w:ascii="Times New Roman" w:hAnsi="Times New Roman" w:eastAsia="Times New Roman" w:cs="Times New Roman"/>
        </w:rPr>
        <w:t>«Los verdades que recibimos en 1841, ‘42, ‘43 y ‘44 han de ser ahora estudiadas y proclamadas. Los mensajes del primer, segundo y tercer ángel serán en lo por venir proclamados con gran voz. Serán dados con ferviente determinación y con el poder del Espíritu». Manuscript Releases, tomo 15, 371.</w:t>
      </w:r>
    </w:p>
    <w:p>
      <w:pPr>
        <w:pStyle w:val="ArticleBody"/>
        <w:jc w:val="left"/>
      </w:pPr>
      <w:r>
        <w:rPr>
          <w:rFonts w:ascii="Times New Roman" w:hAnsi="Times New Roman" w:eastAsia="Times New Roman" w:cs="Times New Roman"/>
        </w:rPr>
        <w:t>Ayban amezwaru n yizen n unabi n Uɣaṛ n Talemmast n wakud nneɣ d tawuri n Lislam n wanu wis kraḍ. Tlata n wanuyen n Lislam ttwaseknen merra ɣef sin lwayen n Ḥabakkuk. Yizen n Uɣaṛ n Talemmast n yixef n wussan, yebda ad yettufkk-d s usuref deg usmenyif n 18 Yulyu 2020, mi d-yewweḍ wakud n uṛaǧu n yixef n wussan. Am akken i yella yizen n Uɣaṛ n Talemmast deg umazray n yimilitiyen, yizen n yixef n wussan yettwasnefli s kra s kra alamma yessaweḍ ɣer tenqiḍt i d-yettwaseknen s ugraw n yixxamen n Exeter. Deg tenqiḍt-agi, tiɛzriyin ya ad sɛunt zzit, ya ulac.</w:t>
      </w:r>
    </w:p>
    <w:p>
      <w:pPr>
        <w:pStyle w:val="ArticleBody"/>
        <w:jc w:val="left"/>
      </w:pPr>
      <w:r>
        <w:rPr>
          <w:rFonts w:ascii="Times New Roman" w:hAnsi="Times New Roman" w:eastAsia="Times New Roman" w:cs="Times New Roman"/>
        </w:rPr>
        <w:t>Կեանքի իշխող Երուսաղէմի ժողովրդին վրայ իշխող ծաղրող մարդկանց դէմ Եսայիի արտասանած «վայ»-ը ցոյց կու տայ, որ տեսիլքը Եփրեմի հարբեցողներուն համար կնքուած գիրքի մը պէս եղած է։ Եսայիի հատուածին մէջ, սատանայական խորհրդանիշ մը աստուածապաշտ խորհրդանիշի փոխելու գործը, ինչպէս որ ադվենտականութեան պատմութեան ընթացքին կատարուած է, պէտք է գնահատուի որպէս բրուտի կաւ։ Այդ գործը «օրապահը» Քրիստոսի խորհրդանիշ սահմանելը եղած է, մինչդեռ անիկա Սատանայի խորհրդանիշ մըն է։ Երբ Դանիէլ «tamid» բառը գործածեց որպէս հեթանոսութեան խորհրդանիշ, ան այդ բառը ընտրեց խորհրդանշական նպատակի համար, որովհետեւ բառին իմաստը «յարատեւ» է։</w:t>
      </w:r>
    </w:p>
    <w:p>
      <w:pPr>
        <w:pStyle w:val="ArticleBody"/>
        <w:jc w:val="left"/>
      </w:pPr>
      <w:r>
        <w:rPr>
          <w:rFonts w:ascii="Times New Roman" w:hAnsi="Times New Roman" w:eastAsia="Times New Roman" w:cs="Times New Roman"/>
        </w:rPr>
        <w:t>ئەس دنیان ئارماگېدۆنن گۆتەس سێ هێزات هەن، و ئەو سێ هێزان یێ ئەوّەل ئەژدهاکەیە (پەگانیسم). ئەژدهاک جنگا خۆ دژی خودێ ل ئاسمانێ دەست پێ کر. ئەژدهاک ئەو جنگێ هەتا داوییا هەزار سالییەکە دەوام پێ ددەت، کاتێ کو ل ئەنجامدا بە تەواوی تێک دەچیت.</w:t>
      </w:r>
    </w:p>
    <w:p>
      <w:pPr>
        <w:pStyle w:val="ArticleScripture"/>
        <w:jc w:val="left"/>
      </w:pPr>
      <w:r>
        <w:rPr>
          <w:rFonts w:ascii="Times New Roman" w:hAnsi="Times New Roman" w:eastAsia="Times New Roman" w:cs="Times New Roman"/>
        </w:rPr>
        <w:t>Ati ni igba ti ẹgbẹrun ọdún bá pé, a ó tú Satani sílẹ̀ kúrò nínú ẹ̀wọ̀n rẹ̀, ó sì máa jáde láti tan àwọn orílẹ̀-èdè tí ń bẹ ní igun mẹ́rin ayé jẹ, Gog àti Magog, láti kó wọn jọ sí ogun; iye wọn sì dàbí iyanrìn etí òkun. Wọ́n sì gòkè lọ káàkiri ilẹ̀ ayé, wọ́n sì yí àgọ́ àwọn ẹni mímọ́ àti ìlú àyànfẹ́ náà ká; iná sì sọ̀kalẹ̀ láti ọ̀dọ̀ Ọlọ́run láti ọ̀run, ó sì run wọ́n. A sì ju Èṣù tí ó tan wọn jẹ sínú adágún iná àti sulfuru, níbi tí ẹranko náà àti wòlíì èké wà; a ó sì máa dá wọn lóró ọ̀sán àti òru títí láé àti láéláé. Ìfihàn 20:7–10.</w:t>
      </w:r>
    </w:p>
    <w:p>
      <w:pPr>
        <w:pStyle w:val="ArticleBody"/>
        <w:jc w:val="left"/>
      </w:pPr>
      <w:r>
        <w:rPr>
          <w:rFonts w:ascii="Times New Roman" w:hAnsi="Times New Roman" w:eastAsia="Times New Roman" w:cs="Times New Roman"/>
        </w:rPr>
        <w:t>Lo shtika (papado) nga isu maikadua han tulo nga gahum nga nagmando han kalibutan ngadto ha Armagedon, ngan an buwaon nga manaragna (an Estados Unidos) an ikatulo hiton tulo nga gahum, inabot ngatanan ha kasaysayan katapos han kasaysayan han krus, ngan hira nga duha ginpapoo ha Ikaduha nga Pag-anhi ni Cristo.</w:t>
      </w:r>
    </w:p>
    <w:p>
      <w:pPr>
        <w:pStyle w:val="ArticleScripture"/>
        <w:jc w:val="left"/>
      </w:pPr>
      <w:r>
        <w:rPr>
          <w:rFonts w:ascii="Times New Roman" w:hAnsi="Times New Roman" w:eastAsia="Times New Roman" w:cs="Times New Roman"/>
        </w:rPr>
        <w:t>Dən the beast was taken, and with him the false prophet that wrought miracles before him, with which he deceived den that had received the mark of the beast, and den that worshipped his image. These both were cast alive into a lake of fire burning with brimstone. Revelation 19:20.</w:t>
      </w:r>
    </w:p>
    <w:p>
      <w:pPr>
        <w:pStyle w:val="ArticleBody"/>
        <w:jc w:val="left"/>
      </w:pPr>
      <w:r>
        <w:rPr>
          <w:rFonts w:ascii="Times New Roman" w:hAnsi="Times New Roman" w:eastAsia="Times New Roman" w:cs="Times New Roman"/>
        </w:rPr>
        <w:t>En Daniel, cuando escogió la palabra hebrea «continuo» como símbolo del paganismo (Satanás), escogió una palabra que identificaba que es Satanás quien continuamente ha combatido contra Dios. Los otros dos poderes solo están activos en su guerra contra Dios durante períodos de tiempo determinados. La elección de Daniel de la palabra «tamid» (continuo) fue intencional y exacta.</w:t>
      </w:r>
    </w:p>
    <w:p>
      <w:pPr>
        <w:pStyle w:val="ArticleBody"/>
        <w:jc w:val="left"/>
      </w:pPr>
      <w:r>
        <w:rPr>
          <w:rFonts w:ascii="Times New Roman" w:hAnsi="Times New Roman" w:eastAsia="Times New Roman" w:cs="Times New Roman"/>
        </w:rPr>
        <w:t>ئیشایاہؑ کی اس بیانِ مصیبت میں، جو اُن لوگوں پر ہے جن پر خداوند نے گہری نیند کی روح اُنڈیل دی اور اُن کی آنکھیں بند کر دیں، جب باب اٹھائیس سے باب تیس تک آگے بڑھتی ہے، وہ یہ قلم بند کرتا ہے:</w:t>
      </w:r>
    </w:p>
    <w:p>
      <w:pPr>
        <w:pStyle w:val="ArticleScripture"/>
        <w:jc w:val="left"/>
      </w:pPr>
      <w:r>
        <w:rPr>
          <w:rFonts w:ascii="Times New Roman" w:hAnsi="Times New Roman" w:eastAsia="Times New Roman" w:cs="Times New Roman"/>
        </w:rPr>
        <w:t>الآن امضِ، واكتب هذا لديهم في لوح، ودوِّنه في سفر، ليكون للزمن الآتي إلى الأبد والدهر: لأن هذا شعب متمرِّد، أبناء كاذبون، أبناء لا يشاءون أن يسمعوا شريعة الرب؛ الذين يقولون للرائين: لا تروا؛ وللأنبياء: لا تتنبأوا لنا بالحقائق المستقيمة، بل كلِّمونا بالأمور الناعمة، وتنبأوا بالأباطيل. حيدوا عن الطريق، ميلوا عن السبيل، ودَعوا قدوس إسرائيل يكفّ عن أن يكون أمامنا. لذلك هكذا يقول قدوس إسرائيل: لأنكم رفضتم هذه الكلمة، واتكلتم على الظلم والاعوجاج، واستندتم إليهما، لذلك يكون لكم هذا الإثم كصدعٍ موشكٍ أن يسقط، بارزٍ في جدارٍ عالٍ، يأتي انهدامه بغتةً في لحظة. ويحطِّمه كتحطيم إناء الخزّاف المكسور إلى قطع؛ لا يُشفق، حتى لا توجد في حطامه شِقفةٌ يُؤخذ بها نار من الموقد، أو يُغترف بها ماء من الجب. لأنه هكذا قال السيد الرب، قدوس إسرائيل: بالرجوع والسكون تخلصون؛ بالهدوء والطمأنينة تكون قوتكم. ولكنكم أبيتم. إشعياء 30: 8–15.</w:t>
      </w:r>
    </w:p>
    <w:p>
      <w:pPr>
        <w:pStyle w:val="ArticleBody"/>
        <w:jc w:val="left"/>
      </w:pPr>
      <w:r>
        <w:rPr>
          <w:rFonts w:ascii="Times New Roman" w:hAnsi="Times New Roman" w:eastAsia="Times New Roman" w:cs="Times New Roman"/>
        </w:rPr>
        <w:t>“</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लिखल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दूक</w:t>
      </w:r>
      <w:r>
        <w:rPr>
          <w:rFonts w:ascii="Times New Roman" w:hAnsi="Times New Roman" w:eastAsia="Times New Roman" w:cs="Times New Roman"/>
        </w:rPr>
        <w:t xml:space="preserve"> </w:t>
      </w:r>
      <w:r>
        <w:rPr>
          <w:rFonts w:ascii="Nirmala UI" w:hAnsi="Nirmala UI" w:eastAsia="Nirmala UI" w:cs="Nirmala UI"/>
        </w:rPr>
        <w:t>पट्टिकासभ</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बनाओल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कऽ</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सकय।</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टिप्पणी</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हबक्कूकक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w:t>
      </w:r>
      <w:r>
        <w:rPr>
          <w:rFonts w:ascii="Nirmala UI" w:hAnsi="Nirmala UI" w:eastAsia="Nirmala UI" w:cs="Nirmala UI"/>
        </w:rPr>
        <w:t>प्रक्रियाक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मिथ्यावादी</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सुनबाक</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सुनबाक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लोकसभ</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पहरेदारक</w:t>
      </w:r>
      <w:r>
        <w:rPr>
          <w:rFonts w:ascii="Times New Roman" w:hAnsi="Times New Roman" w:eastAsia="Times New Roman" w:cs="Times New Roman"/>
        </w:rPr>
        <w:t xml:space="preserve"> </w:t>
      </w:r>
      <w:r>
        <w:rPr>
          <w:rFonts w:ascii="Nirmala UI" w:hAnsi="Nirmala UI" w:eastAsia="Nirmala UI" w:cs="Nirmala UI"/>
        </w:rPr>
        <w:t>तुरहीक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सुनबाक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p>
    <w:p>
      <w:pPr>
        <w:pStyle w:val="ArticleScripture"/>
        <w:jc w:val="left"/>
      </w:pPr>
      <w:r>
        <w:rPr>
          <w:rFonts w:ascii="Times New Roman" w:hAnsi="Times New Roman" w:eastAsia="Times New Roman" w:cs="Times New Roman"/>
        </w:rPr>
        <w:t>Edwuma no so mepaw ahwɛfoɔ maa mo sɛ wɔbɛka sɛ, Muntie totorobɛnto no nne. Nanso wɔkae sɛ, Yɛrentie. Yeremia 6:17.</w:t>
      </w:r>
    </w:p>
    <w:p>
      <w:pPr>
        <w:pStyle w:val="ArticleBody"/>
        <w:jc w:val="left"/>
      </w:pPr>
      <w:r>
        <w:rPr>
          <w:rFonts w:ascii="Myanmar Text" w:hAnsi="Myanmar Text" w:eastAsia="Myanmar Text" w:cs="Myanmar Text"/>
        </w:rPr>
        <w:t>ဂုဏ်မကျေမနပ်ပြုသူတို့သည်</w:t>
      </w:r>
      <w:r>
        <w:rPr>
          <w:rFonts w:ascii="Times New Roman" w:hAnsi="Times New Roman" w:eastAsia="Times New Roman" w:cs="Times New Roman"/>
        </w:rPr>
        <w:t xml:space="preserve"> </w:t>
      </w:r>
      <w:r>
        <w:rPr>
          <w:rFonts w:ascii="Myanmar Text" w:hAnsi="Myanmar Text" w:eastAsia="Myanmar Text" w:cs="Myanmar Text"/>
        </w:rPr>
        <w:t>ဣရှာယ၏</w:t>
      </w:r>
      <w:r>
        <w:rPr>
          <w:rFonts w:ascii="Times New Roman" w:hAnsi="Times New Roman" w:eastAsia="Times New Roman" w:cs="Times New Roman"/>
        </w:rPr>
        <w:t xml:space="preserve"> </w:t>
      </w:r>
      <w:r>
        <w:rPr>
          <w:rFonts w:ascii="Myanmar Text" w:hAnsi="Myanmar Text" w:eastAsia="Myanmar Text" w:cs="Myanmar Text"/>
        </w:rPr>
        <w:t>သမိုင်း၌လည်းကောင်း၊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သမိုင်း၌လည်းကောင်း</w:t>
      </w:r>
      <w:r>
        <w:rPr>
          <w:rFonts w:ascii="Times New Roman" w:hAnsi="Times New Roman" w:eastAsia="Times New Roman" w:cs="Times New Roman"/>
        </w:rPr>
        <w:t xml:space="preserve"> </w:t>
      </w:r>
      <w:r>
        <w:rPr>
          <w:rFonts w:ascii="Myanmar Text" w:hAnsi="Myanmar Text" w:eastAsia="Myanmar Text" w:cs="Myanmar Text"/>
        </w:rPr>
        <w:t>နားမထောင်လိုသူများဖြစ်ကြသည်။</w:t>
      </w:r>
    </w:p>
    <w:p>
      <w:pPr>
        <w:pStyle w:val="ArticleScripture"/>
        <w:jc w:val="left"/>
      </w:pPr>
      <w:r>
        <w:rPr>
          <w:rFonts w:ascii="Times New Roman" w:hAnsi="Times New Roman" w:eastAsia="Times New Roman" w:cs="Times New Roman"/>
        </w:rPr>
        <w:t>And he said, Mimarna, je obol jela loqok, Alataye lolo, qusi imon; ne alose lolo, qusi ulon. Marnangna je eoloqok no molo, je eloia pange, ne je imonengga qoroqolo; aqena alose ne qoroqolo, alataye ne pange, imon ne eoloqok no molo, ne qonon, ne kangiso. Isaiah 6:9, 10.</w:t>
      </w:r>
    </w:p>
    <w:p>
      <w:pPr>
        <w:pStyle w:val="ArticleBody"/>
        <w:jc w:val="left"/>
      </w:pPr>
      <w:r>
        <w:rPr>
          <w:rFonts w:ascii="Times New Roman" w:hAnsi="Times New Roman" w:eastAsia="Times New Roman" w:cs="Times New Roman"/>
        </w:rPr>
        <w:t>Исаянин глухи бунтовници могат да „чуят“, но не „чуват“, и отказът им да „чуват“ показва, че те „не разбират“. Това са нечестивите от Даниил, които са също и неразумните девици от Матей, които не разбират увеличаването на познанието, представено на „трапезата“, която е отбелязана в „книгата“ на Авакум. Ако глухите бунтовници на Исая биха чули, те биха могли да се обърнат и да бъдат изцелени, но сърцето им е затлъстяло, затова не могат да разберат вестта на Среднощния вик. Исус даде второ свидетелство за глухите бунтовници.</w:t>
      </w:r>
    </w:p>
    <w:p>
      <w:pPr>
        <w:pStyle w:val="ArticleScripture"/>
        <w:jc w:val="left"/>
      </w:pPr>
      <w:r>
        <w:rPr>
          <w:rFonts w:ascii="Microsoft YaHei" w:hAnsi="Microsoft YaHei" w:eastAsia="Microsoft YaHei" w:cs="Microsoft YaHei"/>
        </w:rPr>
        <w:t>姅个门徒来到伊跟前</w:t>
      </w:r>
      <w:r>
        <w:rPr>
          <w:rFonts w:ascii="Times New Roman" w:hAnsi="Times New Roman" w:eastAsia="Times New Roman" w:cs="Times New Roman"/>
        </w:rPr>
        <w:t>,</w:t>
      </w:r>
      <w:r>
        <w:rPr>
          <w:rFonts w:ascii="Microsoft YaHei" w:hAnsi="Microsoft YaHei" w:eastAsia="Microsoft YaHei" w:cs="Microsoft YaHei"/>
        </w:rPr>
        <w:t>对伊讲：</w:t>
      </w:r>
      <w:r>
        <w:rPr>
          <w:rFonts w:ascii="Times New Roman" w:hAnsi="Times New Roman" w:eastAsia="Times New Roman" w:cs="Times New Roman"/>
        </w:rPr>
        <w:t>“</w:t>
      </w:r>
      <w:r>
        <w:rPr>
          <w:rFonts w:ascii="Microsoft YaHei" w:hAnsi="Microsoft YaHei" w:eastAsia="Microsoft YaHei" w:cs="Microsoft YaHei"/>
        </w:rPr>
        <w:t>侬啥个缘故对伊拉用比喻讲道？</w:t>
      </w:r>
      <w:r>
        <w:rPr>
          <w:rFonts w:ascii="Times New Roman" w:hAnsi="Times New Roman" w:eastAsia="Times New Roman" w:cs="Times New Roman"/>
        </w:rPr>
        <w:t xml:space="preserve">” </w:t>
      </w:r>
      <w:r>
        <w:rPr>
          <w:rFonts w:ascii="Microsoft YaHei" w:hAnsi="Microsoft YaHei" w:eastAsia="Microsoft YaHei" w:cs="Microsoft YaHei"/>
        </w:rPr>
        <w:t>伊回答伊拉讲：</w:t>
      </w:r>
      <w:r>
        <w:rPr>
          <w:rFonts w:ascii="Times New Roman" w:hAnsi="Times New Roman" w:eastAsia="Times New Roman" w:cs="Times New Roman"/>
        </w:rPr>
        <w:t>“</w:t>
      </w:r>
      <w:r>
        <w:rPr>
          <w:rFonts w:ascii="Microsoft YaHei" w:hAnsi="Microsoft YaHei" w:eastAsia="Microsoft YaHei" w:cs="Microsoft YaHei"/>
        </w:rPr>
        <w:t>因为天国个奥秘</w:t>
      </w:r>
      <w:r>
        <w:rPr>
          <w:rFonts w:ascii="Times New Roman" w:hAnsi="Times New Roman" w:eastAsia="Times New Roman" w:cs="Times New Roman"/>
        </w:rPr>
        <w:t>,</w:t>
      </w:r>
      <w:r>
        <w:rPr>
          <w:rFonts w:ascii="Microsoft YaHei" w:hAnsi="Microsoft YaHei" w:eastAsia="Microsoft YaHei" w:cs="Microsoft YaHei"/>
        </w:rPr>
        <w:t>是赐拨侬拉晓得个</w:t>
      </w:r>
      <w:r>
        <w:rPr>
          <w:rFonts w:ascii="Times New Roman" w:hAnsi="Times New Roman" w:eastAsia="Times New Roman" w:cs="Times New Roman"/>
        </w:rPr>
        <w:t>;</w:t>
      </w:r>
      <w:r>
        <w:rPr>
          <w:rFonts w:ascii="Microsoft YaHei" w:hAnsi="Microsoft YaHei" w:eastAsia="Microsoft YaHei" w:cs="Microsoft YaHei"/>
        </w:rPr>
        <w:t>不过对伊拉</w:t>
      </w:r>
      <w:r>
        <w:rPr>
          <w:rFonts w:ascii="Times New Roman" w:hAnsi="Times New Roman" w:eastAsia="Times New Roman" w:cs="Times New Roman"/>
        </w:rPr>
        <w:t>,</w:t>
      </w:r>
      <w:r>
        <w:rPr>
          <w:rFonts w:ascii="Microsoft YaHei" w:hAnsi="Microsoft YaHei" w:eastAsia="Microsoft YaHei" w:cs="Microsoft YaHei"/>
        </w:rPr>
        <w:t>并呒没赐拨伊拉</w:t>
      </w:r>
      <w:r>
        <w:rPr>
          <w:rFonts w:ascii="Times New Roman" w:hAnsi="Times New Roman" w:eastAsia="Times New Roman" w:cs="Times New Roman"/>
        </w:rPr>
        <w:t>.</w:t>
      </w:r>
      <w:r>
        <w:rPr>
          <w:rFonts w:ascii="Microsoft YaHei" w:hAnsi="Microsoft YaHei" w:eastAsia="Microsoft YaHei" w:cs="Microsoft YaHei"/>
        </w:rPr>
        <w:t>因为凡有个</w:t>
      </w:r>
      <w:r>
        <w:rPr>
          <w:rFonts w:ascii="Times New Roman" w:hAnsi="Times New Roman" w:eastAsia="Times New Roman" w:cs="Times New Roman"/>
        </w:rPr>
        <w:t>,</w:t>
      </w:r>
      <w:r>
        <w:rPr>
          <w:rFonts w:ascii="Microsoft YaHei" w:hAnsi="Microsoft YaHei" w:eastAsia="Microsoft YaHei" w:cs="Microsoft YaHei"/>
        </w:rPr>
        <w:t>还要赐拨伊</w:t>
      </w:r>
      <w:r>
        <w:rPr>
          <w:rFonts w:ascii="Times New Roman" w:hAnsi="Times New Roman" w:eastAsia="Times New Roman" w:cs="Times New Roman"/>
        </w:rPr>
        <w:t>,</w:t>
      </w:r>
      <w:r>
        <w:rPr>
          <w:rFonts w:ascii="Microsoft YaHei" w:hAnsi="Microsoft YaHei" w:eastAsia="Microsoft YaHei" w:cs="Microsoft YaHei"/>
        </w:rPr>
        <w:t>叫伊更加丰盛</w:t>
      </w:r>
      <w:r>
        <w:rPr>
          <w:rFonts w:ascii="Times New Roman" w:hAnsi="Times New Roman" w:eastAsia="Times New Roman" w:cs="Times New Roman"/>
        </w:rPr>
        <w:t>;</w:t>
      </w:r>
      <w:r>
        <w:rPr>
          <w:rFonts w:ascii="Microsoft YaHei" w:hAnsi="Microsoft YaHei" w:eastAsia="Microsoft YaHei" w:cs="Microsoft YaHei"/>
        </w:rPr>
        <w:t>凡呒没个</w:t>
      </w:r>
      <w:r>
        <w:rPr>
          <w:rFonts w:ascii="Times New Roman" w:hAnsi="Times New Roman" w:eastAsia="Times New Roman" w:cs="Times New Roman"/>
        </w:rPr>
        <w:t>,</w:t>
      </w:r>
      <w:r>
        <w:rPr>
          <w:rFonts w:ascii="Microsoft YaHei" w:hAnsi="Microsoft YaHei" w:eastAsia="Microsoft YaHei" w:cs="Microsoft YaHei"/>
        </w:rPr>
        <w:t>连伊所有个</w:t>
      </w:r>
      <w:r>
        <w:rPr>
          <w:rFonts w:ascii="Times New Roman" w:hAnsi="Times New Roman" w:eastAsia="Times New Roman" w:cs="Times New Roman"/>
        </w:rPr>
        <w:t>,</w:t>
      </w:r>
      <w:r>
        <w:rPr>
          <w:rFonts w:ascii="Microsoft YaHei" w:hAnsi="Microsoft YaHei" w:eastAsia="Microsoft YaHei" w:cs="Microsoft YaHei"/>
        </w:rPr>
        <w:t>也要从伊身浪夺去</w:t>
      </w:r>
      <w:r>
        <w:rPr>
          <w:rFonts w:ascii="Times New Roman" w:hAnsi="Times New Roman" w:eastAsia="Times New Roman" w:cs="Times New Roman"/>
        </w:rPr>
        <w:t>.</w:t>
      </w:r>
      <w:r>
        <w:rPr>
          <w:rFonts w:ascii="Microsoft YaHei" w:hAnsi="Microsoft YaHei" w:eastAsia="Microsoft YaHei" w:cs="Microsoft YaHei"/>
        </w:rPr>
        <w:t>所以我对伊拉用比喻讲</w:t>
      </w:r>
      <w:r>
        <w:rPr>
          <w:rFonts w:ascii="Times New Roman" w:hAnsi="Times New Roman" w:eastAsia="Times New Roman" w:cs="Times New Roman"/>
        </w:rPr>
        <w:t>,</w:t>
      </w:r>
      <w:r>
        <w:rPr>
          <w:rFonts w:ascii="Microsoft YaHei" w:hAnsi="Microsoft YaHei" w:eastAsia="Microsoft YaHei" w:cs="Microsoft YaHei"/>
        </w:rPr>
        <w:t>是因为伊拉看看看看弗见</w:t>
      </w:r>
      <w:r>
        <w:rPr>
          <w:rFonts w:ascii="Times New Roman" w:hAnsi="Times New Roman" w:eastAsia="Times New Roman" w:cs="Times New Roman"/>
        </w:rPr>
        <w:t>,</w:t>
      </w:r>
      <w:r>
        <w:rPr>
          <w:rFonts w:ascii="Microsoft YaHei" w:hAnsi="Microsoft YaHei" w:eastAsia="Microsoft YaHei" w:cs="Microsoft YaHei"/>
        </w:rPr>
        <w:t>听听听弗着</w:t>
      </w:r>
      <w:r>
        <w:rPr>
          <w:rFonts w:ascii="Times New Roman" w:hAnsi="Times New Roman" w:eastAsia="Times New Roman" w:cs="Times New Roman"/>
        </w:rPr>
        <w:t>,</w:t>
      </w:r>
      <w:r>
        <w:rPr>
          <w:rFonts w:ascii="Microsoft YaHei" w:hAnsi="Microsoft YaHei" w:eastAsia="Microsoft YaHei" w:cs="Microsoft YaHei"/>
        </w:rPr>
        <w:t>也弗明白</w:t>
      </w:r>
      <w:r>
        <w:rPr>
          <w:rFonts w:ascii="Times New Roman" w:hAnsi="Times New Roman" w:eastAsia="Times New Roman" w:cs="Times New Roman"/>
        </w:rPr>
        <w:t xml:space="preserve">. </w:t>
      </w:r>
      <w:r>
        <w:rPr>
          <w:rFonts w:ascii="Microsoft YaHei" w:hAnsi="Microsoft YaHei" w:eastAsia="Microsoft YaHei" w:cs="Microsoft YaHei"/>
        </w:rPr>
        <w:t>在伊拉身浪</w:t>
      </w:r>
      <w:r>
        <w:rPr>
          <w:rFonts w:ascii="Times New Roman" w:hAnsi="Times New Roman" w:eastAsia="Times New Roman" w:cs="Times New Roman"/>
        </w:rPr>
        <w:t>,</w:t>
      </w:r>
      <w:r>
        <w:rPr>
          <w:rFonts w:ascii="Microsoft YaHei" w:hAnsi="Microsoft YaHei" w:eastAsia="Microsoft YaHei" w:cs="Microsoft YaHei"/>
        </w:rPr>
        <w:t>应验了以赛亚个预言</w:t>
      </w:r>
      <w:r>
        <w:rPr>
          <w:rFonts w:ascii="Times New Roman" w:hAnsi="Times New Roman" w:eastAsia="Times New Roman" w:cs="Times New Roman"/>
        </w:rPr>
        <w:t>,</w:t>
      </w:r>
      <w:r>
        <w:rPr>
          <w:rFonts w:ascii="Microsoft YaHei" w:hAnsi="Microsoft YaHei" w:eastAsia="Microsoft YaHei" w:cs="Microsoft YaHei"/>
        </w:rPr>
        <w:t>就是讲：</w:t>
      </w:r>
      <w:r>
        <w:rPr>
          <w:rFonts w:ascii="Times New Roman" w:hAnsi="Times New Roman" w:eastAsia="Times New Roman" w:cs="Times New Roman"/>
        </w:rPr>
        <w:t xml:space="preserve"> ‘</w:t>
      </w:r>
      <w:r>
        <w:rPr>
          <w:rFonts w:ascii="Microsoft YaHei" w:hAnsi="Microsoft YaHei" w:eastAsia="Microsoft YaHei" w:cs="Microsoft YaHei"/>
        </w:rPr>
        <w:t>侬拉听是听见了</w:t>
      </w:r>
      <w:r>
        <w:rPr>
          <w:rFonts w:ascii="Times New Roman" w:hAnsi="Times New Roman" w:eastAsia="Times New Roman" w:cs="Times New Roman"/>
        </w:rPr>
        <w:t>,</w:t>
      </w:r>
      <w:r>
        <w:rPr>
          <w:rFonts w:ascii="Microsoft YaHei" w:hAnsi="Microsoft YaHei" w:eastAsia="Microsoft YaHei" w:cs="Microsoft YaHei"/>
        </w:rPr>
        <w:t>总弗明白</w:t>
      </w:r>
      <w:r>
        <w:rPr>
          <w:rFonts w:ascii="Times New Roman" w:hAnsi="Times New Roman" w:eastAsia="Times New Roman" w:cs="Times New Roman"/>
        </w:rPr>
        <w:t xml:space="preserve">; </w:t>
      </w:r>
      <w:r>
        <w:rPr>
          <w:rFonts w:ascii="Microsoft YaHei" w:hAnsi="Microsoft YaHei" w:eastAsia="Microsoft YaHei" w:cs="Microsoft YaHei"/>
        </w:rPr>
        <w:t>看是看见了</w:t>
      </w:r>
      <w:r>
        <w:rPr>
          <w:rFonts w:ascii="Times New Roman" w:hAnsi="Times New Roman" w:eastAsia="Times New Roman" w:cs="Times New Roman"/>
        </w:rPr>
        <w:t>,</w:t>
      </w:r>
      <w:r>
        <w:rPr>
          <w:rFonts w:ascii="Microsoft YaHei" w:hAnsi="Microsoft YaHei" w:eastAsia="Microsoft YaHei" w:cs="Microsoft YaHei"/>
        </w:rPr>
        <w:t>总弗晓得</w:t>
      </w:r>
      <w:r>
        <w:rPr>
          <w:rFonts w:ascii="Times New Roman" w:hAnsi="Times New Roman" w:eastAsia="Times New Roman" w:cs="Times New Roman"/>
        </w:rPr>
        <w:t xml:space="preserve">. </w:t>
      </w:r>
      <w:r>
        <w:rPr>
          <w:rFonts w:ascii="Microsoft YaHei" w:hAnsi="Microsoft YaHei" w:eastAsia="Microsoft YaHei" w:cs="Microsoft YaHei"/>
        </w:rPr>
        <w:t>因为这百姓个心油蒙了</w:t>
      </w:r>
      <w:r>
        <w:rPr>
          <w:rFonts w:ascii="Times New Roman" w:hAnsi="Times New Roman" w:eastAsia="Times New Roman" w:cs="Times New Roman"/>
        </w:rPr>
        <w:t xml:space="preserve">, </w:t>
      </w:r>
      <w:r>
        <w:rPr>
          <w:rFonts w:ascii="Microsoft YaHei" w:hAnsi="Microsoft YaHei" w:eastAsia="Microsoft YaHei" w:cs="Microsoft YaHei"/>
        </w:rPr>
        <w:t>耳朵发沉</w:t>
      </w:r>
      <w:r>
        <w:rPr>
          <w:rFonts w:ascii="Times New Roman" w:hAnsi="Times New Roman" w:eastAsia="Times New Roman" w:cs="Times New Roman"/>
        </w:rPr>
        <w:t xml:space="preserve">, </w:t>
      </w:r>
      <w:r>
        <w:rPr>
          <w:rFonts w:ascii="Microsoft YaHei" w:hAnsi="Microsoft YaHei" w:eastAsia="Microsoft YaHei" w:cs="Microsoft YaHei"/>
        </w:rPr>
        <w:t>眼睛闭着</w:t>
      </w:r>
      <w:r>
        <w:rPr>
          <w:rFonts w:ascii="Times New Roman" w:hAnsi="Times New Roman" w:eastAsia="Times New Roman" w:cs="Times New Roman"/>
        </w:rPr>
        <w:t xml:space="preserve">; </w:t>
      </w:r>
      <w:r>
        <w:rPr>
          <w:rFonts w:ascii="Microsoft YaHei" w:hAnsi="Microsoft YaHei" w:eastAsia="Microsoft YaHei" w:cs="Microsoft YaHei"/>
        </w:rPr>
        <w:t>免得伊拉眼睛看见</w:t>
      </w:r>
      <w:r>
        <w:rPr>
          <w:rFonts w:ascii="Times New Roman" w:hAnsi="Times New Roman" w:eastAsia="Times New Roman" w:cs="Times New Roman"/>
        </w:rPr>
        <w:t xml:space="preserve">, </w:t>
      </w:r>
      <w:r>
        <w:rPr>
          <w:rFonts w:ascii="Microsoft YaHei" w:hAnsi="Microsoft YaHei" w:eastAsia="Microsoft YaHei" w:cs="Microsoft YaHei"/>
        </w:rPr>
        <w:t>耳朵听见</w:t>
      </w:r>
      <w:r>
        <w:rPr>
          <w:rFonts w:ascii="Times New Roman" w:hAnsi="Times New Roman" w:eastAsia="Times New Roman" w:cs="Times New Roman"/>
        </w:rPr>
        <w:t xml:space="preserve">, </w:t>
      </w:r>
      <w:r>
        <w:rPr>
          <w:rFonts w:ascii="Microsoft YaHei" w:hAnsi="Microsoft YaHei" w:eastAsia="Microsoft YaHei" w:cs="Microsoft YaHei"/>
        </w:rPr>
        <w:t>心里明白</w:t>
      </w:r>
      <w:r>
        <w:rPr>
          <w:rFonts w:ascii="Times New Roman" w:hAnsi="Times New Roman" w:eastAsia="Times New Roman" w:cs="Times New Roman"/>
        </w:rPr>
        <w:t xml:space="preserve">, </w:t>
      </w:r>
      <w:r>
        <w:rPr>
          <w:rFonts w:ascii="Microsoft YaHei" w:hAnsi="Microsoft YaHei" w:eastAsia="Microsoft YaHei" w:cs="Microsoft YaHei"/>
        </w:rPr>
        <w:t>回转过来</w:t>
      </w:r>
      <w:r>
        <w:rPr>
          <w:rFonts w:ascii="Times New Roman" w:hAnsi="Times New Roman" w:eastAsia="Times New Roman" w:cs="Times New Roman"/>
        </w:rPr>
        <w:t xml:space="preserve">, </w:t>
      </w:r>
      <w:r>
        <w:rPr>
          <w:rFonts w:ascii="Microsoft YaHei" w:hAnsi="Microsoft YaHei" w:eastAsia="Microsoft YaHei" w:cs="Microsoft YaHei"/>
        </w:rPr>
        <w:t>我就医治伊拉</w:t>
      </w:r>
      <w:r>
        <w:rPr>
          <w:rFonts w:ascii="Times New Roman" w:hAnsi="Times New Roman" w:eastAsia="Times New Roman" w:cs="Times New Roman"/>
        </w:rPr>
        <w:t xml:space="preserve">.’ </w:t>
      </w:r>
      <w:r>
        <w:rPr>
          <w:rFonts w:ascii="Microsoft YaHei" w:hAnsi="Microsoft YaHei" w:eastAsia="Microsoft YaHei" w:cs="Microsoft YaHei"/>
        </w:rPr>
        <w:t>不过</w:t>
      </w:r>
      <w:r>
        <w:rPr>
          <w:rFonts w:ascii="Times New Roman" w:hAnsi="Times New Roman" w:eastAsia="Times New Roman" w:cs="Times New Roman"/>
        </w:rPr>
        <w:t>,</w:t>
      </w:r>
      <w:r>
        <w:rPr>
          <w:rFonts w:ascii="Microsoft YaHei" w:hAnsi="Microsoft YaHei" w:eastAsia="Microsoft YaHei" w:cs="Microsoft YaHei"/>
        </w:rPr>
        <w:t>侬拉个眼睛有福了</w:t>
      </w:r>
      <w:r>
        <w:rPr>
          <w:rFonts w:ascii="Times New Roman" w:hAnsi="Times New Roman" w:eastAsia="Times New Roman" w:cs="Times New Roman"/>
        </w:rPr>
        <w:t>,</w:t>
      </w:r>
      <w:r>
        <w:rPr>
          <w:rFonts w:ascii="Microsoft YaHei" w:hAnsi="Microsoft YaHei" w:eastAsia="Microsoft YaHei" w:cs="Microsoft YaHei"/>
        </w:rPr>
        <w:t>因为看得见</w:t>
      </w:r>
      <w:r>
        <w:rPr>
          <w:rFonts w:ascii="Times New Roman" w:hAnsi="Times New Roman" w:eastAsia="Times New Roman" w:cs="Times New Roman"/>
        </w:rPr>
        <w:t>;</w:t>
      </w:r>
      <w:r>
        <w:rPr>
          <w:rFonts w:ascii="Microsoft YaHei" w:hAnsi="Microsoft YaHei" w:eastAsia="Microsoft YaHei" w:cs="Microsoft YaHei"/>
        </w:rPr>
        <w:t>侬拉个耳朵有福了</w:t>
      </w:r>
      <w:r>
        <w:rPr>
          <w:rFonts w:ascii="Times New Roman" w:hAnsi="Times New Roman" w:eastAsia="Times New Roman" w:cs="Times New Roman"/>
        </w:rPr>
        <w:t>,</w:t>
      </w:r>
      <w:r>
        <w:rPr>
          <w:rFonts w:ascii="Microsoft YaHei" w:hAnsi="Microsoft YaHei" w:eastAsia="Microsoft YaHei" w:cs="Microsoft YaHei"/>
        </w:rPr>
        <w:t>因为听得见</w:t>
      </w:r>
      <w:r>
        <w:rPr>
          <w:rFonts w:ascii="Times New Roman" w:hAnsi="Times New Roman" w:eastAsia="Times New Roman" w:cs="Times New Roman"/>
        </w:rPr>
        <w:t>.</w:t>
      </w:r>
      <w:r>
        <w:rPr>
          <w:rFonts w:ascii="Microsoft YaHei" w:hAnsi="Microsoft YaHei" w:eastAsia="Microsoft YaHei" w:cs="Microsoft YaHei"/>
        </w:rPr>
        <w:t>我实在告诉侬拉：从前有许多先知同义人</w:t>
      </w:r>
      <w:r>
        <w:rPr>
          <w:rFonts w:ascii="Times New Roman" w:hAnsi="Times New Roman" w:eastAsia="Times New Roman" w:cs="Times New Roman"/>
        </w:rPr>
        <w:t>,</w:t>
      </w:r>
      <w:r>
        <w:rPr>
          <w:rFonts w:ascii="Microsoft YaHei" w:hAnsi="Microsoft YaHei" w:eastAsia="Microsoft YaHei" w:cs="Microsoft YaHei"/>
        </w:rPr>
        <w:t>切切想要看侬拉所看见个</w:t>
      </w:r>
      <w:r>
        <w:rPr>
          <w:rFonts w:ascii="Times New Roman" w:hAnsi="Times New Roman" w:eastAsia="Times New Roman" w:cs="Times New Roman"/>
        </w:rPr>
        <w:t>,</w:t>
      </w:r>
      <w:r>
        <w:rPr>
          <w:rFonts w:ascii="Microsoft YaHei" w:hAnsi="Microsoft YaHei" w:eastAsia="Microsoft YaHei" w:cs="Microsoft YaHei"/>
        </w:rPr>
        <w:t>却呒没看见</w:t>
      </w:r>
      <w:r>
        <w:rPr>
          <w:rFonts w:ascii="Times New Roman" w:hAnsi="Times New Roman" w:eastAsia="Times New Roman" w:cs="Times New Roman"/>
        </w:rPr>
        <w:t>;</w:t>
      </w:r>
      <w:r>
        <w:rPr>
          <w:rFonts w:ascii="Microsoft YaHei" w:hAnsi="Microsoft YaHei" w:eastAsia="Microsoft YaHei" w:cs="Microsoft YaHei"/>
        </w:rPr>
        <w:t>想要听侬拉所听见个</w:t>
      </w:r>
      <w:r>
        <w:rPr>
          <w:rFonts w:ascii="Times New Roman" w:hAnsi="Times New Roman" w:eastAsia="Times New Roman" w:cs="Times New Roman"/>
        </w:rPr>
        <w:t>,</w:t>
      </w:r>
      <w:r>
        <w:rPr>
          <w:rFonts w:ascii="Microsoft YaHei" w:hAnsi="Microsoft YaHei" w:eastAsia="Microsoft YaHei" w:cs="Microsoft YaHei"/>
        </w:rPr>
        <w:t>却呒没听见</w:t>
      </w:r>
      <w:r>
        <w:rPr>
          <w:rFonts w:ascii="Times New Roman" w:hAnsi="Times New Roman" w:eastAsia="Times New Roman" w:cs="Times New Roman"/>
        </w:rPr>
        <w:t xml:space="preserve">.” </w:t>
      </w:r>
      <w:r>
        <w:rPr>
          <w:rFonts w:ascii="Microsoft YaHei" w:hAnsi="Microsoft YaHei" w:eastAsia="Microsoft YaHei" w:cs="Microsoft YaHei"/>
        </w:rPr>
        <w:t>马太福音</w:t>
      </w:r>
      <w:r>
        <w:rPr>
          <w:rFonts w:ascii="Times New Roman" w:hAnsi="Times New Roman" w:eastAsia="Times New Roman" w:cs="Times New Roman"/>
        </w:rPr>
        <w:t xml:space="preserve"> 13:10–17</w:t>
      </w:r>
    </w:p>
    <w:p>
      <w:pPr>
        <w:pStyle w:val="ArticleBody"/>
        <w:jc w:val="left"/>
      </w:pPr>
      <w:r>
        <w:rPr>
          <w:rFonts w:ascii="Times New Roman" w:hAnsi="Times New Roman" w:eastAsia="Times New Roman" w:cs="Times New Roman"/>
        </w:rPr>
        <w:t>Ari maama no enti asembisa no, a ɛyɛ nokware a wɔde nkyerɛkyerɛ mu line so line. Wɔhyira anyansafo no, efisɛ wohu na wɔte; na anyansafo no ne wɔn a wɔhyira wɔn no nyinaa wɔyɛ wɔn ho mfonini wɔ Daniel ti dumienu mu. “Anyansafo” no ne wɔn a wɔte ase (wɔ wɔn koma mu) nimdeɛ nkɔanim no, a wɔde “pon” no gyina hɔ ma no, sɛnea wɔaka ho asɛm wɔ Habakkuk “nhoma” no mu; na “wɔn a wɔhyira wɔn” no ne wɔn a wɔtwɛn.</w:t>
      </w:r>
    </w:p>
    <w:p>
      <w:pPr>
        <w:pStyle w:val="ArticleScripture"/>
        <w:jc w:val="left"/>
      </w:pPr>
      <w:r>
        <w:rPr>
          <w:rFonts w:ascii="Nirmala UI" w:hAnsi="Nirmala UI" w:eastAsia="Nirmala UI" w:cs="Nirmala UI"/>
        </w:rPr>
        <w:t>ঔর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কহিলেন</w:t>
      </w:r>
      <w:r>
        <w:rPr>
          <w:rFonts w:ascii="Times New Roman" w:hAnsi="Times New Roman" w:eastAsia="Times New Roman" w:cs="Times New Roman"/>
        </w:rPr>
        <w:t xml:space="preserve">, </w:t>
      </w:r>
      <w:r>
        <w:rPr>
          <w:rFonts w:ascii="Nirmala UI" w:hAnsi="Nirmala UI" w:eastAsia="Nirmala UI" w:cs="Nirmala UI"/>
        </w:rPr>
        <w:t>যাও</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বাক্যসমূহ</w:t>
      </w:r>
      <w:r>
        <w:rPr>
          <w:rFonts w:ascii="Times New Roman" w:hAnsi="Times New Roman" w:eastAsia="Times New Roman" w:cs="Times New Roman"/>
        </w:rPr>
        <w:t xml:space="preserve"> </w:t>
      </w:r>
      <w:r>
        <w:rPr>
          <w:rFonts w:ascii="Nirmala UI" w:hAnsi="Nirmala UI" w:eastAsia="Nirmala UI" w:cs="Nirmala UI"/>
        </w:rPr>
        <w:t>অন্তকালের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রুদ্ধ</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মুদ্রাঙ্কিত</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অনেকেই</w:t>
      </w:r>
      <w:r>
        <w:rPr>
          <w:rFonts w:ascii="Times New Roman" w:hAnsi="Times New Roman" w:eastAsia="Times New Roman" w:cs="Times New Roman"/>
        </w:rPr>
        <w:t xml:space="preserve"> </w:t>
      </w:r>
      <w:r>
        <w:rPr>
          <w:rFonts w:ascii="Nirmala UI" w:hAnsi="Nirmala UI" w:eastAsia="Nirmala UI" w:cs="Nirmala UI"/>
        </w:rPr>
        <w:t>শুদ্ধ</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শুভ্র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পরীক্ষিত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দুষ্টেরা</w:t>
      </w:r>
      <w:r>
        <w:rPr>
          <w:rFonts w:ascii="Times New Roman" w:hAnsi="Times New Roman" w:eastAsia="Times New Roman" w:cs="Times New Roman"/>
        </w:rPr>
        <w:t xml:space="preserve"> </w:t>
      </w:r>
      <w:r>
        <w:rPr>
          <w:rFonts w:ascii="Nirmala UI" w:hAnsi="Nirmala UI" w:eastAsia="Nirmala UI" w:cs="Nirmala UI"/>
        </w:rPr>
        <w:t>দুষ্টতাই</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দুষ্টদের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কেহই</w:t>
      </w:r>
      <w:r>
        <w:rPr>
          <w:rFonts w:ascii="Times New Roman" w:hAnsi="Times New Roman" w:eastAsia="Times New Roman" w:cs="Times New Roman"/>
        </w:rPr>
        <w:t xml:space="preserve"> </w:t>
      </w:r>
      <w:r>
        <w:rPr>
          <w:rFonts w:ascii="Nirmala UI" w:hAnsi="Nirmala UI" w:eastAsia="Nirmala UI" w:cs="Nirmala UI"/>
        </w:rPr>
        <w:t>বুঝিবে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জ্ঞানীগণ</w:t>
      </w:r>
      <w:r>
        <w:rPr>
          <w:rFonts w:ascii="Times New Roman" w:hAnsi="Times New Roman" w:eastAsia="Times New Roman" w:cs="Times New Roman"/>
        </w:rPr>
        <w:t xml:space="preserve"> </w:t>
      </w:r>
      <w:r>
        <w:rPr>
          <w:rFonts w:ascii="Nirmala UI" w:hAnsi="Nirmala UI" w:eastAsia="Nirmala UI" w:cs="Nirmala UI"/>
        </w:rPr>
        <w:t>বুঝিবে।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নিত্য</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উঠাইয়া</w:t>
      </w:r>
      <w:r>
        <w:rPr>
          <w:rFonts w:ascii="Times New Roman" w:hAnsi="Times New Roman" w:eastAsia="Times New Roman" w:cs="Times New Roman"/>
        </w:rPr>
        <w:t xml:space="preserve"> </w:t>
      </w:r>
      <w:r>
        <w:rPr>
          <w:rFonts w:ascii="Nirmala UI" w:hAnsi="Nirmala UI" w:eastAsia="Nirmala UI" w:cs="Nirmala UI"/>
        </w:rPr>
        <w:t>লওয়া</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বিরানকারী</w:t>
      </w:r>
      <w:r>
        <w:rPr>
          <w:rFonts w:ascii="Times New Roman" w:hAnsi="Times New Roman" w:eastAsia="Times New Roman" w:cs="Times New Roman"/>
        </w:rPr>
        <w:t xml:space="preserve"> </w:t>
      </w:r>
      <w:r>
        <w:rPr>
          <w:rFonts w:ascii="Nirmala UI" w:hAnsi="Nirmala UI" w:eastAsia="Nirmala UI" w:cs="Nirmala UI"/>
        </w:rPr>
        <w:t>ঘৃণ্য</w:t>
      </w:r>
      <w:r>
        <w:rPr>
          <w:rFonts w:ascii="Times New Roman" w:hAnsi="Times New Roman" w:eastAsia="Times New Roman" w:cs="Times New Roman"/>
        </w:rPr>
        <w:t xml:space="preserve"> </w:t>
      </w:r>
      <w:r>
        <w:rPr>
          <w:rFonts w:ascii="Nirmala UI" w:hAnsi="Nirmala UI" w:eastAsia="Nirmala UI" w:cs="Nirmala UI"/>
        </w:rPr>
        <w:t>বস্তু</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নব্বই</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ধন্য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প্রতীক্ষা</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পঁয়ত্রিশ</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১২</w:t>
      </w:r>
      <w:r>
        <w:rPr>
          <w:rFonts w:ascii="Times New Roman" w:hAnsi="Times New Roman" w:eastAsia="Times New Roman" w:cs="Times New Roman"/>
        </w:rPr>
        <w:t>:</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১৩।</w:t>
      </w:r>
    </w:p>
    <w:p>
      <w:pPr>
        <w:pStyle w:val="ArticleBody"/>
        <w:jc w:val="left"/>
      </w:pPr>
      <w:r>
        <w:rPr>
          <w:rFonts w:ascii="Times New Roman" w:hAnsi="Times New Roman" w:eastAsia="Times New Roman" w:cs="Times New Roman"/>
        </w:rPr>
        <w:t>A Millerici compreenderam corretamente que os mil trezentos e trinta e cinco dias começaram quando o paganismo (“o contínuo”) foi “tirado” no ano 508. A bênção foi prometida àqueles que estavam esperando em 1843. A palavra “vem” na passagem significa “toca”. O ano de 1843 “tocou” o ano de 1844 quando terminou. Quando o ano de 1843 terminou, chegou o “tempo de tardança” de Habacuque, e foi pronunciada uma bênção sobre aqueles que esperaram conforme ordenado no “livro” que mencionava as “tábuas”. O “livro” de Habacuque ordenava àqueles que “esperassem” pela visão.</w:t>
      </w:r>
    </w:p>
    <w:p>
      <w:pPr>
        <w:pStyle w:val="ArticleBody"/>
        <w:jc w:val="left"/>
      </w:pPr>
      <w:r>
        <w:rPr>
          <w:rFonts w:ascii="Times New Roman" w:hAnsi="Times New Roman" w:eastAsia="Times New Roman" w:cs="Times New Roman"/>
        </w:rPr>
        <w:t>Daniel badəmānākī tarīx-e 1798-rā—zamān-e pāyān—ke dar ān ketāb-aš gōšāde šod, moʿarrefī mīkonad; va dar ān hengām farāyandī se-marḥaleʾī az āzmāyeš padīd آمد (pāk šodan, safīd گردیدن، va āmūxta/āzmūda شدن). Ān farāyand dar zohūr-e tarīx-e penhān-e haft رعد be natīja-ye nehhāyī-ye xod resid. Ān tarīx-e penhān همان سه waymark-e ḥaqīqat ast ke bā نخستین nā-omīdī، payām-e Faryād-e Nīmašab، va nā-omīdī-ye bozorg نمāyandegī mīšavad. Barakat-e residan be نخستین nā-omīdī, نمāyāngar-e yek farāyand-e se-marḥaleʾī az āzmāyeš dar pāyān-e tarīx-e 1798 tā 1844 ast.</w:t>
      </w:r>
    </w:p>
    <w:p>
      <w:pPr>
        <w:pStyle w:val="ArticleBody"/>
        <w:jc w:val="left"/>
      </w:pPr>
      <w:r>
        <w:rPr>
          <w:rFonts w:ascii="Times New Roman" w:hAnsi="Times New Roman" w:eastAsia="Times New Roman" w:cs="Times New Roman"/>
        </w:rPr>
        <w:t>Ihistoria ya 1798, mpaka kufikia fedheha kuu ya 1844, ni mfano wa historia ya 1989, mpaka kufikia sheria ya Jumapili inayokuja upesi. Kuna baraka iliyoahidiwa kwa wale wanaolingojea ono lililoanza kukawia katika fedheha ya kwanza. “Wenye hekima” wa Danieli kumi na mbili ni wale ambao “wamebarikiwa,” na ambao “wanangoja.” Waovu ni wale wasio “sikia” kwa mioyo yao, na wasio “ona.” Uzoefu wote wa vuguvugu la Wamileriti umefupishwa katika aya nne za Danieli, na aya hizo pia zinawakilisha historia ya kutiwa muhuri kwa wale mia moja arobaini na nne elfu.</w:t>
      </w:r>
    </w:p>
    <w:p>
      <w:pPr>
        <w:pStyle w:val="ArticleBody"/>
        <w:jc w:val="left"/>
      </w:pPr>
      <w:r>
        <w:rPr>
          <w:rFonts w:ascii="Times New Roman" w:hAnsi="Times New Roman" w:eastAsia="Times New Roman" w:cs="Times New Roman"/>
        </w:rPr>
        <w:t>ئەو چوار ئايەتەدا نیشان دراوەی مێژووی پیرۆز، لەسەر تێگەیشتن بە زیادبوونی زانیارییەکە بنیاد نراوە کە لەسەر خشتەکانی حەبەقوق نیشان درابوو، و هەروەها زیادبوونی زانیارییەکەی کە عیسا ناساندی کاتێک بە ڕێبازى “هێڵ لەسەر هێڵ” فێر دەکرد. ئەو نموونە بەدوای نموونە پیشان دەدا بۆ ئەوەی نهێنیی پێشبینی بۆ “دانایان” ڕوون بکاتەوە. “بەدکاران” لە دانیال دوازدەدا تێناگەن، و لە 2 Thessalonians، بەشی دوودا، ئەو نەفامەییەیان وەک ڕق لە ڕاستی نیشان دراوە، کە گومڕاییەکی بەهێز دێنێتەوە. ئەو ڕاستییەی کە بەدکاران لە نامەی پۆڵسدا خۆشیان ناوێت “the daily” بوو، و لە چوار ئايەتەکانی دانیالدا، ئەو ڕاستییەی پێشبینییە کە بە تایبەتی دیاری کراوە “the daily” ـە.</w:t>
      </w:r>
    </w:p>
    <w:p>
      <w:pPr>
        <w:pStyle w:val="ArticleBody"/>
        <w:jc w:val="left"/>
      </w:pPr>
      <w:r>
        <w:rPr>
          <w:rFonts w:ascii="Times New Roman" w:hAnsi="Times New Roman" w:eastAsia="Times New Roman" w:cs="Times New Roman"/>
        </w:rPr>
        <w:t>عیسیٰ نے شاگردوں سے فرمایا کہ وہ مبارک ہیں، اور ایسا کرتے ہوئے اُس نے اُن کا تقابل یسعیاہ میں مذکور اُن لوگوں کے ساتھ کیا جو دیکھنے اور سننے سے انکار کرتے تھے تاکہ وہ تبدیل نہ ہوں۔ دانی ایل بارہ میں جو مبارک ہیں، وہ وہی ہیں جو انتظار کرتے ہیں۔ دانی ایل باب بارہ کی چار آیات، اور نیز میلریوں کی تاریخ میں اُن آیات کی تکمیل، اور نیز یسعیاہ کا اُس طبقہ کے ساتھ تقابل جس نے سننے اور دیکھنے سے انکار کیا، اور نیز مسیح کی طرف سے انہی دو طبقوں کے مابین بعینہٖ وہی امتیاز، سب کے سب 18 جولائی 2020 کو آنے والی سات گرجوں کی پوشیدہ تاریخ کی طرف پیشگی اشارہ کرتے ہیں۔ میلری تاریخ کے امتحان کے آخری عمل، جو پہلی مایوسی سے شروع ہوا تھا، اب دوبارہ دہرایا جا رہا ہے۔ بعض دیکھیں گے، اور بعض دیکھنے سے انکار کریں گے۔</w:t>
      </w:r>
    </w:p>
    <w:p>
      <w:pPr>
        <w:pStyle w:val="ArticleScripture"/>
        <w:jc w:val="left"/>
      </w:pPr>
      <w:r>
        <w:rPr>
          <w:rFonts w:ascii="Times New Roman" w:hAnsi="Times New Roman" w:eastAsia="Times New Roman" w:cs="Times New Roman"/>
        </w:rPr>
        <w:t>«1840–1844 жылдарында берілген барлық хабарлар қазір пәрменді түрде жария етілуге тиіс, өйткені өз бағдарынан айырылған адамдар көп. Бұл хабарлар барлық шіркеулерге жетуге тиіс. »</w:t>
      </w:r>
    </w:p>
    <w:p>
      <w:pPr>
        <w:pStyle w:val="ArticleScripture"/>
        <w:jc w:val="left"/>
      </w:pPr>
      <w:r>
        <w:rPr>
          <w:rFonts w:ascii="Times New Roman" w:hAnsi="Times New Roman" w:eastAsia="Times New Roman" w:cs="Times New Roman"/>
        </w:rPr>
        <w:t>«Քրիստոս ասաց. “Երանի՜ ձեր աչքերին, որովհետև տեսնում են, և ձեր ականջներին, որովհետև լսում են. որովհետև ճշմարիտ ասում եմ ձեզ, որ շատ մարգարեներ և արդարներ ցանկացան տեսնել այն, ինչ դուք եք տեսնում, և չտեսան, և լսել այն, ինչ դուք եք լսում, և չլսեցին” [Matthew 13:16, 17]։ Երանելի են այն աչքերը, որոնք տեսան այն, ինչ երևաց 1843 և 1844 թվականներին։»</w:t>
      </w:r>
    </w:p>
    <w:p>
      <w:pPr>
        <w:pStyle w:val="ArticleScripture"/>
        <w:jc w:val="left"/>
      </w:pPr>
      <w:r>
        <w:rPr>
          <w:rFonts w:ascii="Times New Roman" w:hAnsi="Times New Roman" w:eastAsia="Times New Roman" w:cs="Times New Roman"/>
        </w:rPr>
        <w:t>“Ayong mensahe ket naiteden. Ket awan koma ti pannakaitantan iti panangul-ulit iti mensahe, ta dagiti pagilasinan dagiti panawen ket matmatungpalda; ti maudi a trabaho ket masapul a maragpat. Maysa a naindaklan a trabaho ti maaramid iti ababa a tiempo. Maysa a mensahe ti asidegen a maited babaen iti pannakaituding ti Dios a dumakkel agingga iti maysa a napigsa a ikkis. Kalpasanna, ni Daniel ket tumakderto iti pasetna, tapno itedna ti pammaneknekna.” Manuscript Releases, volume 21, 437.</w:t>
      </w:r>
    </w:p>
    <w:p>
      <w:pPr>
        <w:pStyle w:val="ArticleBody"/>
        <w:jc w:val="left"/>
      </w:pPr>
      <w:r>
        <w:rPr>
          <w:rFonts w:ascii="Times New Roman" w:hAnsi="Times New Roman" w:eastAsia="Times New Roman" w:cs="Times New Roman"/>
        </w:rPr>
        <w:t>UWilliam Miller waholelwa yizingelosi ukuba aqonde ukuthi “okwemihla ngemihla” kwakuyisifanekiselo seRoma yobuqaba. USister White waqinisekisa ngokuqondile ukuthi wayeqondile kulokho kuqonda. Lokho kuqonda okwafanekiselwa phezu “kwamatafula” aphawulwa “encwadini” kaHabakuki, “kungokwesikhathi esizayo.” Ukuvulwa kwaleyo “ncwadi” kuveza “abantwana abavukelayo, abangamanga.” “Abantwana” bayisifanekiselo sesizukulwane sokugcina, ngakho “isikhathi esizayo,” endimeni ka-Isaya, simakwa ngokukhethekile njengezinsuku zokugcina zokwahlulela kophenyo.</w:t>
      </w:r>
    </w:p>
    <w:p>
      <w:pPr>
        <w:pStyle w:val="ArticleBody"/>
        <w:jc w:val="left"/>
      </w:pPr>
      <w:r>
        <w:rPr>
          <w:rFonts w:ascii="Times New Roman" w:hAnsi="Times New Roman" w:eastAsia="Times New Roman" w:cs="Times New Roman"/>
        </w:rPr>
        <w:t>یعیاہ بیان کرتا ہے کہ «جھوٹے بچے» اُس نبوی پیغام کو رد کریں گے جو «میز» پر اور «کتاب» میں مذکور ہے، کیونکہ وہ «غیب بینوں سے کہتے ہیں، نہ دیکھو؛ اور نبیوں سے، ہم سے راست باتیں نبوت میں نہ کہو، ہم سے نرم نرم باتیں کہو، فریب کی نبوت کرو۔» 1863 میں لاودیکیائی ایڈونٹ ازم نے جھوٹے بچوں کی اس درخواست کو پورا کرنے کے ایک بڑھتے ہوئے عمل کا آغاز کیا۔ یسعیاہ اس کام کو میلری بنیادوں کی قدیم راہوں کو رد کرنے کے طور پر پیش کرتا ہے، کیونکہ انہوں نے کہا، «راستہ چھوڑ دو، راہ سے ہٹ جاؤ، اسرائیل کے قدوس کو ہمارے سامنے سے موقوف کرو۔» وہ راہ جو طریق ہے، یرمیاہ کی قدیم راہیں ہیں۔</w:t>
      </w:r>
    </w:p>
    <w:p>
      <w:pPr>
        <w:pStyle w:val="ArticleScripture"/>
        <w:jc w:val="left"/>
      </w:pPr>
      <w:r>
        <w:rPr>
          <w:rFonts w:ascii="Times New Roman" w:hAnsi="Times New Roman" w:eastAsia="Times New Roman" w:cs="Times New Roman"/>
        </w:rPr>
        <w:t>И вот что говорит Господь: станьте на путях и посмотрите, и расспросите о древних стезях, где путь благой, и идите по нему, и найдёте покой душам вашим. Но они сказали: «Не пойдём по нему». Иеремия 6:16.</w:t>
      </w:r>
    </w:p>
    <w:p>
      <w:pPr>
        <w:pStyle w:val="ArticleBody"/>
        <w:jc w:val="left"/>
      </w:pPr>
      <w:r>
        <w:rPr>
          <w:rFonts w:ascii="Times New Roman" w:hAnsi="Times New Roman" w:eastAsia="Times New Roman" w:cs="Times New Roman"/>
        </w:rPr>
        <w:t>“Si wɔn a wɔfrɛ wɔn ‘mma atorɔfo’ no po Yeremia “akwan dada” no yɛ anadwo mu sufrɛ no nkrasɛm a wɔapo no; ɛhɔ na wohu “ahomegye,” na saa ara nso na ɛyɛ “ahomegye ne ahotew foforo” a wɔamma wɔn aso amma ho wɔ Yesaia mu no, na ɛno nso ne osutɔ a etwa to no nkrasɛm no mu ahotew foforo no. Saa nkrasɛm no ne anadwo mu sufrɛ no nkrasɛm a wɔgyina Millerfo abakɔsɛm no so gyina hɔ ma no na wɔde yɛ mfonini wɔ “apon” no so a wɔaka ho asɛm wɔ “nwoma” bi mu no. Wɔn a wɔfrɛ wɔn ‘mma atorɔfo’ no a wɔpo anadwo mu sufrɛ no nkrasɛm no, wɔde gyina hɔ ma no denam wɔn pɛ a wɔpɛ sɛ “wɔma Israel Kronkronni no fi wɔn anim gyae” no so. Ellen White anisoadehu a edi kan no, a Alpha ne Omega de bɛyɛ adwuma ampa ara de agyina hɔ ama awiei no, kyerɛ atreneefo no kwan no, na ɛhyɛ hann a ɛwɔ ne mfiase no agyirae, ne nea ɔno ne ɔde “anyansafo” no kɔ kodu ɔkwan no awiei no.”</w:t>
      </w:r>
    </w:p>
    <w:p>
      <w:pPr>
        <w:pStyle w:val="ArticleScripture"/>
        <w:jc w:val="left"/>
      </w:pPr>
      <w:r>
        <w:rPr>
          <w:rFonts w:ascii="Times New Roman" w:hAnsi="Times New Roman" w:eastAsia="Times New Roman" w:cs="Times New Roman"/>
        </w:rPr>
        <w:t>“Тэдний замын эхэнд, ар талд нь тод гэрэл асаасан байсан бөгөөд нэгэн тэнгэрэлч надад энэ нь ‘шөнийн дундын хашхираан’ гэж хэлсэн. Энэ гэрэл замын туршид бүхэлдээ гэрэлтэж, тэд бүдрэхгүй байхын тулд хөлд нь гэрэл өгч байлаа.</w:t>
      </w:r>
    </w:p>
    <w:p>
      <w:pPr>
        <w:pStyle w:val="ArticleScripture"/>
        <w:jc w:val="left"/>
      </w:pPr>
      <w:r>
        <w:rPr>
          <w:rFonts w:ascii="Times New Roman" w:hAnsi="Times New Roman" w:eastAsia="Times New Roman" w:cs="Times New Roman"/>
        </w:rPr>
        <w:t>“ꞌYesu, ni wuon ka nyimegi, ma ongꞌetogi dhi e dala, ne gigen; ka gima ne nyimegi ne orito e iwangꞌogi, ne gigen. To maboro, moko kuomgi nolokore ma giol, kendo ginyalo ni dala ne nitie mabor ahinya, kendo negi geno ni gineno donjoie chon. Eka Yesu ne jukogi chuny kuom tingꞌo bade mamalo ma ler, kendo kuom bade ne oluongo mar ler ma ne yweyo ewi oganda mar advent, kendo gigiwo ni, ‘Alleluia!’ Jomoko bende ne giweyo ler mane ni chiengꞌgi gi dwaro maricho, kendo ginyalo ni ok Nyasaye ma ne otelogi ogie kama nyaka kama. Ler mane ni chiengꞌgi ne otho, kendo oweyo tiendgi e mudho matut kabisa, kendo ne gikobore, kendo gipuodho ranyisi gi Yesu, kendo gopogore kuom yo gichakore piny e piny mar mudho gi timbe maricho ma nitie piny.” Christian Experience and Teachings of Ellen G. White, 57.</w:t>
      </w:r>
    </w:p>
    <w:p>
      <w:pPr>
        <w:pStyle w:val="ArticleBody"/>
        <w:jc w:val="left"/>
      </w:pPr>
      <w:r>
        <w:rPr>
          <w:rFonts w:ascii="Times New Roman" w:hAnsi="Times New Roman" w:eastAsia="Times New Roman" w:cs="Times New Roman"/>
        </w:rPr>
        <w:t>Hä gije qärə säatä mäkäläy wäynä aytäwä gize, tä Midnät Qrayi bərhan näbäru. Yesu (Qəddusä Isra’el) iye, nəsu qädamom yəhonu kämmäqäm yəwäddu yänbäru. Kä Yesu məskər bərhan yämiyäfärräq bä kəburi qänña qəndu yäwätäwäw bərhan, bä “säwəlat” lay indätätäläw bä “mäṣḥaf” wəsṭ yätäzäggäbäw, yä Midnät Qrayi bərhan näbäru. Yä “wäššat lijjočč” yä Kristos Midnät Qrayi mäl’äkt sämmätaččäwənna yämmihädubbatən məngäd māsärräfāččäw, kä məngädu siwädqu, yä’Igzi’abəher fird ʿaläyhonu amättä. Yä “rəgzim qəṭṭä bäzuhənna dängät yäyyäsäbbärä gənb,” bəqärəb yämmimät’äw yä Ihud sämmäta hǝgg gize yämmifäräsäw yä bétä-kristiyanənna yä mängəst mäläyä “gənb” naw. Yih fird “dängät bä and gize” yämmimät’a naw, “əndä yäšəklila šäwa yämmisäbbäräwna yämmiqäṭṭäṭṭäw” yihonal. Yih, yä Sayṭan mäləkt yähonäwən “yä tägägäwən” gälbäṭo bä mäqäbäl, yän Kristos mäləkt indähonä məlaqäq yämmitayäz fird naw.</w:t>
      </w:r>
    </w:p>
    <w:p>
      <w:pPr>
        <w:pStyle w:val="ArticleScripture"/>
        <w:jc w:val="left"/>
      </w:pPr>
      <w:r>
        <w:rPr>
          <w:rFonts w:ascii="Times New Roman" w:hAnsi="Times New Roman" w:eastAsia="Times New Roman" w:cs="Times New Roman"/>
        </w:rPr>
        <w:t>أَمَا إِنَّ قَلْبَكُمُ الأُمُورَ رَأْسًا عَلَى عَقِبٍ يُعَدُّ كَطِينِ الْفَخَّارِيِّ؛ فَهَلْ يَقُولُ الْمَصْنُوعُ عَنْ صَانِعِهِ: لَمْ يَصْنَعْنِي؟ أَوْ يَقُولُ الْمُصَوَّرُ عَنْ مُصَوِّرِهِ: لَيْسَ لَهُ فَهْمٌ؟ إشعياء 29:16.</w:t>
      </w:r>
    </w:p>
    <w:p>
      <w:pPr>
        <w:pStyle w:val="ArticleBody"/>
        <w:jc w:val="left"/>
      </w:pPr>
      <w:r>
        <w:rPr>
          <w:rFonts w:ascii="Times New Roman" w:hAnsi="Times New Roman" w:eastAsia="Times New Roman" w:cs="Times New Roman"/>
        </w:rPr>
        <w:t>“te’ẽ ára ha ára” ha’e pe añetegua marandupy rehegua ombojoajúva irundy véso Daniel mokõipa papype, omombe’úva mba’éichapa ojehechakuaa ijoavy umi hekoañáva ha umi arandu apytépe. “Te’ẽ ára ha ára” ha’e pe añetegua ojeguaraháva umi oguerohorýva pe jejavy mbarete 2 Tesalonicenses-pe. “Te’ẽ ára ha ára” ohechauka umi “ta’ýra japúva” rembipota, omoĩ hag̃uáicha Israel Santo osẽ hag̃ua ijapágui. Ha ijastigo ojehechauka peteĩ mba’yru ñai’ũ apohára mba’e ojekytĩramo guáicha, ha umi pehẽngue opytáva ha’e peteĩ ta’anga ohechaukáva umi kuñataĩ kaigue rekove okañýva, pórke umi pehẽngue oñembyai ha opytáva pe mba’yru ñai’ũ apohára ojekytĩva guive, upépe “ndojuhu mo’ãi” “peteĩ pehẽngue jepe ojegueraha hag̃ua tata tatakua guive, térã y ojeguenohẽ hag̃ua yvykua guive.”</w:t>
      </w:r>
    </w:p>
    <w:p>
      <w:pPr>
        <w:pStyle w:val="ArticleBody"/>
        <w:jc w:val="left"/>
      </w:pPr>
      <w:r>
        <w:rPr>
          <w:rFonts w:ascii="Times New Roman" w:hAnsi="Times New Roman" w:eastAsia="Times New Roman" w:cs="Times New Roman"/>
        </w:rPr>
        <w:t>“</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एकाएक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अगस्त</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एक्सेटर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कैम्प</w:t>
      </w:r>
      <w:r>
        <w:rPr>
          <w:rFonts w:ascii="Times New Roman" w:hAnsi="Times New Roman" w:eastAsia="Times New Roman" w:cs="Times New Roman"/>
        </w:rPr>
        <w:t>-</w:t>
      </w:r>
      <w:r>
        <w:rPr>
          <w:rFonts w:ascii="Nirmala UI" w:hAnsi="Nirmala UI" w:eastAsia="Nirmala UI" w:cs="Nirmala UI"/>
        </w:rPr>
        <w:t>मीटिंग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बच्चे</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असम्भव</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p>
    <w:p>
      <w:pPr>
        <w:pStyle w:val="ArticleScripture"/>
        <w:jc w:val="left"/>
      </w:pPr>
      <w:r>
        <w:rPr>
          <w:rFonts w:ascii="Times New Roman" w:hAnsi="Times New Roman" w:eastAsia="Times New Roman" w:cs="Times New Roman"/>
        </w:rPr>
        <w:t>Сенің сөздерің табылды, мен оларды жедім; Сенің сөзің менің жүрегіме қуаныш пен шаттық болды; өйткені мен Сенің атыңмен аталдым, Уа, Әскерлердің Құдайы Жаратқан Ие. Мен мысқылдаушылардың жиналысында отырған жоқпын, қуанған да жоқпын; Сенің қолыңның әсерінен жалғыз отырдым, өйткені Сен мені indignation-ға толтырдың. Неліктен менің қайғым үздіксіз, ал жарам жазылмайтын, емделуден бас тартатын? Сонда Сен мен үшін жалғаншыдай, суы тартылып қалатын сулардай болмақсың ба? Сондықтан Жаратқан Ие былай дейді: егер сен қайтсаң, Мен сені қайта қабылдаймын, сонда сен Менің алдымда тұрасың; ал егер сен қымбаттыны арсыздан ажыратсаң, Менің аузымдай боласың; олар саған қайтып келсін, бірақ сен оларға қайтып барма. Мен сені осы халыққа қоршалған қола қабырға етемін; олар саған қарсы соғысады, бірақ сені жеңе алмайды; өйткені Мен сені құтқару және азат ету үшін сенімен біргемін, — дейді Жаратқан Ие. Мен сені зұлымдардың қолынан құтқарамын, әрі қатыгездердің қолынан сатып аламын. Еремия 15:16–21.</w:t>
      </w:r>
    </w:p>
    <w:p>
      <w:pPr>
        <w:pStyle w:val="ArticleBody"/>
        <w:jc w:val="left"/>
      </w:pPr>
      <w:r>
        <w:rPr>
          <w:rFonts w:ascii="Times New Roman" w:hAnsi="Times New Roman" w:eastAsia="Times New Roman" w:cs="Times New Roman"/>
        </w:rPr>
        <w:t>Երեմիան ներկայացնում է նրանց, ովքեր վերադարձան առաջին հիասթափությունից հետո։ Նրանց, ովքեր մտան «թանկագինը անարգից» զատելու գործի մեջ, որպեսզի «կանգնեն» Տիրոջ առջև և լինեն Տիրոջ «բերանը»։ Նրանք են նրանք, որոնց ներկայացնում է Դանիելը իններորդ գլխում՝ որպես իրենց ցրված վիճակը հասկացողներ, և ապա Ղևտացոց քսանվեցերորդ գլխի աղոթքն աղոթողներ։ Նրանք են նրանք, որոնց ներկայացնում են Դանիելը, Երեմիան և Ամբակումի պահապանները, որոնք հակադրվում են «ստախոս որդիներին»։ «Ստախոս որդիները» նույնպես կոչվեցին «Իսրայելի Սուրբի» կողմից, երբ Նա ասաց. «դառնալով և հանգիստ լինելով պիտի փրկվեք. հանդարտության և վստահության մեջ պիտի լինի ձեր զորությունը. բայց դուք չկամեցաք»։</w:t>
      </w:r>
    </w:p>
    <w:p>
      <w:pPr>
        <w:pStyle w:val="ArticleBody"/>
        <w:jc w:val="left"/>
      </w:pPr>
      <w:r>
        <w:rPr>
          <w:rFonts w:ascii="Times New Roman" w:hAnsi="Times New Roman" w:eastAsia="Times New Roman" w:cs="Times New Roman"/>
        </w:rPr>
        <w:t>Milleri ngilyakunaqa Habakkukpa tablankunapi rikuchisqa cheqaq-kunam, chaykunaqa Chaupi Tuta Qapariy willakuypa pruebanm rikuchin, iskay laya yupaychaqkunata paqarichiq. Chay ngilyakunapa contranpi rikurimuq hatarikuypa unanchanqa “sapa p’unchaymi” nisqaqa. Millerqa “sapa p’unchaymanta” hamutayninpi chiqap karqa, ichaqa hamutayninqa kawsasqan pacha historiarayku pisi tupu karqa; hinaspa paypa wasin chawpinpi mesa pataman churayta yachasqa ngilyakunaqa kunan chunka kuti aswan lliphipin, Miller ñawpaq kutipi mesanman churashqanmantapas aswan. Kunanqa aswan hatun cajonpi kachkan, imaraykuchus chay cajonqa kunanqa manaña Biblia sapallantachu rikuchin, imaynachus Millerpa pachanpi karqa hina, aswanpas iskayninta rikuchin: Bibliatawan Profeciapa Espirituntawan.</w:t>
      </w:r>
    </w:p>
    <w:p>
      <w:pPr>
        <w:pStyle w:val="ArticleBody"/>
        <w:jc w:val="left"/>
      </w:pPr>
      <w:r>
        <w:rPr>
          <w:rFonts w:ascii="Times New Roman" w:hAnsi="Times New Roman" w:eastAsia="Times New Roman" w:cs="Times New Roman"/>
        </w:rPr>
        <w:t>Asenyi ayena anan no na wɔde sɔhwɛ hann no ba wɔ nna a edi akyiri mu, na saa adansefo baanu yi ara na wɔbɛyɛ koɛbea titiriw wɔ nna a edi akyiri mu. Miller hui ɔko no, efisɛ wɔ ne dae mu wɔfaa ne daka no (Bible no), na wɔtetew mu. Yohane a ogyina hɔ ma “anyansafo” no wɔ nna a edi akyiri mu no, “na ɔwɔ supɔw a wɔfrɛ no Patmos no so, Onyankopɔn asɛm no nti, ne Yesu Kristo adansedi no nti.” Ná wɔretaataa Yohane efisɛ na ogye nkrasɛm a efi Bible no ne Ellen White akyerɛw no baanu nyinaa di.</w:t>
      </w:r>
    </w:p>
    <w:p>
      <w:pPr>
        <w:pStyle w:val="ArticleBody"/>
        <w:jc w:val="left"/>
      </w:pPr>
      <w:r>
        <w:rPr>
          <w:rFonts w:ascii="Times New Roman" w:hAnsi="Times New Roman" w:eastAsia="Times New Roman" w:cs="Times New Roman"/>
        </w:rPr>
        <w:t>1798 жылы мөрі ашылған Ұлай өзені көрінісі арқылы бейнеленген ақиқаттарды қарастыруды келесі мақалада жалғастырамыз.</w:t>
      </w:r>
    </w:p>
    <w:p>
      <w:pPr>
        <w:pStyle w:val="ArticleScripture"/>
        <w:jc w:val="left"/>
      </w:pPr>
      <w:r>
        <w:rPr>
          <w:rFonts w:ascii="Times New Roman" w:hAnsi="Times New Roman" w:eastAsia="Times New Roman" w:cs="Times New Roman"/>
        </w:rPr>
        <w:t>“Ngaiƚa aŋɛlɛkərɔ gələŋ aŋa ka maɣa ɨn aɣaŋ, sa maɣa aŋa ka fɔrɔm kəŋa ŋgai Ɨrɛl aŋa kədiŋ aŋa, nda ŋa kəlaŋəŋ ŋgai ɨn tɔrɔŋa ɨn ndʉra aŋa.”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Muvi wa Danieri — Namba Makumi Manna Mwenda</dc:title>
  <dc:subject>بن‌بەننە تەعلیمات: نێوەشەوی بانگەواز، ڕۆڵی ئیسلام، و پرۆسەی کۆتایی تاقیکردنەوە لە دوایی ڕۆژاندا</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