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Lima Puluh Satu</w:t>
      </w:r>
    </w:p>
    <w:p>
      <w:pPr>
        <w:pStyle w:val="ArticleSubtitle"/>
        <w:jc w:val="left"/>
      </w:pPr>
      <w:r>
        <w:rPr>
          <w:rFonts w:ascii="Ebrima" w:hAnsi="Ebrima" w:eastAsia="Ebrima" w:cs="Ebrima"/>
        </w:rPr>
        <w:t>ፓልሞኒ፡</w:t>
      </w:r>
      <w:r>
        <w:rPr>
          <w:rFonts w:ascii="Arial" w:hAnsi="Arial" w:eastAsia="Arial" w:cs="Arial"/>
        </w:rPr>
        <w:t xml:space="preserve"> </w:t>
      </w:r>
      <w:r>
        <w:rPr>
          <w:rFonts w:ascii="Ebrima" w:hAnsi="Ebrima" w:eastAsia="Ebrima" w:cs="Ebrima"/>
        </w:rPr>
        <w:t>በዳንኤልና</w:t>
      </w:r>
      <w:r>
        <w:rPr>
          <w:rFonts w:ascii="Arial" w:hAnsi="Arial" w:eastAsia="Arial" w:cs="Arial"/>
        </w:rPr>
        <w:t xml:space="preserve"> </w:t>
      </w:r>
      <w:r>
        <w:rPr>
          <w:rFonts w:ascii="Ebrima" w:hAnsi="Ebrima" w:eastAsia="Ebrima" w:cs="Ebrima"/>
        </w:rPr>
        <w:t>በራእይ</w:t>
      </w:r>
      <w:r>
        <w:rPr>
          <w:rFonts w:ascii="Arial" w:hAnsi="Arial" w:eastAsia="Arial" w:cs="Arial"/>
        </w:rPr>
        <w:t xml:space="preserve"> </w:t>
      </w:r>
      <w:r>
        <w:rPr>
          <w:rFonts w:ascii="Ebrima" w:hAnsi="Ebrima" w:eastAsia="Ebrima" w:cs="Ebrima"/>
        </w:rPr>
        <w:t>መጽሐፍ</w:t>
      </w:r>
      <w:r>
        <w:rPr>
          <w:rFonts w:ascii="Arial" w:hAnsi="Arial" w:eastAsia="Arial" w:cs="Arial"/>
        </w:rPr>
        <w:t xml:space="preserve"> </w:t>
      </w:r>
      <w:r>
        <w:rPr>
          <w:rFonts w:ascii="Ebrima" w:hAnsi="Ebrima" w:eastAsia="Ebrima" w:cs="Ebrima"/>
        </w:rPr>
        <w:t>ውስጥ</w:t>
      </w:r>
      <w:r>
        <w:rPr>
          <w:rFonts w:ascii="Arial" w:hAnsi="Arial" w:eastAsia="Arial" w:cs="Arial"/>
        </w:rPr>
        <w:t xml:space="preserve"> </w:t>
      </w:r>
      <w:r>
        <w:rPr>
          <w:rFonts w:ascii="Ebrima" w:hAnsi="Ebrima" w:eastAsia="Ebrima" w:cs="Ebrima"/>
        </w:rPr>
        <w:t>የዘመንና</w:t>
      </w:r>
      <w:r>
        <w:rPr>
          <w:rFonts w:ascii="Arial" w:hAnsi="Arial" w:eastAsia="Arial" w:cs="Arial"/>
        </w:rPr>
        <w:t xml:space="preserve"> </w:t>
      </w:r>
      <w:r>
        <w:rPr>
          <w:rFonts w:ascii="Ebrima" w:hAnsi="Ebrima" w:eastAsia="Ebrima" w:cs="Ebrima"/>
        </w:rPr>
        <w:t>የቋንቋ</w:t>
      </w:r>
      <w:r>
        <w:rPr>
          <w:rFonts w:ascii="Arial" w:hAnsi="Arial" w:eastAsia="Arial" w:cs="Arial"/>
        </w:rPr>
        <w:t xml:space="preserve"> </w:t>
      </w:r>
      <w:r>
        <w:rPr>
          <w:rFonts w:ascii="Ebrima" w:hAnsi="Ebrima" w:eastAsia="Ebrima" w:cs="Ebrima"/>
        </w:rPr>
        <w:t>ጌታን</w:t>
      </w:r>
      <w:r>
        <w:rPr>
          <w:rFonts w:ascii="Arial" w:hAnsi="Arial" w:eastAsia="Arial" w:cs="Arial"/>
        </w:rPr>
        <w:t xml:space="preserve"> </w:t>
      </w:r>
      <w:r>
        <w:rPr>
          <w:rFonts w:ascii="Ebrima" w:hAnsi="Ebrima" w:eastAsia="Ebrima" w:cs="Ebrima"/>
        </w:rPr>
        <w:t>መግለጥ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Даниелийн номын наймдугаар бүлгийн арван гурав, арван дөрөвдүгээр эшлэлд өгүүлэгддэг “ярьсан тэр нэгэн ариун хүн” нь Палмони хэмээх Христ мөн. Илчлэл номд Христийг Альфа ба Омега хэмээн тодорхойлсон байдаг бөгөөд энэ нь бусад гайхамшигт үнэнүүдийн хамт Христийг Гайхамшигт Хэлшинжээч мөн болохыг илтгэнэ; Даниел ба Илчлэл хэмээх энэ хоёр ном хамтад нь Христийг цаг хугацаа болон хэлний Эзэн болгон дүрслэн харуулдаг. Нууцуудыг Тоологч Палмони хэмээн Христ Өөрийн зан чанарын тэрхүү шинжийг Адвентизмийн төв баганыг тогтоодог хоёр эшлэлд танилцуулж буй нь ямар утга агуулга, ямар гүн гүнзгий ач холбогдолтой болохыг хүний чадлаар бүрэн ойлгох аргагүй; гэвч Нууцуудыг Тоологчийн илчлэхээр сонгосон нууцуудыг таньж мэдэн, хамгаалан сахих нь бидний хариуцлага мөн.</w:t>
      </w:r>
    </w:p>
    <w:p>
      <w:pPr>
        <w:pStyle w:val="ArticleScripture"/>
        <w:jc w:val="left"/>
      </w:pPr>
      <w:r>
        <w:rPr>
          <w:rFonts w:ascii="Times New Roman" w:hAnsi="Times New Roman" w:eastAsia="Times New Roman" w:cs="Times New Roman"/>
        </w:rPr>
        <w:t>ئەو نهێنییانە هی یەزدانی پەروەردگارمانن؛ بەڵام ئەو شتانەی ئاشکرا کراون هی ئێمە و منداڵانمانن بۆ هەمیشە، تاکو هەموو وشەکانی ئەم تۆراتە بەجێ بهێنین. Deuteronomy 29:29.</w:t>
      </w:r>
    </w:p>
    <w:p>
      <w:pPr>
        <w:pStyle w:val="ArticleBody"/>
        <w:jc w:val="left"/>
      </w:pPr>
      <w:r>
        <w:rPr>
          <w:rFonts w:ascii="Times New Roman" w:hAnsi="Times New Roman" w:eastAsia="Times New Roman" w:cs="Times New Roman"/>
        </w:rPr>
        <w:t>لە نهێنییەکی ئاشکراکراو ئەوەیە کە ژمێرەری نهێنییەکان (Palmoni)، هەمان ئەو «پیرۆزەیە کە قسەی کرد»، و لەو دوو ئایەتەی تێیاندا خۆی ئاشکرا دەکات، ستوونی ناوەندیی ئادڤێنتیزم دیاری دەکرێت. لەو دوو ئایەتەدا ژمێرەری سەرسوڕهێنەر ئەو «زیادبوونی زانیاری»یە دیاری دەکات کە خۆی، وەک شێری هۆزی یەهودا، لە ساڵی 1798 کرایەوە. لەو دوو ئایەتەدا، گەوهەرەکانی خەونی Miller، کە نوێنەرایەتیی «زیادبوونی زانیاری» دەکەن، بە ئاراستەکردنی دەستی Palmoni، لەسەر دوو تەختەکەی Habakkuk بڵاوکرانەوە.</w:t>
      </w:r>
    </w:p>
    <w:p>
      <w:pPr>
        <w:pStyle w:val="ArticleScripture"/>
        <w:jc w:val="left"/>
      </w:pPr>
      <w:r>
        <w:rPr>
          <w:rFonts w:ascii="Times New Roman" w:hAnsi="Times New Roman" w:eastAsia="Times New Roman" w:cs="Times New Roman"/>
        </w:rPr>
        <w:t>جینا ئەز گۆش وە دزگوتەکی پیرۆز دەنگ دەدا، و پیرۆزێکی دیکە بەو پیرۆزەی کە دەدووە، گوت: «ئەم دێدگاکە سەبارەت بە قوربانیی هەمیشەیی و تاوانی وێرانکاری، بۆ ئەوەی هەردوو پێرۆزگاکە و سوپاکە بخەنە ژێر پێی خۆیان، هەتا کەی دەبێت؟» ئەویش پێی گوتم: «هەتا دوو هەزار و سێ سەد ڕۆژ؛ ئینجا پێرۆزگا پاک دەکرێت.» دانیال 8:13، 14</w:t>
      </w:r>
    </w:p>
    <w:p>
      <w:pPr>
        <w:pStyle w:val="ArticleBody"/>
        <w:jc w:val="left"/>
      </w:pPr>
      <w:r>
        <w:rPr>
          <w:rFonts w:ascii="Times New Roman" w:hAnsi="Times New Roman" w:eastAsia="Times New Roman" w:cs="Times New Roman"/>
        </w:rPr>
        <w:t>Daniyél bi ßa gis-gis bu yonent bi ci nguur-yi yu waxees ci yonent yi ci Biibël, te gannaaw loolu mu dégg waxtaan wu asamaan wi ci saraxale yu fukk ak ñaari ak fukk ak ñeenti, mu seet a xam “gis-gis” ba.</w:t>
      </w:r>
    </w:p>
    <w:p>
      <w:pPr>
        <w:pStyle w:val="ArticleScripture"/>
        <w:jc w:val="left"/>
      </w:pPr>
      <w:r>
        <w:rPr>
          <w:rFonts w:ascii="Times New Roman" w:hAnsi="Times New Roman" w:eastAsia="Times New Roman" w:cs="Times New Roman"/>
        </w:rPr>
        <w:t>Kaj witꞌan chi we xok pan, in, in Daniel, xwil ri kꞌutbꞌal, xuqujeꞌ xinwokʼij ri rumal, kꞌa te riꞌ, chwe xutaq bꞌik jun ri kꞌulmatajem ri jas jun achi. Xintaq kꞌu jun chꞌabꞌal rech jun achi chixol ri juchiꞌ pa Ulai, ri xusikꞌij, xuqujeꞌ xubꞌij: Gabriel, chaꞌtaq re achi riꞌ chi kuqajam ri kꞌutbꞌal. Daniel 8:15, 16.</w:t>
      </w:r>
    </w:p>
    <w:p>
      <w:pPr>
        <w:pStyle w:val="ArticleBody"/>
        <w:jc w:val="left"/>
      </w:pPr>
      <w:r>
        <w:rPr>
          <w:rFonts w:ascii="Times New Roman" w:hAnsi="Times New Roman" w:eastAsia="Times New Roman" w:cs="Times New Roman"/>
        </w:rPr>
        <w:t>Ang “vision” na hinahangad maunawaan ni Daniel ay ang pangitaing “chazon,” ngunit ang pangitaing “mareh” ang iniutos kay Gabriel na ipaunawa kay Daniel. Ang bawat katunayan ay may kaugnayan sa usapin, at kung mapalampas ang katunayang ito, ang pagkakabalangkas at disenyo ng talata ay sa diwa ay mawawasak. Sa talata labinlima, nang hinahangad ni Daniel na maunawaan ang pangitaing “chazon,” ang “mareh” ay nakatago, ngunit nananatiling kinakatawan, sapagkat sa “appearance of a man” (Gabriel), ang salitang Hebreo na “mareh” ay isinasalin bilang “appearance.” Sa talata labinlima, kapwa kinakatawan ang dalawang salitang isinalin bilang “vision.” Si Daniel, sa talata labinlima, ay naghahangad na maunawaan ang “chazon,” ngunit si Palmoni ay nag-uutos kay Gabriel, sa talata labing-anim, na ipaunawa kay Daniel ang “mareh.” Ang pagkakabalangkas ng dalawang talatang ito ay sinadya, at binibigyang-diin ang kaugnayan at pagkakaiba ng dalawang salitang ito.</w:t>
      </w:r>
    </w:p>
    <w:p>
      <w:pPr>
        <w:pStyle w:val="ArticleBody"/>
        <w:jc w:val="left"/>
      </w:pP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ᏆᎵᎹᏂ</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ᎤᏁᏤᎲ</w:t>
      </w:r>
      <w:r>
        <w:rPr>
          <w:rFonts w:ascii="Times New Roman" w:hAnsi="Times New Roman" w:eastAsia="Times New Roman" w:cs="Times New Roman"/>
        </w:rPr>
        <w:t xml:space="preserve"> </w:t>
      </w:r>
      <w:r>
        <w:rPr>
          <w:rFonts w:ascii="Gadugi" w:hAnsi="Gadugi" w:eastAsia="Gadugi" w:cs="Gadugi"/>
        </w:rPr>
        <w:t>ᎦᏈᎵᏱᎵ</w:t>
      </w:r>
      <w:r>
        <w:rPr>
          <w:rFonts w:ascii="Times New Roman" w:hAnsi="Times New Roman" w:eastAsia="Times New Roman" w:cs="Times New Roman"/>
        </w:rPr>
        <w:t xml:space="preserve"> </w:t>
      </w:r>
      <w:r>
        <w:rPr>
          <w:rFonts w:ascii="Gadugi" w:hAnsi="Gadugi" w:eastAsia="Gadugi" w:cs="Gadugi"/>
        </w:rPr>
        <w:t>ᏗᏂᏰᎵ</w:t>
      </w:r>
      <w:r>
        <w:rPr>
          <w:rFonts w:ascii="Times New Roman" w:hAnsi="Times New Roman" w:eastAsia="Times New Roman" w:cs="Times New Roman"/>
        </w:rPr>
        <w:t xml:space="preserve"> </w:t>
      </w:r>
      <w:r>
        <w:rPr>
          <w:rFonts w:ascii="Gadugi" w:hAnsi="Gadugi" w:eastAsia="Gadugi" w:cs="Gadugi"/>
        </w:rPr>
        <w:t>ᎤᏬᎵᏤᎵᎭ</w:t>
      </w:r>
      <w:r>
        <w:rPr>
          <w:rFonts w:ascii="Times New Roman" w:hAnsi="Times New Roman" w:eastAsia="Times New Roman" w:cs="Times New Roman"/>
        </w:rPr>
        <w:t xml:space="preserve"> </w:t>
      </w:r>
      <w:r>
        <w:rPr>
          <w:rFonts w:ascii="Gadugi" w:hAnsi="Gadugi" w:eastAsia="Gadugi" w:cs="Gadugi"/>
        </w:rPr>
        <w:t>ᏕᏂᏯᎵᎭ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“mareh,”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ᎤᏁᏤᎲ</w:t>
      </w:r>
      <w:r>
        <w:rPr>
          <w:rFonts w:ascii="Times New Roman" w:hAnsi="Times New Roman" w:eastAsia="Times New Roman" w:cs="Times New Roman"/>
        </w:rPr>
        <w:t xml:space="preserve"> </w:t>
      </w:r>
      <w:r>
        <w:rPr>
          <w:rFonts w:ascii="Gadugi" w:hAnsi="Gadugi" w:eastAsia="Gadugi" w:cs="Gadugi"/>
        </w:rPr>
        <w:t>ᎦᏈᎵᏱᎵ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ᎤᎴᏅᎯ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ᎦᏈᎵᏱᎵ</w:t>
      </w:r>
      <w:r>
        <w:rPr>
          <w:rFonts w:ascii="Times New Roman" w:hAnsi="Times New Roman" w:eastAsia="Times New Roman" w:cs="Times New Roman"/>
        </w:rPr>
        <w:t xml:space="preserve"> </w:t>
      </w:r>
      <w:r>
        <w:rPr>
          <w:rFonts w:ascii="Gadugi" w:hAnsi="Gadugi" w:eastAsia="Gadugi" w:cs="Gadugi"/>
        </w:rPr>
        <w:t>ᎤᏛᎦᏁ</w:t>
      </w:r>
      <w:r>
        <w:rPr>
          <w:rFonts w:ascii="Times New Roman" w:hAnsi="Times New Roman" w:eastAsia="Times New Roman" w:cs="Times New Roman"/>
        </w:rPr>
        <w:t xml:space="preserve"> </w:t>
      </w:r>
      <w:r>
        <w:rPr>
          <w:rFonts w:ascii="Gadugi" w:hAnsi="Gadugi" w:eastAsia="Gadugi" w:cs="Gadugi"/>
        </w:rPr>
        <w:t>ᎧᏃᎮᏍᎬ</w:t>
      </w:r>
      <w:r>
        <w:rPr>
          <w:rFonts w:ascii="Times New Roman" w:hAnsi="Times New Roman" w:eastAsia="Times New Roman" w:cs="Times New Roman"/>
        </w:rPr>
        <w:t>,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ᎡᎳᏱ</w:t>
      </w:r>
      <w:r>
        <w:rPr>
          <w:rFonts w:ascii="Times New Roman" w:hAnsi="Times New Roman" w:eastAsia="Times New Roman" w:cs="Times New Roman"/>
        </w:rPr>
        <w:t xml:space="preserve"> </w:t>
      </w:r>
      <w:r>
        <w:rPr>
          <w:rFonts w:ascii="Gadugi" w:hAnsi="Gadugi" w:eastAsia="Gadugi" w:cs="Gadugi"/>
        </w:rPr>
        <w:t>ᎠᏥᏃᎮᏍᎩ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ᎤᏓᎴᏅᎲ</w:t>
      </w:r>
      <w:r>
        <w:rPr>
          <w:rFonts w:ascii="Times New Roman" w:hAnsi="Times New Roman" w:eastAsia="Times New Roman" w:cs="Times New Roman"/>
        </w:rPr>
        <w:t xml:space="preserve">.” </w:t>
      </w:r>
      <w:r>
        <w:rPr>
          <w:rFonts w:ascii="Gadugi" w:hAnsi="Gadugi" w:eastAsia="Gadugi" w:cs="Gadugi"/>
        </w:rPr>
        <w:t>ᎡᎳᏱ</w:t>
      </w:r>
      <w:r>
        <w:rPr>
          <w:rFonts w:ascii="Times New Roman" w:hAnsi="Times New Roman" w:eastAsia="Times New Roman" w:cs="Times New Roman"/>
        </w:rPr>
        <w:t xml:space="preserve"> </w:t>
      </w:r>
      <w:r>
        <w:rPr>
          <w:rFonts w:ascii="Gadugi" w:hAnsi="Gadugi" w:eastAsia="Gadugi" w:cs="Gadugi"/>
        </w:rPr>
        <w:t>ᎤᏪᏴᎯ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ᏥᏚᏩᏍᏗ</w:t>
      </w:r>
      <w:r>
        <w:rPr>
          <w:rFonts w:ascii="Times New Roman" w:hAnsi="Times New Roman" w:eastAsia="Times New Roman" w:cs="Times New Roman"/>
        </w:rPr>
        <w:t xml:space="preserve"> </w:t>
      </w:r>
      <w:r>
        <w:rPr>
          <w:rFonts w:ascii="Gadugi" w:hAnsi="Gadugi" w:eastAsia="Gadugi" w:cs="Gadugi"/>
        </w:rPr>
        <w:t>ᎠᏓᏰᎵ</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ᎠᏯᏛ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ᎤᎴᏅᎯ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ᏧᏃᎮᏍᏗ</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ᎠᎦᏃᎯᏍᏗ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ᎤᏁᏤᎯ</w:t>
      </w:r>
      <w:r>
        <w:rPr>
          <w:rFonts w:ascii="Times New Roman" w:hAnsi="Times New Roman" w:eastAsia="Times New Roman" w:cs="Times New Roman"/>
        </w:rPr>
        <w:t xml:space="preserve"> </w:t>
      </w:r>
      <w:r>
        <w:rPr>
          <w:rFonts w:ascii="Gadugi" w:hAnsi="Gadugi" w:eastAsia="Gadugi" w:cs="Gadugi"/>
        </w:rPr>
        <w:t>ᏥᏂᎦᎥ</w:t>
      </w:r>
      <w:r>
        <w:rPr>
          <w:rFonts w:ascii="Times New Roman" w:hAnsi="Times New Roman" w:eastAsia="Times New Roman" w:cs="Times New Roman"/>
        </w:rPr>
        <w:t xml:space="preserve"> </w:t>
      </w:r>
      <w:r>
        <w:rPr>
          <w:rFonts w:ascii="Gadugi" w:hAnsi="Gadugi" w:eastAsia="Gadugi" w:cs="Gadugi"/>
        </w:rPr>
        <w:t>ᏗᏂᎧᎿᎭᎩ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ᎠᏯᏛ</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ᏥᏂᎦᏪᎭ</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ᎧᏃᎮᏍᎬ</w:t>
      </w:r>
      <w:r>
        <w:rPr>
          <w:rFonts w:ascii="Times New Roman" w:hAnsi="Times New Roman" w:eastAsia="Times New Roman" w:cs="Times New Roman"/>
        </w:rPr>
        <w:t xml:space="preserve"> </w:t>
      </w:r>
      <w:r>
        <w:rPr>
          <w:rFonts w:ascii="Gadugi" w:hAnsi="Gadugi" w:eastAsia="Gadugi" w:cs="Gadugi"/>
        </w:rPr>
        <w:t>ᎦᏈᎵᏱᎵ</w:t>
      </w:r>
      <w:r>
        <w:rPr>
          <w:rFonts w:ascii="Times New Roman" w:hAnsi="Times New Roman" w:eastAsia="Times New Roman" w:cs="Times New Roman"/>
        </w:rPr>
        <w:t xml:space="preserve"> </w:t>
      </w:r>
      <w:r>
        <w:rPr>
          <w:rFonts w:ascii="Gadugi" w:hAnsi="Gadugi" w:eastAsia="Gadugi" w:cs="Gadugi"/>
        </w:rPr>
        <w:t>ᎤᏁᏤᎭ</w:t>
      </w:r>
      <w:r>
        <w:rPr>
          <w:rFonts w:ascii="Times New Roman" w:hAnsi="Times New Roman" w:eastAsia="Times New Roman" w:cs="Times New Roman"/>
        </w:rPr>
        <w:t xml:space="preserve"> </w:t>
      </w:r>
      <w:r>
        <w:rPr>
          <w:rFonts w:ascii="Gadugi" w:hAnsi="Gadugi" w:eastAsia="Gadugi" w:cs="Gadugi"/>
        </w:rPr>
        <w:t>ᏕᏂᏰᎵ</w:t>
      </w:r>
      <w:r>
        <w:rPr>
          <w:rFonts w:ascii="Times New Roman" w:hAnsi="Times New Roman" w:eastAsia="Times New Roman" w:cs="Times New Roman"/>
        </w:rPr>
        <w:t xml:space="preserve"> </w:t>
      </w:r>
      <w:r>
        <w:rPr>
          <w:rFonts w:ascii="Gadugi" w:hAnsi="Gadugi" w:eastAsia="Gadugi" w:cs="Gadugi"/>
        </w:rPr>
        <w:t>ᎤᏬᎵᏤᎵᎭ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“mareh” </w:t>
      </w:r>
      <w:r>
        <w:rPr>
          <w:rFonts w:ascii="Gadugi" w:hAnsi="Gadugi" w:eastAsia="Gadugi" w:cs="Gadugi"/>
        </w:rPr>
        <w:t>ᎠᏩᏛᎯᎯ</w:t>
      </w:r>
      <w:r>
        <w:rPr>
          <w:rFonts w:ascii="Times New Roman" w:hAnsi="Times New Roman" w:eastAsia="Times New Roman" w:cs="Times New Roman"/>
        </w:rPr>
        <w:t xml:space="preserve">. </w:t>
      </w:r>
      <w:r>
        <w:rPr>
          <w:rFonts w:ascii="Gadugi" w:hAnsi="Gadugi" w:eastAsia="Gadugi" w:cs="Gadugi"/>
        </w:rPr>
        <w:t>ᏕᏂᏯᎵᎭ</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ᎠᏯᏛ</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ᎤᏪᏴᎯ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ᎠᏄᏬ</w:t>
      </w:r>
      <w:r>
        <w:rPr>
          <w:rFonts w:ascii="Times New Roman" w:hAnsi="Times New Roman" w:eastAsia="Times New Roman" w:cs="Times New Roman"/>
        </w:rPr>
        <w:t xml:space="preserve"> </w:t>
      </w:r>
      <w:r>
        <w:rPr>
          <w:rFonts w:ascii="Gadugi" w:hAnsi="Gadugi" w:eastAsia="Gadugi" w:cs="Gadugi"/>
        </w:rPr>
        <w:t>ᎠᏌᏕᎾ</w:t>
      </w:r>
      <w:r>
        <w:rPr>
          <w:rFonts w:ascii="Times New Roman" w:hAnsi="Times New Roman" w:eastAsia="Times New Roman" w:cs="Times New Roman"/>
        </w:rPr>
        <w:t xml:space="preserve"> </w:t>
      </w:r>
      <w:r>
        <w:rPr>
          <w:rFonts w:ascii="Gadugi" w:hAnsi="Gadugi" w:eastAsia="Gadugi" w:cs="Gadugi"/>
        </w:rPr>
        <w:t>ᎤᏄᏬᎢ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ᎤᎵᏍᎪᎸᏔᏅ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دەسەلاما تۆ، ئەی دانیاڵ، ئەم قسانە دابخە و ئەم پەرتووکە مۆر بکە هەتا کاتی کۆتایی؛ زۆران دەچن و دێن، و زانین زیاد دەبێت. پاشان من، دانیاڵ، سەیرم کرد، و ئەوەتا دووی تر وەستانبوون؛ یەکێک لەم لاوەی کەناری ڕووبارەکە، و ئەوی تر لەو لاوەی کەناری ڕووبارەکە. و یەکێک بەو پیاوەی کەتان‌پۆش گوت، کە لەسەر ئاوه‌کانی ڕووبارەکە بوو: تا چەند دەبێت بۆ کۆتایی ئەم سەرسوڕمانانە؟ و من گوێم لەو پیاوە کەتان‌پۆشە بوو، کە لەسەر ئاوه‌کانی ڕووبارەکە بوو، کاتێک دەستی ڕاستی و دەستی چەپی بەرزکردەوە بۆ ئاسمان، و سوێندی بەوە خوارد کە بۆ هەمیشە زیندووە، کە بۆ ماوەیەک و دوو ماوە و نیو ماوەیەک دەبێت؛ و کاتێک تەواو بکات لە پەرش‌وبڵاوکردنی هێزی گەلی پیرۆز، هەموو ئەم شتانە تەواو دەبن. دانیال 12:4–7.</w:t>
      </w:r>
    </w:p>
    <w:p>
      <w:pPr>
        <w:pStyle w:val="ArticleBody"/>
        <w:jc w:val="left"/>
      </w:pPr>
      <w:r>
        <w:rPr>
          <w:rFonts w:ascii="Times New Roman" w:hAnsi="Times New Roman" w:eastAsia="Times New Roman" w:cs="Times New Roman"/>
        </w:rPr>
        <w:t>«Նուրբ կտաւով զգեստաւորուած, որ գետի ջուրերուն վրայ էր» Մարդը, «Իր աջ ձեռքն ու ձախ ձեռքը դէպի երկինք բարձրացուց եւ երդուեցաւ Անոր՝ որ յաւիտեանս յաւիտենից կ՚ապրի», եւ նոյն այդ Մարդն է, որ ութերորդ գլխուն մէջ Գաբրիէլին հրամայեց։ Յայտնութեան տասներորդ գլխուն մէջ Քրիստոս ալ Իր ձեռքը բարձրացուց եւ երդուեցաւ Անով՝ որ յաւիտեանս յաւիտենից կ՚ապրի, բայց հոն Ան կը կանգնի թէ՛ ջուրին եւ թէ՛ երկրին վրայ։</w:t>
      </w:r>
    </w:p>
    <w:p>
      <w:pPr>
        <w:pStyle w:val="ArticleScripture"/>
        <w:jc w:val="left"/>
      </w:pPr>
      <w:r>
        <w:rPr>
          <w:rFonts w:ascii="Times New Roman" w:hAnsi="Times New Roman" w:eastAsia="Times New Roman" w:cs="Times New Roman"/>
        </w:rPr>
        <w:t>And ángel that I saw standing upon the sea and upon the earth raised his hand to heaven, and swore by him that liveth for ever and ever, who created heaven and the things that are therein, and the earth and the things that are therein, and the sea and the things which are therein, that there should be time no longer. Revelation 10:5, 6.</w:t>
      </w:r>
    </w:p>
    <w:p>
      <w:pPr>
        <w:pStyle w:val="ArticleBody"/>
        <w:jc w:val="left"/>
      </w:pPr>
      <w:r>
        <w:rPr>
          <w:rFonts w:ascii="Times New Roman" w:hAnsi="Times New Roman" w:eastAsia="Times New Roman" w:cs="Times New Roman"/>
        </w:rPr>
        <w:t>ئەو فریشتەی بەهێزەی فصلی دەی مکاشفە، هەمان پالمۆنییە کە لە نێوان دوو کەناری ڕووبارەکەوە لە فصلی هەشتییەوە قسەی لەگەڵ جبرائیل کرد، و لە فصلی دوازدەهەمدا دیاری کرد کە کاتی «کۆتایی»ی «ئەو سەرسوڕمانانە» کەی دەبێت. لە مکاشفە، فصلی دەهەمدا، ئەوە هەر ئەوەیە کە وەک «شێر» هاواری کرد، چونکە لەوێدا وەک شێری هۆزی یەهودا نیشان دراوە.</w:t>
      </w:r>
    </w:p>
    <w:p>
      <w:pPr>
        <w:pStyle w:val="ArticleScripture"/>
        <w:jc w:val="left"/>
      </w:pPr>
      <w:r>
        <w:rPr>
          <w:rFonts w:ascii="Times New Roman" w:hAnsi="Times New Roman" w:eastAsia="Times New Roman" w:cs="Times New Roman"/>
        </w:rPr>
        <w:t>Dza nke sma me asɛm no, Sũn bio: hwɛ, Yuda abusua mu Gyata no, Dawid Ntini no, adi nkonim sɛ obebue nwoma no na wagu ne nsɔano asia no. Na mehwɛe, na hwɛ, ahengua no ne mmoa anan no mfimfini, ne mpanyimfo no mfimfini no, Oguammaa bi gyina hɔ sɛ wɔakum no dada, a ɔwɔ mmɛn ason ne aniwa ason, a ɛno ne Onyankopɔn Honhom ason a wɔasoma wɔn akɔ asase nyinaa so no. Na ɔbaeɛ bɛfaa nwoma no fii nea ɔte ahengua no so no nsa nifa mu. Adiyisɛm 5:5–7.</w:t>
      </w:r>
    </w:p>
    <w:p>
      <w:pPr>
        <w:pStyle w:val="ArticleBody"/>
        <w:jc w:val="left"/>
      </w:pPr>
      <w:r>
        <w:rPr>
          <w:rFonts w:ascii="Times New Roman" w:hAnsi="Times New Roman" w:eastAsia="Times New Roman" w:cs="Times New Roman"/>
        </w:rPr>
        <w:t>Judah qabiläsiniň Şiri hökmünde, Mesiḥ ýedi möhür bilen möhürlenen kitaby açmaga üstün gelen guzudyr. Ol Daniyel kitabynda suwuň üstünde ýöräp duran bolsun, ýa-da Ylham kitabynda bir aýagyny deňze, beýlekisini bolsa ýere goýup duran bolsun, pygamberlikdäki şol şekillendirmeleriň her biri pygamberlik wagty bilen baglanyşyklydyr. Şeýle hem Judah qabiläsiniň Şiri hökmünde, Mesiḥ Öz Sözüni hem möhürleýär, hem-de möhürini açýar. Ol Daniyel kitabyny möhürländigi ýaly, Ylham kitabynyň onunjy babynda agzalýan ýedi gürrüldini hem möhürledi.</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སྟོབས་ཆེན་པའི་ཕོ་ཉ་དེ་ནི་ཡོ་ཧན་ལ་བསླབ་བྱ་གནང་མཁན་ཞིག་ཡིན་ན་ཡང་།</w:t>
      </w:r>
      <w:r>
        <w:rPr>
          <w:rFonts w:ascii="Times New Roman" w:hAnsi="Times New Roman" w:eastAsia="Times New Roman" w:cs="Times New Roman"/>
        </w:rPr>
        <w:t xml:space="preserve"> </w:t>
      </w:r>
      <w:r>
        <w:rPr>
          <w:rFonts w:ascii="Microsoft Himalaya" w:hAnsi="Microsoft Himalaya" w:eastAsia="Microsoft Himalaya" w:cs="Microsoft Himalaya"/>
        </w:rPr>
        <w:t>ཁོང་ནི་ཡེ་ཤུ་ཀྲིསྟོས་ལས་མ་ཉུང་བའི་མི་དབང་ཞིག་ཡིན།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ཁོང་གིས་ཞབས་མཐིལ་གཡས་པ་རྒྱ་མཚོའི་སྟེང་ལ་བཞག་པ་དང་།</w:t>
      </w:r>
      <w:r>
        <w:rPr>
          <w:rFonts w:ascii="Times New Roman" w:hAnsi="Times New Roman" w:eastAsia="Times New Roman" w:cs="Times New Roman"/>
        </w:rPr>
        <w:t xml:space="preserve"> </w:t>
      </w:r>
      <w:r>
        <w:rPr>
          <w:rFonts w:ascii="Microsoft Himalaya" w:hAnsi="Microsoft Himalaya" w:eastAsia="Microsoft Himalaya" w:cs="Microsoft Himalaya"/>
        </w:rPr>
        <w:t>ཞབས་མཐིལ་གཡོན་པ་སྐམ་སའི་སྟེང་ལ་བཞག་པ་དེས།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སེ་ཏན་དང་བཅས་པའི་རྩོད་རྙོག་ཆེན་པོའི་མཇུག་མཐའི་ལྗོངས་སུ་མཛད་བཞིན་པའི་ལས་བྱེད་ཀྱི་ཆ་དེ་སྟོན་གྱི་ཡོད།</w:t>
      </w:r>
      <w:r>
        <w:rPr>
          <w:rFonts w:ascii="Times New Roman" w:hAnsi="Times New Roman" w:eastAsia="Times New Roman" w:cs="Times New Roman"/>
        </w:rPr>
        <w:t xml:space="preserve"> </w:t>
      </w:r>
      <w:r>
        <w:rPr>
          <w:rFonts w:ascii="Microsoft Himalaya" w:hAnsi="Microsoft Himalaya" w:eastAsia="Microsoft Himalaya" w:cs="Microsoft Himalaya"/>
        </w:rPr>
        <w:t>གནས་ཚུལ་འདིས་ཁོང་གི་ས་གཞི་ཡོངས་རྫོགས་ཀྱི་སྟེང་དབང་ཆ་དང་དབང་ཡོད་མཐར་ཕྱིན་པ་མཚོན།</w:t>
      </w:r>
      <w:r>
        <w:rPr>
          <w:rFonts w:ascii="Times New Roman" w:hAnsi="Times New Roman" w:eastAsia="Times New Roman" w:cs="Times New Roman"/>
        </w:rPr>
        <w:t xml:space="preserve"> </w:t>
      </w:r>
      <w:r>
        <w:rPr>
          <w:rFonts w:ascii="Microsoft Himalaya" w:hAnsi="Microsoft Himalaya" w:eastAsia="Microsoft Himalaya" w:cs="Microsoft Himalaya"/>
        </w:rPr>
        <w:t>རྩོད་རྙོག་དེ་ནི་དུས་རབས་རེ་རེར་ཇེ་དྲག་དང་ཇེ་མཐུན་པར་གྱུར་ཡོད་ལ།</w:t>
      </w:r>
      <w:r>
        <w:rPr>
          <w:rFonts w:ascii="Times New Roman" w:hAnsi="Times New Roman" w:eastAsia="Times New Roman" w:cs="Times New Roman"/>
        </w:rPr>
        <w:t xml:space="preserve"> </w:t>
      </w:r>
      <w:r>
        <w:rPr>
          <w:rFonts w:ascii="Microsoft Himalaya" w:hAnsi="Microsoft Himalaya" w:eastAsia="Microsoft Himalaya" w:cs="Microsoft Himalaya"/>
        </w:rPr>
        <w:t>མུན་པའི་དབང་ཤུགས་ཀྱི་མཁས་པའི་ལས་ཀ་དེ་མཐོ་ཤོས་སུ་སླེབས་པའི་མཇུག་མཐའི་ལྗོངས་བར་དུ་དེ་ལྟར་མུ་མཐུད་དེ་འགྲོ་ངེས་ཡིན།</w:t>
      </w:r>
      <w:r>
        <w:rPr>
          <w:rFonts w:ascii="Times New Roman" w:hAnsi="Times New Roman" w:eastAsia="Times New Roman" w:cs="Times New Roman"/>
        </w:rPr>
        <w:t xml:space="preserve"> </w:t>
      </w:r>
      <w:r>
        <w:rPr>
          <w:rFonts w:ascii="Microsoft Himalaya" w:hAnsi="Microsoft Himalaya" w:eastAsia="Microsoft Himalaya" w:cs="Microsoft Himalaya"/>
        </w:rPr>
        <w:t>སེ་ཏན་ནི་ངན་པའི་མི་དག་དང་མཉམ་དུ་གཅིག་ཏུ་འབྲེལ་ནས།</w:t>
      </w:r>
      <w:r>
        <w:rPr>
          <w:rFonts w:ascii="Times New Roman" w:hAnsi="Times New Roman" w:eastAsia="Times New Roman" w:cs="Times New Roman"/>
        </w:rPr>
        <w:t xml:space="preserve"> </w:t>
      </w:r>
      <w:r>
        <w:rPr>
          <w:rFonts w:ascii="Microsoft Himalaya" w:hAnsi="Microsoft Himalaya" w:eastAsia="Microsoft Himalaya" w:cs="Microsoft Himalaya"/>
        </w:rPr>
        <w:t>བདེན་པའི་བརྩེ་བ་མི་ལེན་པའི་འཇིག་རྟེན་ཡོངས་དང་ཆོས་ཚོགས་རྣམས་འཁྲུལ་བར་འགྱུར།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འོན་ཀྱང་སྟོབས་ཆེན་པའི་ཕོ་ཉ་དེས་དོ་སྣང་མཛད་པར་འདོད།</w:t>
      </w:r>
      <w:r>
        <w:rPr>
          <w:rFonts w:ascii="Times New Roman" w:hAnsi="Times New Roman" w:eastAsia="Times New Roman" w:cs="Times New Roman"/>
        </w:rPr>
        <w:t xml:space="preserve"> </w:t>
      </w:r>
      <w:r>
        <w:rPr>
          <w:rFonts w:ascii="Microsoft Himalaya" w:hAnsi="Microsoft Himalaya" w:eastAsia="Microsoft Himalaya" w:cs="Microsoft Himalaya"/>
        </w:rPr>
        <w:t>ཁོང་གིས་སྐད་གསང་ཆེན་པོས་འབོད་དོ།</w:t>
      </w:r>
      <w:r>
        <w:rPr>
          <w:rFonts w:ascii="Times New Roman" w:hAnsi="Times New Roman" w:eastAsia="Times New Roman" w:cs="Times New Roman"/>
        </w:rPr>
        <w:t xml:space="preserve"> </w:t>
      </w:r>
      <w:r>
        <w:rPr>
          <w:rFonts w:ascii="Microsoft Himalaya" w:hAnsi="Microsoft Himalaya" w:eastAsia="Microsoft Himalaya" w:cs="Microsoft Himalaya"/>
        </w:rPr>
        <w:t>ཁོང་གིས་སེ་ཏན་དང་གཅིག་ཏུ་འབྲེལ་ནས་བདེན་པ་ལ་འགལ་བར་ལངས་པ་རྣམས་ལ།</w:t>
      </w:r>
      <w:r>
        <w:rPr>
          <w:rFonts w:ascii="Times New Roman" w:hAnsi="Times New Roman" w:eastAsia="Times New Roman" w:cs="Times New Roman"/>
        </w:rPr>
        <w:t xml:space="preserve"> </w:t>
      </w:r>
      <w:r>
        <w:rPr>
          <w:rFonts w:ascii="Microsoft Himalaya" w:hAnsi="Microsoft Himalaya" w:eastAsia="Microsoft Himalaya" w:cs="Microsoft Himalaya"/>
        </w:rPr>
        <w:t>རང་གི་གསུང་གི་མཐུ་དང་དབང་ཆ་དེ་མངོན་པར་སྟོན་པར་འགྱུར།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«Après que ces sept tonnerres eurent fait entendre leurs voix, l’injonction est adressée à Jean, comme à Daniel au sujet du petit livre : “Scelle ce qu’ont dit les sept tonnerres.” Cela se rapporte à des événements futurs qui seront révélés en leur ordre. Daniel se tiendra dans son lot à la fin des jours. Jean voit le petit livre descellé. Alors les prophéties de Daniel prennent leur juste place dans les messages du premier, du deuxième et du troisième ange qui doivent être donnés au monde. Le descellement du petit livre était le message relatif au temps.»</w:t>
      </w:r>
    </w:p>
    <w:p>
      <w:pPr>
        <w:pStyle w:val="ArticleScripture"/>
        <w:jc w:val="left"/>
      </w:pPr>
      <w:r>
        <w:rPr>
          <w:rFonts w:ascii="Times New Roman" w:hAnsi="Times New Roman" w:eastAsia="Times New Roman" w:cs="Times New Roman"/>
        </w:rPr>
        <w:t>کتاب‌های دانیال و مکاشفه یکی‌اند. یکی نبوّت است و دیگری مکاشفه؛ یکی کتابی مُهرشده است و دیگری کتابی گشوده. یوحنا اسراری را که رعدها بر زبان آوردند شنید، امّا به او فرمان داده شد که آنها را ننویسد.</w:t>
      </w:r>
    </w:p>
    <w:p>
      <w:pPr>
        <w:pStyle w:val="ArticleScripture"/>
        <w:jc w:val="left"/>
      </w:pPr>
      <w:r>
        <w:rPr>
          <w:rFonts w:ascii="Times New Roman" w:hAnsi="Times New Roman" w:eastAsia="Times New Roman" w:cs="Times New Roman"/>
        </w:rPr>
        <w:t>“A lúmino espesiál balá na Juan, suyal quilo ya expresá na siete tronada, era un delineación de los eventos quilo ay pasa abáho del mensahe del primer y segundo ángel.” The Seventh-day Adventist Bible Commentary, volume 7, 971.</w:t>
      </w:r>
    </w:p>
    <w:p>
      <w:pPr>
        <w:pStyle w:val="ArticleBody"/>
        <w:jc w:val="left"/>
      </w:pPr>
      <w:r>
        <w:rPr>
          <w:rFonts w:ascii="Times New Roman" w:hAnsi="Times New Roman" w:eastAsia="Times New Roman" w:cs="Times New Roman"/>
        </w:rPr>
        <w:t>Քրիստոսը, որ ներկայացված է որպես Պալմոնի՝ այն Մարդը ութերորդ և տասներկուերորդ գլուխներում, որ ջրերի վրա է, նաև այն հզոր հրեշտակն է՝ Իր ձեռքում փոքր գիրքը։ Նա Հուդայի ցեղի Առյուծն է, որ կնքում և արձակում է Իր Խոսքը, և Նա է, որ հրամայում է Գաբրիելին, որովհետև Նա Միքայել հրեշտակապետն է։</w:t>
      </w:r>
    </w:p>
    <w:p>
      <w:pPr>
        <w:pStyle w:val="ArticleScripture"/>
        <w:jc w:val="left"/>
      </w:pP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माइकल</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निन्दात्मक</w:t>
      </w:r>
      <w:r>
        <w:rPr>
          <w:rFonts w:ascii="Times New Roman" w:hAnsi="Times New Roman" w:eastAsia="Times New Roman" w:cs="Times New Roman"/>
        </w:rPr>
        <w:t xml:space="preserve"> </w:t>
      </w:r>
      <w:r>
        <w:rPr>
          <w:rFonts w:ascii="Nirmala UI" w:hAnsi="Nirmala UI" w:eastAsia="Nirmala UI" w:cs="Nirmala UI"/>
        </w:rPr>
        <w:t>दोषारोपण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डाँटे।</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1:9</w:t>
      </w:r>
    </w:p>
    <w:p>
      <w:pPr>
        <w:pStyle w:val="ArticleBody"/>
        <w:jc w:val="left"/>
      </w:pPr>
      <w:r>
        <w:rPr>
          <w:rFonts w:ascii="Segoe UI Historic" w:hAnsi="Segoe UI Historic" w:eastAsia="Segoe UI Historic" w:cs="Segoe UI Historic"/>
        </w:rPr>
        <w:t>ܡܝܟܐܝܠ</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ܘܗܢܐ</w:t>
      </w:r>
      <w:r>
        <w:rPr>
          <w:rFonts w:ascii="Times New Roman" w:hAnsi="Times New Roman" w:eastAsia="Times New Roman" w:cs="Times New Roman"/>
        </w:rPr>
        <w:t xml:space="preserve"> </w:t>
      </w:r>
      <w:r>
        <w:rPr>
          <w:rFonts w:ascii="Segoe UI Historic" w:hAnsi="Segoe UI Historic" w:eastAsia="Segoe UI Historic" w:cs="Segoe UI Historic"/>
        </w:rPr>
        <w:t>ܫܡܐ</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ܡܦܩܕܢܐ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ܕܡܠܐܟ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ܠܡܩܝܡܘ</w:t>
      </w:r>
      <w:r>
        <w:rPr>
          <w:rFonts w:ascii="Times New Roman" w:hAnsi="Times New Roman" w:eastAsia="Times New Roman" w:cs="Times New Roman"/>
        </w:rPr>
        <w:t xml:space="preserve"> </w:t>
      </w:r>
      <w:r>
        <w:rPr>
          <w:rFonts w:ascii="Segoe UI Historic" w:hAnsi="Segoe UI Historic" w:eastAsia="Segoe UI Historic" w:cs="Segoe UI Historic"/>
        </w:rPr>
        <w:t>ܡܝ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ܦܘܫܩܗ</w:t>
      </w:r>
      <w:r>
        <w:rPr>
          <w:rFonts w:ascii="Times New Roman" w:hAnsi="Times New Roman" w:eastAsia="Times New Roman" w:cs="Times New Roman"/>
        </w:rPr>
        <w:t xml:space="preserve"> </w:t>
      </w:r>
      <w:r>
        <w:rPr>
          <w:rFonts w:ascii="Segoe UI Historic" w:hAnsi="Segoe UI Historic" w:eastAsia="Segoe UI Historic" w:cs="Segoe UI Historic"/>
        </w:rPr>
        <w:t>ܕܫܡܐ</w:t>
      </w:r>
      <w:r>
        <w:rPr>
          <w:rFonts w:ascii="Times New Roman" w:hAnsi="Times New Roman" w:eastAsia="Times New Roman" w:cs="Times New Roman"/>
        </w:rPr>
        <w:t xml:space="preserve"> </w:t>
      </w:r>
      <w:r>
        <w:rPr>
          <w:rFonts w:ascii="Segoe UI Historic" w:hAnsi="Segoe UI Historic" w:eastAsia="Segoe UI Historic" w:cs="Segoe UI Historic"/>
        </w:rPr>
        <w:t>ܡܝܟܐܝܠ</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ܡܢܘ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ܢܒܘܟܕܢܨܪ</w:t>
      </w:r>
      <w:r>
        <w:rPr>
          <w:rFonts w:ascii="Times New Roman" w:hAnsi="Times New Roman" w:eastAsia="Times New Roman" w:cs="Times New Roman"/>
        </w:rPr>
        <w:t xml:space="preserve"> </w:t>
      </w:r>
      <w:r>
        <w:rPr>
          <w:rFonts w:ascii="Segoe UI Historic" w:hAnsi="Segoe UI Historic" w:eastAsia="Segoe UI Historic" w:cs="Segoe UI Historic"/>
        </w:rPr>
        <w:t>ܚܙܐ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ܕܕܡܐ</w:t>
      </w:r>
      <w:r>
        <w:rPr>
          <w:rFonts w:ascii="Times New Roman" w:hAnsi="Times New Roman" w:eastAsia="Times New Roman" w:cs="Times New Roman"/>
        </w:rPr>
        <w:t xml:space="preserve"> </w:t>
      </w:r>
      <w:r>
        <w:rPr>
          <w:rFonts w:ascii="Segoe UI Historic" w:hAnsi="Segoe UI Historic" w:eastAsia="Segoe UI Historic" w:cs="Segoe UI Historic"/>
        </w:rPr>
        <w:t>ܠܒܪܗ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ܒܐܬܘܢܐ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ܓܒܪ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ܙܟܝ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ܠܡܝܟܐܝܠ</w:t>
      </w:r>
      <w:r>
        <w:rPr>
          <w:rFonts w:ascii="Times New Roman" w:hAnsi="Times New Roman" w:eastAsia="Times New Roman" w:cs="Times New Roman"/>
        </w:rPr>
        <w:t xml:space="preserve"> </w:t>
      </w:r>
      <w:r>
        <w:rPr>
          <w:rFonts w:ascii="Segoe UI Historic" w:hAnsi="Segoe UI Historic" w:eastAsia="Segoe UI Historic" w:cs="Segoe UI Historic"/>
        </w:rPr>
        <w:t>ܚܙܐ</w:t>
      </w:r>
      <w:r>
        <w:rPr>
          <w:rFonts w:ascii="Times New Roman" w:hAnsi="Times New Roman" w:eastAsia="Times New Roman" w:cs="Times New Roman"/>
        </w:rPr>
        <w:t xml:space="preserve">. </w:t>
      </w:r>
      <w:r>
        <w:rPr>
          <w:rFonts w:ascii="Segoe UI Historic" w:hAnsi="Segoe UI Historic" w:eastAsia="Segoe UI Historic" w:cs="Segoe UI Historic"/>
        </w:rPr>
        <w:t>ܘܡܝܟܐܝܠ</w:t>
      </w:r>
      <w:r>
        <w:rPr>
          <w:rFonts w:ascii="Times New Roman" w:hAnsi="Times New Roman" w:eastAsia="Times New Roman" w:cs="Times New Roman"/>
        </w:rPr>
        <w:t xml:space="preserve"> </w:t>
      </w:r>
      <w:r>
        <w:rPr>
          <w:rFonts w:ascii="Segoe UI Historic" w:hAnsi="Segoe UI Historic" w:eastAsia="Segoe UI Historic" w:cs="Segoe UI Historic"/>
        </w:rPr>
        <w:t>ܪܝܫ</w:t>
      </w:r>
      <w:r>
        <w:rPr>
          <w:rFonts w:ascii="Times New Roman" w:hAnsi="Times New Roman" w:eastAsia="Times New Roman" w:cs="Times New Roman"/>
        </w:rPr>
        <w:t xml:space="preserve"> </w:t>
      </w:r>
      <w:r>
        <w:rPr>
          <w:rFonts w:ascii="Segoe UI Historic" w:hAnsi="Segoe UI Historic" w:eastAsia="Segoe UI Historic" w:cs="Segoe UI Historic"/>
        </w:rPr>
        <w:t>ܡܠܐܟ</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ܪܝܫܢܐ</w:t>
      </w:r>
      <w:r>
        <w:rPr>
          <w:rFonts w:ascii="Times New Roman" w:hAnsi="Times New Roman" w:eastAsia="Times New Roman" w:cs="Times New Roman"/>
        </w:rPr>
        <w:t xml:space="preserve"> </w:t>
      </w:r>
      <w:r>
        <w:rPr>
          <w:rFonts w:ascii="Segoe UI Historic" w:hAnsi="Segoe UI Historic" w:eastAsia="Segoe UI Historic" w:cs="Segoe UI Historic"/>
        </w:rPr>
        <w:t>ܕܥܡܗ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ܕܠܗ</w:t>
      </w:r>
      <w:r>
        <w:rPr>
          <w:rFonts w:ascii="Times New Roman" w:hAnsi="Times New Roman" w:eastAsia="Times New Roman" w:cs="Times New Roman"/>
        </w:rPr>
        <w:t xml:space="preserve"> </w:t>
      </w:r>
      <w:r>
        <w:rPr>
          <w:rFonts w:ascii="Segoe UI Historic" w:hAnsi="Segoe UI Historic" w:eastAsia="Segoe UI Historic" w:cs="Segoe UI Historic"/>
        </w:rPr>
        <w:t>ܐܬܪܒܪܒܬ</w:t>
      </w:r>
      <w:r>
        <w:rPr>
          <w:rFonts w:ascii="Times New Roman" w:hAnsi="Times New Roman" w:eastAsia="Times New Roman" w:cs="Times New Roman"/>
        </w:rPr>
        <w:t xml:space="preserve"> </w:t>
      </w:r>
      <w:r>
        <w:rPr>
          <w:rFonts w:ascii="Segoe UI Historic" w:hAnsi="Segoe UI Historic" w:eastAsia="Segoe UI Historic" w:cs="Segoe UI Historic"/>
        </w:rPr>
        <w:t>ܩܪܢܐ</w:t>
      </w:r>
      <w:r>
        <w:rPr>
          <w:rFonts w:ascii="Times New Roman" w:hAnsi="Times New Roman" w:eastAsia="Times New Roman" w:cs="Times New Roman"/>
        </w:rPr>
        <w:t xml:space="preserve"> </w:t>
      </w:r>
      <w:r>
        <w:rPr>
          <w:rFonts w:ascii="Segoe UI Historic" w:hAnsi="Segoe UI Historic" w:eastAsia="Segoe UI Historic" w:cs="Segoe UI Historic"/>
        </w:rPr>
        <w:t>ܙܥܘܪܬܐ</w:t>
      </w:r>
      <w:r>
        <w:rPr>
          <w:rFonts w:ascii="Times New Roman" w:hAnsi="Times New Roman" w:eastAsia="Times New Roman" w:cs="Times New Roman"/>
        </w:rPr>
        <w:t xml:space="preserve"> </w:t>
      </w:r>
      <w:r>
        <w:rPr>
          <w:rFonts w:ascii="Segoe UI Historic" w:hAnsi="Segoe UI Historic" w:eastAsia="Segoe UI Historic" w:cs="Segoe UI Historic"/>
        </w:rPr>
        <w:t>ܕܪܗܘܡܐ</w:t>
      </w:r>
      <w:r>
        <w:rPr>
          <w:rFonts w:ascii="Times New Roman" w:hAnsi="Times New Roman" w:eastAsia="Times New Roman" w:cs="Times New Roman"/>
        </w:rPr>
        <w:t xml:space="preserve"> </w:t>
      </w:r>
      <w:r>
        <w:rPr>
          <w:rFonts w:ascii="Segoe UI Historic" w:hAnsi="Segoe UI Historic" w:eastAsia="Segoe UI Historic" w:cs="Segoe UI Historic"/>
        </w:rPr>
        <w:t>ܦܓܢܝܬܐ</w:t>
      </w:r>
      <w:r>
        <w:rPr>
          <w:rFonts w:ascii="Times New Roman" w:hAnsi="Times New Roman" w:eastAsia="Times New Roman" w:cs="Times New Roman"/>
        </w:rPr>
        <w:t xml:space="preserve"> </w:t>
      </w:r>
      <w:r>
        <w:rPr>
          <w:rFonts w:ascii="Segoe UI Historic" w:hAnsi="Segoe UI Historic" w:eastAsia="Segoe UI Historic" w:cs="Segoe UI Historic"/>
        </w:rPr>
        <w:t>ܒܙܩܝܦܐ</w:t>
      </w:r>
      <w:r>
        <w:rPr>
          <w:rFonts w:ascii="Times New Roman" w:hAnsi="Times New Roman" w:eastAsia="Times New Roman" w:cs="Times New Roman"/>
        </w:rPr>
        <w:t xml:space="preserve">، </w:t>
      </w:r>
      <w:r>
        <w:rPr>
          <w:rFonts w:ascii="Segoe UI Historic" w:hAnsi="Segoe UI Historic" w:eastAsia="Segoe UI Historic" w:cs="Segoe UI Historic"/>
        </w:rPr>
        <w:t>ܠܡܠܝܘܬܐ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ܦܬܓܡܐ</w:t>
      </w:r>
      <w:r>
        <w:rPr>
          <w:rFonts w:ascii="Times New Roman" w:hAnsi="Times New Roman" w:eastAsia="Times New Roman" w:cs="Times New Roman"/>
        </w:rPr>
        <w:t xml:space="preserve"> </w:t>
      </w:r>
      <w:r>
        <w:rPr>
          <w:rFonts w:ascii="Segoe UI Historic" w:hAnsi="Segoe UI Historic" w:eastAsia="Segoe UI Historic" w:cs="Segoe UI Historic"/>
        </w:rPr>
        <w:t>ܬܡܢܝܐ</w:t>
      </w:r>
      <w:r>
        <w:rPr>
          <w:rFonts w:ascii="Times New Roman" w:hAnsi="Times New Roman" w:eastAsia="Times New Roman" w:cs="Times New Roman"/>
        </w:rPr>
        <w:t xml:space="preserve">، </w:t>
      </w:r>
      <w:r>
        <w:rPr>
          <w:rFonts w:ascii="Segoe UI Historic" w:hAnsi="Segoe UI Historic" w:eastAsia="Segoe UI Historic" w:cs="Segoe UI Historic"/>
        </w:rPr>
        <w:t>ܦܣܘܩܐ</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 я покажу тебе то, что начертано в Писании истины; и нет никого, кто держался бы со мною в этом, кроме Михаила, князя вашего. Даниил 10:21.</w:t>
      </w:r>
    </w:p>
    <w:p>
      <w:pPr>
        <w:pStyle w:val="ArticleBody"/>
        <w:jc w:val="left"/>
      </w:pPr>
      <w:r>
        <w:rPr>
          <w:rFonts w:ascii="Times New Roman" w:hAnsi="Times New Roman" w:eastAsia="Times New Roman" w:cs="Times New Roman"/>
        </w:rPr>
        <w:t>Miguel es quien manda a los ángeles, quien resucita a los muertos y quien decide cuándo se cierra el tiempo de gracia.</w:t>
      </w:r>
    </w:p>
    <w:p>
      <w:pPr>
        <w:pStyle w:val="ArticleScripture"/>
        <w:jc w:val="left"/>
      </w:pPr>
      <w:r>
        <w:rPr>
          <w:rFonts w:ascii="Times New Roman" w:hAnsi="Times New Roman" w:eastAsia="Times New Roman" w:cs="Times New Roman"/>
        </w:rPr>
        <w:t>«Ա՛յն ժամանակ Միքիայէլը պիտի կանգնի, այն մեծ իշխանը, որ կանգնած է քո ժողովրդի որդիների համար. եւ պիտի լինի նեղութեան մի ժամանակ, ինչպիսին երբեք չի եղել այն օրից, երբ ազգ է եղել, մինչեւ այն ժամանակը. եւ այն ժամանակ քո ժողովուրդը պիտի ազատուի, ամեն ոք, որ գտնուի գրուած գրքում»։ Երբ այս նեղութեան ժամանակը գայ, ամէն մի գործ վճռուած է. այլեւս փորձութեան ժամանակ չկայ, այլեւս ողորմութիւն չկայ անզղջացողների համար։ Կենդանի Աստծու կնիքը Նրա ժողովրդի վրայ է։ Այս փոքր մնացորդը, որ ի վիճակի չէ պաշտպանելու իրեն այն մահաբեր հակամարտութեան մէջ՝ երկրի այն ուժերի դէմ, որոնք համախմբուած են վիշապի բանակի կողմից, Աստծուն է դարձնում իր պաշտպանութիւնը։ Երկրային բարձրագոյն իշխանութեան կողմից հրաման է արձակուել, որ նրանք պաշտեն գազանին եւ ընդունեն նրա նշանը՝ հալածանքի եւ մահուան սպառնալիքի տակ։ Թող Աստուած այժմ օգնի Իր ժողովրդին, որովհետեւ ի՞նչ պիտի կարողանան նրանք այնժամ անել այդպիսի ահեղ հակամարտութեան մէջ առանց Նրա օգնութեան»։ Վկայութիւններ, հատոր 5, 212։</w:t>
      </w:r>
    </w:p>
    <w:p>
      <w:pPr>
        <w:pStyle w:val="ArticleBody"/>
        <w:jc w:val="left"/>
      </w:pPr>
      <w:r>
        <w:rPr>
          <w:rFonts w:ascii="Gadugi" w:hAnsi="Gadugi" w:eastAsia="Gadugi" w:cs="Gadugi"/>
        </w:rPr>
        <w:t>ᎤᏓᎷᎸ</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ᎤᏍᎦᏃᏗ</w:t>
      </w:r>
      <w:r>
        <w:rPr>
          <w:rFonts w:ascii="Times New Roman" w:hAnsi="Times New Roman" w:eastAsia="Times New Roman" w:cs="Times New Roman"/>
        </w:rPr>
        <w:t xml:space="preserve"> </w:t>
      </w:r>
      <w:r>
        <w:rPr>
          <w:rFonts w:ascii="Gadugi" w:hAnsi="Gadugi" w:eastAsia="Gadugi" w:cs="Gadugi"/>
        </w:rPr>
        <w:t>ᏧᏓᏂᎸᎢ</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ᎠᏓᏁᎳᏁᎯ</w:t>
      </w:r>
      <w:r>
        <w:rPr>
          <w:rFonts w:ascii="Times New Roman" w:hAnsi="Times New Roman" w:eastAsia="Times New Roman" w:cs="Times New Roman"/>
        </w:rPr>
        <w:t xml:space="preserve"> </w:t>
      </w:r>
      <w:r>
        <w:rPr>
          <w:rFonts w:ascii="Gadugi" w:hAnsi="Gadugi" w:eastAsia="Gadugi" w:cs="Gadugi"/>
        </w:rPr>
        <w:t>ᎤᎧᏛᎢ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ᎤᏄᏢᏅᎢ</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ᎤᏯᏠᏯᏍᏗ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ᏧᏓᏙᎴᎰᏒ</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ᎤᏓᏙᎴᎰᏒ</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ᎦᏄᎪᏫᏒ</w:t>
      </w:r>
      <w:r>
        <w:rPr>
          <w:rFonts w:ascii="Times New Roman" w:hAnsi="Times New Roman" w:eastAsia="Times New Roman" w:cs="Times New Roman"/>
        </w:rPr>
        <w:t xml:space="preserve"> </w:t>
      </w:r>
      <w:r>
        <w:rPr>
          <w:rFonts w:ascii="Gadugi" w:hAnsi="Gadugi" w:eastAsia="Gadugi" w:cs="Gadugi"/>
        </w:rPr>
        <w:t>ᏗᎬᏩᎶᏄᎮ</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ᎤᏙᏱᏗᏢ</w:t>
      </w:r>
      <w:r>
        <w:rPr>
          <w:rFonts w:ascii="Times New Roman" w:hAnsi="Times New Roman" w:eastAsia="Times New Roman" w:cs="Times New Roman"/>
        </w:rPr>
        <w:t xml:space="preserve"> </w:t>
      </w:r>
      <w:r>
        <w:rPr>
          <w:rFonts w:ascii="Gadugi" w:hAnsi="Gadugi" w:eastAsia="Gadugi" w:cs="Gadugi"/>
        </w:rPr>
        <w:t>ᏗᏂᏙᎯ</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ᎢᏳᏌᎳᏓᏅᏘ</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ᎤᎵᏎᎵᏔᏅ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ᎡᎯᏍᏗᏱ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ᎠᏓᏁᎳᏁᎯ</w:t>
      </w:r>
      <w:r>
        <w:rPr>
          <w:rFonts w:ascii="Times New Roman" w:hAnsi="Times New Roman" w:eastAsia="Times New Roman" w:cs="Times New Roman"/>
        </w:rPr>
        <w:t xml:space="preserve"> </w:t>
      </w:r>
      <w:r>
        <w:rPr>
          <w:rFonts w:ascii="Gadugi" w:hAnsi="Gadugi" w:eastAsia="Gadugi" w:cs="Gadugi"/>
        </w:rPr>
        <w:t>ᎤᏁᎷᎬ</w:t>
      </w:r>
      <w:r>
        <w:rPr>
          <w:rFonts w:ascii="Times New Roman" w:hAnsi="Times New Roman" w:eastAsia="Times New Roman" w:cs="Times New Roman"/>
        </w:rPr>
        <w:t xml:space="preserve"> </w:t>
      </w:r>
      <w:r>
        <w:rPr>
          <w:rFonts w:ascii="Gadugi" w:hAnsi="Gadugi" w:eastAsia="Gadugi" w:cs="Gadugi"/>
        </w:rPr>
        <w:t>ᏣᏠᏱ</w:t>
      </w:r>
      <w:r>
        <w:rPr>
          <w:rFonts w:ascii="Times New Roman" w:hAnsi="Times New Roman" w:eastAsia="Times New Roman" w:cs="Times New Roman"/>
        </w:rPr>
        <w:t xml:space="preserve"> </w:t>
      </w:r>
      <w:r>
        <w:rPr>
          <w:rFonts w:ascii="Gadugi" w:hAnsi="Gadugi" w:eastAsia="Gadugi" w:cs="Gadugi"/>
        </w:rPr>
        <w:t>ᎤᏪᏂᎦ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ᏧᎵᏆᎾᏓ</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ᏧᏂᏪᏎᎲ</w:t>
      </w:r>
      <w:r>
        <w:rPr>
          <w:rFonts w:ascii="Times New Roman" w:hAnsi="Times New Roman" w:eastAsia="Times New Roman" w:cs="Times New Roman"/>
        </w:rPr>
        <w:t xml:space="preserve"> </w:t>
      </w:r>
      <w:r>
        <w:rPr>
          <w:rFonts w:ascii="Gadugi" w:hAnsi="Gadugi" w:eastAsia="Gadugi" w:cs="Gadugi"/>
        </w:rPr>
        <w:t>ᏗᏂᏁᎬ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ᏗᏂᏯᎵᏍᎪᎸᏔᏅ</w:t>
      </w:r>
      <w:r>
        <w:rPr>
          <w:rFonts w:ascii="Times New Roman" w:hAnsi="Times New Roman" w:eastAsia="Times New Roman" w:cs="Times New Roman"/>
        </w:rPr>
        <w:t xml:space="preserve"> </w:t>
      </w:r>
      <w:r>
        <w:rPr>
          <w:rFonts w:ascii="Gadugi" w:hAnsi="Gadugi" w:eastAsia="Gadugi" w:cs="Gadugi"/>
        </w:rPr>
        <w:t>ᏕᏂᏰᎸ</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ᏕᏂᏯᎵᏍᎪᎸᏔᏅ</w:t>
      </w:r>
      <w:r>
        <w:rPr>
          <w:rFonts w:ascii="Times New Roman" w:hAnsi="Times New Roman" w:eastAsia="Times New Roman" w:cs="Times New Roman"/>
        </w:rPr>
        <w:t xml:space="preserve"> </w:t>
      </w:r>
      <w:r>
        <w:rPr>
          <w:rFonts w:ascii="Gadugi" w:hAnsi="Gadugi" w:eastAsia="Gadugi" w:cs="Gadugi"/>
        </w:rPr>
        <w:t>ᏧᎵᏆᎾᏓ</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ᏗᏂᏁᎬ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ᎤᏍᎦᏃᏗ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ᏧᏓᏂᎸᎯ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ᎠᏓᏂᎸᎢ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ᏧᎭᏁᎳ</w:t>
      </w:r>
      <w:r>
        <w:rPr>
          <w:rFonts w:ascii="Times New Roman" w:hAnsi="Times New Roman" w:eastAsia="Times New Roman" w:cs="Times New Roman"/>
        </w:rPr>
        <w:t xml:space="preserve"> </w:t>
      </w:r>
      <w:r>
        <w:rPr>
          <w:rFonts w:ascii="Gadugi" w:hAnsi="Gadugi" w:eastAsia="Gadugi" w:cs="Gadugi"/>
        </w:rPr>
        <w:t>ᏗᎴᎯᏌᏁᏗ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ᎢᎦᎸᏉ</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ᎤᎴᏅᎯ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ᎤᏓᏙᎵᏍᏗᏱ</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ᏆᎵᎹᏂ</w:t>
      </w:r>
      <w:r>
        <w:rPr>
          <w:rFonts w:ascii="Times New Roman" w:hAnsi="Times New Roman" w:eastAsia="Times New Roman" w:cs="Times New Roman"/>
        </w:rPr>
        <w:t xml:space="preserve"> </w:t>
      </w:r>
      <w:r>
        <w:rPr>
          <w:rFonts w:ascii="Gadugi" w:hAnsi="Gadugi" w:eastAsia="Gadugi" w:cs="Gadugi"/>
        </w:rPr>
        <w:t>ᎨᏈᏅ</w:t>
      </w:r>
      <w:r>
        <w:rPr>
          <w:rFonts w:ascii="Times New Roman" w:hAnsi="Times New Roman" w:eastAsia="Times New Roman" w:cs="Times New Roman"/>
        </w:rPr>
        <w:t xml:space="preserve"> </w:t>
      </w:r>
      <w:r>
        <w:rPr>
          <w:rFonts w:ascii="Gadugi" w:hAnsi="Gadugi" w:eastAsia="Gadugi" w:cs="Gadugi"/>
        </w:rPr>
        <w:t>ᎤᏁᏤᎸ</w:t>
      </w:r>
      <w:r>
        <w:rPr>
          <w:rFonts w:ascii="Times New Roman" w:hAnsi="Times New Roman" w:eastAsia="Times New Roman" w:cs="Times New Roman"/>
        </w:rPr>
        <w:t xml:space="preserve"> </w:t>
      </w:r>
      <w:r>
        <w:rPr>
          <w:rFonts w:ascii="Gadugi" w:hAnsi="Gadugi" w:eastAsia="Gadugi" w:cs="Gadugi"/>
        </w:rPr>
        <w:t>ᏕᏂᏱᎶᏁᏗ</w:t>
      </w:r>
      <w:r>
        <w:rPr>
          <w:rFonts w:ascii="Times New Roman" w:hAnsi="Times New Roman" w:eastAsia="Times New Roman" w:cs="Times New Roman"/>
        </w:rPr>
        <w:t xml:space="preserve"> </w:t>
      </w:r>
      <w:r>
        <w:rPr>
          <w:rFonts w:ascii="Gadugi" w:hAnsi="Gadugi" w:eastAsia="Gadugi" w:cs="Gadugi"/>
        </w:rPr>
        <w:t>ᏓᏂᏰᎸ</w:t>
      </w:r>
      <w:r>
        <w:rPr>
          <w:rFonts w:ascii="Times New Roman" w:hAnsi="Times New Roman" w:eastAsia="Times New Roman" w:cs="Times New Roman"/>
        </w:rPr>
        <w:t xml:space="preserve"> “mareh”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ᏭᏓᏙᎴᎰᏍᏗ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ᎤᏛᏗ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ᎤᏰᎸᏎᎢ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Tak sagyna Gabriela, aby Daniela zrozumiał widzenie „chazon”. Widzenie „chazon” jest widzeniem królestw proroctwa biblijnego w ósmym rozdziale Księgi Daniela, w wersetach od pierwszego do dwunastego, i jest ono także „widzeniem”, o którym jest mowa w wersecie trzynastym, w pytaniu dotyczącym czasu trwania. „Jak długo trwać będzie to widzenie?” Widzenie „chazon” dotyczy ustawicznej [pogaństwa] oraz przestępstwa [papiestwa], mocy pustoszących, które depczą świątynię i zastęp.</w:t>
      </w:r>
    </w:p>
    <w:p>
      <w:pPr>
        <w:pStyle w:val="ArticleScripture"/>
        <w:jc w:val="left"/>
      </w:pPr>
      <w:r>
        <w:rPr>
          <w:rFonts w:ascii="Times New Roman" w:hAnsi="Times New Roman" w:eastAsia="Times New Roman" w:cs="Times New Roman"/>
        </w:rPr>
        <w:t>ئابا اڭڭاڭ ئايىنتان سۆيلەپ تۇرغان بىر مۇقەددەسنى ئاڭلىدىم، يەنە بىر مۇقەددەس سۆزلىگەن شۇ مۇقەددەسكىنە مۇنداق دېدى: «ھەر كۈنى قىلىنىدىغان قۇربانلىق توغرىسىدىكى كۆرۈنۈش، ۋە ويرانچىلىقنىڭ ئاسىيللىقى، مۇقەددەس جاي بىلەن لەشكەرنىڭ ئاياغ ئاستىدا دەپسەندە قىلىنىشى ئۈچۈن، قاچانغىچە داۋام قىلىدۇ؟» دانيال 8:13.</w:t>
      </w:r>
    </w:p>
    <w:p>
      <w:pPr>
        <w:pStyle w:val="ArticleBody"/>
        <w:jc w:val="left"/>
      </w:pPr>
      <w:r>
        <w:rPr>
          <w:rFonts w:ascii="Times New Roman" w:hAnsi="Times New Roman" w:eastAsia="Times New Roman" w:cs="Times New Roman"/>
        </w:rPr>
        <w:t>Christo, kama Palmoni (Mhesabuji wa Ajabu), anaulizwa, “hata lini” kutakuwa na maono ya “chazon”, naye anajibu, “mpaka siku elfu mbili na mia tatu; ndipo patakatifu patatakaswa.” Kisha Danieli anatamani kuelewa maono ya “chazon” yanayohusu “sadaka ya kila siku, na uasi wa uharibifu, ili kuvitia chini ya kukanyagwa vyote viwili, yaani patakatifu na jeshi.” Lakini Gabrieli anaamriwa amfahamishe Danieli maono ya “mareh”. Kila jambo lina umuhimu wake katika Neno la Mungu. Maono ya “mareh” ni yale maono ya jioni na asubuhi yanayotambuliwa katika aya ya ishirini na sita.</w:t>
      </w:r>
    </w:p>
    <w:p>
      <w:pPr>
        <w:pStyle w:val="ArticleScripture"/>
        <w:jc w:val="left"/>
      </w:pPr>
      <w:r>
        <w:rPr>
          <w:rFonts w:ascii="Times New Roman" w:hAnsi="Times New Roman" w:eastAsia="Times New Roman" w:cs="Times New Roman"/>
        </w:rPr>
        <w:t>А уткы вә сәһәр тоғрилиқ ейтилиған көрүнүш һәқиқәттур; шуңа бу көрүнүшни йепиқ сақла, чүнки у нурғун күнләр үчүндур. Даниял 8:26.</w:t>
      </w:r>
    </w:p>
    <w:p>
      <w:pPr>
        <w:pStyle w:val="ArticleBody"/>
        <w:jc w:val="left"/>
      </w:pPr>
      <w:r>
        <w:rPr>
          <w:rFonts w:ascii="Times New Roman" w:hAnsi="Times New Roman" w:eastAsia="Times New Roman" w:cs="Times New Roman"/>
        </w:rPr>
        <w:t>֠</w:t>
      </w:r>
      <w:r>
        <w:rPr>
          <w:rFonts w:ascii="Segoe UI Historic" w:hAnsi="Segoe UI Historic" w:eastAsia="Segoe UI Historic" w:cs="Segoe UI Historic"/>
        </w:rPr>
        <w:t>ܡܶܠܬܳ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ܡܶܬ݂ܕ݁ܟ݂ܪܳܐ</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ܒܦܬ݂ܓ݂ܡܳܐ</w:t>
      </w:r>
      <w:r>
        <w:rPr>
          <w:rFonts w:ascii="Times New Roman" w:hAnsi="Times New Roman" w:eastAsia="Times New Roman" w:cs="Times New Roman"/>
        </w:rPr>
        <w:t xml:space="preserve">. </w:t>
      </w:r>
      <w:r>
        <w:rPr>
          <w:rFonts w:ascii="Segoe UI Historic" w:hAnsi="Segoe UI Historic" w:eastAsia="Segoe UI Historic" w:cs="Segoe UI Historic"/>
        </w:rPr>
        <w:t>ܒܕܘܟܬܳ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ܩܕ݂ܡܳܝܬܳ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ܡܰܪܐܶܗ</w:t>
      </w:r>
      <w:r>
        <w:rPr>
          <w:rFonts w:ascii="Times New Roman" w:hAnsi="Times New Roman" w:eastAsia="Times New Roman" w:cs="Times New Roman"/>
        </w:rPr>
        <w:t xml:space="preserve">»، </w:t>
      </w:r>
      <w:r>
        <w:rPr>
          <w:rFonts w:ascii="Segoe UI Historic" w:hAnsi="Segoe UI Historic" w:eastAsia="Segoe UI Historic" w:cs="Segoe UI Historic"/>
        </w:rPr>
        <w:t>ܘܒܕܘܟܬܳ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ܬܪܰܝܳܢܬܳ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ܚܳܙܘܢ</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ܡܰܪܐܶܗ</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ܚܙܘܳܐ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ܪܰܡܫ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ܘܨܰܦܪ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ܥܶܒ݂ܪܳܝܬܳ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ܪܰܡܫ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ܘܨܰܦܪ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 xml:space="preserve"> </w:t>
      </w:r>
      <w:r>
        <w:rPr>
          <w:rFonts w:ascii="Segoe UI Historic" w:hAnsi="Segoe UI Historic" w:eastAsia="Segoe UI Historic" w:cs="Segoe UI Historic"/>
        </w:rPr>
        <w:t>ܡܶܫܬܟ݁ܚܳܐ</w:t>
      </w:r>
      <w:r>
        <w:rPr>
          <w:rFonts w:ascii="Times New Roman" w:hAnsi="Times New Roman" w:eastAsia="Times New Roman" w:cs="Times New Roman"/>
        </w:rPr>
        <w:t xml:space="preserve"> </w:t>
      </w:r>
      <w:r>
        <w:rPr>
          <w:rFonts w:ascii="Segoe UI Historic" w:hAnsi="Segoe UI Historic" w:eastAsia="Segoe UI Historic" w:cs="Segoe UI Historic"/>
        </w:rPr>
        <w:t>ܒܟ݂ܬ݂ܒ݂ܶܐ</w:t>
      </w:r>
      <w:r>
        <w:rPr>
          <w:rFonts w:ascii="Times New Roman" w:hAnsi="Times New Roman" w:eastAsia="Times New Roman" w:cs="Times New Roman"/>
        </w:rPr>
        <w:t xml:space="preserve">، </w:t>
      </w:r>
      <w:r>
        <w:rPr>
          <w:rFonts w:ascii="Segoe UI Historic" w:hAnsi="Segoe UI Historic" w:eastAsia="Segoe UI Historic" w:cs="Segoe UI Historic"/>
        </w:rPr>
        <w:t>ܘܒܟ݂ܠ</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 xml:space="preserve"> </w:t>
      </w:r>
      <w:r>
        <w:rPr>
          <w:rFonts w:ascii="Segoe UI Historic" w:hAnsi="Segoe UI Historic" w:eastAsia="Segoe UI Historic" w:cs="Segoe UI Historic"/>
        </w:rPr>
        <w:t>ܡܶܬܬܰܪܓܡܳܐ</w:t>
      </w:r>
      <w:r>
        <w:rPr>
          <w:rFonts w:ascii="Times New Roman" w:hAnsi="Times New Roman" w:eastAsia="Times New Roman" w:cs="Times New Roman"/>
        </w:rPr>
        <w:t xml:space="preserve"> «</w:t>
      </w:r>
      <w:r>
        <w:rPr>
          <w:rFonts w:ascii="Segoe UI Historic" w:hAnsi="Segoe UI Historic" w:eastAsia="Segoe UI Historic" w:cs="Segoe UI Historic"/>
        </w:rPr>
        <w:t>ܪܰܡܫ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ܘܨܰܦܪ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ܕܐܺܝܬܶܝܗ</w:t>
      </w:r>
      <w:r>
        <w:rPr>
          <w:rFonts w:ascii="Times New Roman" w:hAnsi="Times New Roman" w:eastAsia="Times New Roman" w:cs="Times New Roman"/>
        </w:rPr>
        <w:t xml:space="preserve">̇ </w:t>
      </w:r>
      <w:r>
        <w:rPr>
          <w:rFonts w:ascii="Segoe UI Historic" w:hAnsi="Segoe UI Historic" w:eastAsia="Segoe UI Historic" w:cs="Segoe UI Historic"/>
        </w:rPr>
        <w:t>ܒܦܬ݂ܓ݂ܡܳܐ</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ܐܬ݂ܪܳܐ</w:t>
      </w:r>
      <w:r>
        <w:rPr>
          <w:rFonts w:ascii="Times New Roman" w:hAnsi="Times New Roman" w:eastAsia="Times New Roman" w:cs="Times New Roman"/>
        </w:rPr>
        <w:t xml:space="preserve"> </w:t>
      </w:r>
      <w:r>
        <w:rPr>
          <w:rFonts w:ascii="Segoe UI Historic" w:hAnsi="Segoe UI Historic" w:eastAsia="Segoe UI Historic" w:cs="Segoe UI Historic"/>
        </w:rPr>
        <w:t>ܝܚܺܝܕܳܝܳܐ</w:t>
      </w:r>
      <w:r>
        <w:rPr>
          <w:rFonts w:ascii="Times New Roman" w:hAnsi="Times New Roman" w:eastAsia="Times New Roman" w:cs="Times New Roman"/>
        </w:rPr>
        <w:t xml:space="preserve"> </w:t>
      </w:r>
      <w:r>
        <w:rPr>
          <w:rFonts w:ascii="Segoe UI Historic" w:hAnsi="Segoe UI Historic" w:eastAsia="Segoe UI Historic" w:cs="Segoe UI Historic"/>
        </w:rPr>
        <w:t>ܒܟ݂ܬ݂ܒ݂ܶܐ</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ܡܶܬܬܰܪܓܡܳܐ</w:t>
      </w:r>
      <w:r>
        <w:rPr>
          <w:rFonts w:ascii="Times New Roman" w:hAnsi="Times New Roman" w:eastAsia="Times New Roman" w:cs="Times New Roman"/>
        </w:rPr>
        <w:t xml:space="preserve"> </w:t>
      </w:r>
      <w:r>
        <w:rPr>
          <w:rFonts w:ascii="Segoe UI Historic" w:hAnsi="Segoe UI Historic" w:eastAsia="Segoe UI Historic" w:cs="Segoe UI Historic"/>
        </w:rPr>
        <w:t>ܫܢܺܝܬ݂</w:t>
      </w:r>
      <w:r>
        <w:rPr>
          <w:rFonts w:ascii="Times New Roman" w:hAnsi="Times New Roman" w:eastAsia="Times New Roman" w:cs="Times New Roman"/>
        </w:rPr>
        <w:t xml:space="preserve"> </w:t>
      </w:r>
      <w:r>
        <w:rPr>
          <w:rFonts w:ascii="Segoe UI Historic" w:hAnsi="Segoe UI Historic" w:eastAsia="Segoe UI Historic" w:cs="Segoe UI Historic"/>
        </w:rPr>
        <w:t>ܡ</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ܪܰܡܫ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ܘܨܰܦܪ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ܒܦܬ݂ܓ݂ܡܳܐ</w:t>
      </w:r>
      <w:r>
        <w:rPr>
          <w:rFonts w:ascii="Times New Roman" w:hAnsi="Times New Roman" w:eastAsia="Times New Roman" w:cs="Times New Roman"/>
        </w:rPr>
        <w:t xml:space="preserve"> </w:t>
      </w:r>
      <w:r>
        <w:rPr>
          <w:rFonts w:ascii="Segoe UI Historic" w:hAnsi="Segoe UI Historic" w:eastAsia="Segoe UI Historic" w:cs="Segoe UI Historic"/>
        </w:rPr>
        <w:t>ܐܪܒܥܶܣܪܳܐ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ܝܰܘܡ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ܥܶܒ݂ܪܳܝܳܐ</w:t>
      </w:r>
      <w:r>
        <w:rPr>
          <w:rFonts w:ascii="Times New Roman" w:hAnsi="Times New Roman" w:eastAsia="Times New Roman" w:cs="Times New Roman"/>
        </w:rPr>
        <w:t xml:space="preserve"> </w:t>
      </w:r>
      <w:r>
        <w:rPr>
          <w:rFonts w:ascii="Segoe UI Historic" w:hAnsi="Segoe UI Historic" w:eastAsia="Segoe UI Historic" w:cs="Segoe UI Historic"/>
        </w:rPr>
        <w:t>ܫܰܪܺܝܪܳܐ</w:t>
      </w:r>
      <w:r>
        <w:rPr>
          <w:rFonts w:ascii="Times New Roman" w:hAnsi="Times New Roman" w:eastAsia="Times New Roman" w:cs="Times New Roman"/>
        </w:rPr>
        <w:t xml:space="preserve"> </w:t>
      </w:r>
      <w:r>
        <w:rPr>
          <w:rFonts w:ascii="Segoe UI Historic" w:hAnsi="Segoe UI Historic" w:eastAsia="Segoe UI Historic" w:cs="Segoe UI Historic"/>
        </w:rPr>
        <w:t>ܕܦܬ݂ܓ݂ܡܳܐ</w:t>
      </w:r>
      <w:r>
        <w:rPr>
          <w:rFonts w:ascii="Times New Roman" w:hAnsi="Times New Roman" w:eastAsia="Times New Roman" w:cs="Times New Roman"/>
        </w:rPr>
        <w:t xml:space="preserve"> </w:t>
      </w:r>
      <w:r>
        <w:rPr>
          <w:rFonts w:ascii="Segoe UI Historic" w:hAnsi="Segoe UI Historic" w:eastAsia="Segoe UI Historic" w:cs="Segoe UI Historic"/>
        </w:rPr>
        <w:t>ܐܪܒܥܶܣܪܳܐ</w:t>
      </w:r>
      <w:r>
        <w:rPr>
          <w:rFonts w:ascii="Times New Roman" w:hAnsi="Times New Roman" w:eastAsia="Times New Roman" w:cs="Times New Roman"/>
        </w:rPr>
        <w:t xml:space="preserve"> </w:t>
      </w:r>
      <w:r>
        <w:rPr>
          <w:rFonts w:ascii="Segoe UI Historic" w:hAnsi="Segoe UI Historic" w:eastAsia="Segoe UI Historic" w:cs="Segoe UI Historic"/>
        </w:rPr>
        <w:t>ܗܳܟܰܢ</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ܘܳܐ</w:t>
      </w:r>
      <w:r>
        <w:rPr>
          <w:rFonts w:ascii="Times New Roman" w:hAnsi="Times New Roman" w:eastAsia="Times New Roman" w:cs="Times New Roman"/>
        </w:rPr>
        <w:t xml:space="preserve"> </w:t>
      </w:r>
      <w:r>
        <w:rPr>
          <w:rFonts w:ascii="Segoe UI Historic" w:hAnsi="Segoe UI Historic" w:eastAsia="Segoe UI Historic" w:cs="Segoe UI Historic"/>
        </w:rPr>
        <w:t>ܩܳܪܶܐ</w:t>
      </w:r>
      <w:r>
        <w:rPr>
          <w:rFonts w:ascii="Times New Roman" w:hAnsi="Times New Roman" w:eastAsia="Times New Roman" w:cs="Times New Roman"/>
        </w:rPr>
        <w:t>: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ܠܬܪܶܝܢ</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ܘܬܠܳܬ݂</w:t>
      </w:r>
      <w:r>
        <w:rPr>
          <w:rFonts w:ascii="Times New Roman" w:hAnsi="Times New Roman" w:eastAsia="Times New Roman" w:cs="Times New Roman"/>
        </w:rPr>
        <w:t xml:space="preserve"> </w:t>
      </w:r>
      <w:r>
        <w:rPr>
          <w:rFonts w:ascii="Segoe UI Historic" w:hAnsi="Segoe UI Historic" w:eastAsia="Segoe UI Historic" w:cs="Segoe UI Historic"/>
        </w:rPr>
        <w:t>ܡܶܐܘܬ݂ܳ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ܪܰܡܫ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ܘܨܰܦܪ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Adventizmnin ortaq dirägi bolan bu aýat, Hudaýyň Sözüniň içinde “agşamlar we ertirler” aňlatmasynyň diňe ýönekeý “günler” hökmünde beýan edilýän ýeke-täk aýatydyr. Her bir hakykatyň öz degişli manysy bardyr, we başga hiç zat bolmasa-da, Palmoniniň bu aýaty bilkastlaýyn nygtandygy aýdyňdyr. Ol muny, Patyşa Jeýms Injilini terjime edenleriň pikirlerini, Onuň Sözüniň hemme ýerinde hemişe ýazylyşyndan üýtgeşik görnüşde şol söz düzümini ýazmaga gönükdirmek arkaly etdi. Bu hakykatdan çykarylmalı netije şudur: haçan-da Gabriýele Daniýele “mareh” görnüşine düşünmek buýrulanda, oňa Daniýele 1844-nji ýylyň peýda bolşunyň görnüşine düşünmegi üpjün etmek buýurylýar, emma mukaddes ýeriň we goşunyň aýak astyna salynmagy baradaky “çazon” görnüşine däl.</w:t>
      </w:r>
    </w:p>
    <w:p>
      <w:pPr>
        <w:pStyle w:val="ArticleBody"/>
        <w:jc w:val="left"/>
      </w:pPr>
      <w:r>
        <w:rPr>
          <w:rFonts w:ascii="Microsoft YaHei" w:hAnsi="Microsoft YaHei" w:eastAsia="Microsoft YaHei" w:cs="Microsoft YaHei"/>
        </w:rPr>
        <w:t>「</w:t>
      </w:r>
      <w:r>
        <w:rPr>
          <w:rFonts w:ascii="Myanmar Text" w:hAnsi="Myanmar Text" w:eastAsia="Myanmar Text" w:cs="Myanmar Text"/>
        </w:rPr>
        <w:t>ညနေနှင့်</w:t>
      </w:r>
      <w:r>
        <w:rPr>
          <w:rFonts w:ascii="Times New Roman" w:hAnsi="Times New Roman" w:eastAsia="Times New Roman" w:cs="Times New Roman"/>
        </w:rPr>
        <w:t xml:space="preserve"> </w:t>
      </w:r>
      <w:r>
        <w:rPr>
          <w:rFonts w:ascii="Myanmar Text" w:hAnsi="Myanmar Text" w:eastAsia="Myanmar Text" w:cs="Myanmar Text"/>
        </w:rPr>
        <w:t>နံနက်များ</w:t>
      </w:r>
      <w:r>
        <w:rPr>
          <w:rFonts w:ascii="Microsoft YaHei" w:hAnsi="Microsoft YaHei" w:eastAsia="Microsoft YaHei" w:cs="Microsoft YaHei"/>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သန့်စင်ခြင်း</w:t>
      </w:r>
      <w:r>
        <w:rPr>
          <w:rFonts w:ascii="Times New Roman" w:hAnsi="Times New Roman" w:eastAsia="Times New Roman" w:cs="Times New Roman"/>
        </w:rPr>
        <w:t xml:space="preserve"> </w:t>
      </w:r>
      <w:r>
        <w:rPr>
          <w:rFonts w:ascii="Myanmar Text" w:hAnsi="Myanmar Text" w:eastAsia="Myanmar Text" w:cs="Myanmar Text"/>
        </w:rPr>
        <w:t>စတင်သောအခါ</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ပေါ်ထွန်းခြင်းတစ်ရပ်အကြောင်း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ထိုပေါ်ထွန်းခြင်းဆိုင်ရာ</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ခြေဖြင့်နင်းချေဖျက်ဆီးခြင်းအကြောင်း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သန့်စင်ခြင်းအကြောင်း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ထိုနေ့စွဲတွင်</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ပေါ်ထွန်းခြင်းတစ်ရပ်</w:t>
      </w:r>
      <w:r>
        <w:rPr>
          <w:rFonts w:ascii="Times New Roman" w:hAnsi="Times New Roman" w:eastAsia="Times New Roman" w:cs="Times New Roman"/>
        </w:rPr>
        <w:t xml:space="preserve"> </w:t>
      </w:r>
      <w:r>
        <w:rPr>
          <w:rFonts w:ascii="Myanmar Text" w:hAnsi="Myanmar Text" w:eastAsia="Myanmar Text" w:cs="Myanmar Text"/>
        </w:rPr>
        <w:t>ရှိခဲ့သလော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ሊቀ</w:t>
      </w:r>
      <w:r>
        <w:rPr>
          <w:rFonts w:ascii="Times New Roman" w:hAnsi="Times New Roman" w:eastAsia="Times New Roman" w:cs="Times New Roman"/>
        </w:rPr>
        <w:t xml:space="preserve"> </w:t>
      </w:r>
      <w:r>
        <w:rPr>
          <w:rFonts w:ascii="Ebrima" w:hAnsi="Ebrima" w:eastAsia="Ebrima" w:cs="Ebrima"/>
        </w:rPr>
        <w:t>ካህናታችን</w:t>
      </w:r>
      <w:r>
        <w:rPr>
          <w:rFonts w:ascii="Times New Roman" w:hAnsi="Times New Roman" w:eastAsia="Times New Roman" w:cs="Times New Roman"/>
        </w:rPr>
        <w:t xml:space="preserve"> </w:t>
      </w:r>
      <w:r>
        <w:rPr>
          <w:rFonts w:ascii="Ebrima" w:hAnsi="Ebrima" w:eastAsia="Ebrima" w:cs="Ebrima"/>
        </w:rPr>
        <w:t>ለመቅደሱ</w:t>
      </w:r>
      <w:r>
        <w:rPr>
          <w:rFonts w:ascii="Times New Roman" w:hAnsi="Times New Roman" w:eastAsia="Times New Roman" w:cs="Times New Roman"/>
        </w:rPr>
        <w:t xml:space="preserve"> </w:t>
      </w:r>
      <w:r>
        <w:rPr>
          <w:rFonts w:ascii="Ebrima" w:hAnsi="Ebrima" w:eastAsia="Ebrima" w:cs="Ebrima"/>
        </w:rPr>
        <w:t>መንጻት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 xml:space="preserve">14 </w:t>
      </w:r>
      <w:r>
        <w:rPr>
          <w:rFonts w:ascii="Ebrima" w:hAnsi="Ebrima" w:eastAsia="Ebrima" w:cs="Ebrima"/>
        </w:rPr>
        <w:t>እንደተገለጸው፤</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ቀዳማዊ</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7</w:t>
      </w:r>
      <w:r>
        <w:rPr>
          <w:rFonts w:ascii="Ebrima" w:hAnsi="Ebrima" w:eastAsia="Ebrima" w:cs="Ebrima"/>
        </w:rPr>
        <w:t>፡</w:t>
      </w:r>
      <w:r>
        <w:rPr>
          <w:rFonts w:ascii="Times New Roman" w:hAnsi="Times New Roman" w:eastAsia="Times New Roman" w:cs="Times New Roman"/>
        </w:rPr>
        <w:t xml:space="preserve">13 </w:t>
      </w:r>
      <w:r>
        <w:rPr>
          <w:rFonts w:ascii="Ebrima" w:hAnsi="Ebrima" w:eastAsia="Ebrima" w:cs="Ebrima"/>
        </w:rPr>
        <w:t>እንደቀረበው፤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መምጣቱ፣</w:t>
      </w:r>
      <w:r>
        <w:rPr>
          <w:rFonts w:ascii="Times New Roman" w:hAnsi="Times New Roman" w:eastAsia="Times New Roman" w:cs="Times New Roman"/>
        </w:rPr>
        <w:t xml:space="preserve"> </w:t>
      </w:r>
      <w:r>
        <w:rPr>
          <w:rFonts w:ascii="Ebrima" w:hAnsi="Ebrima" w:eastAsia="Ebrima" w:cs="Ebrima"/>
        </w:rPr>
        <w:t>በሚልክያስ</w:t>
      </w:r>
      <w:r>
        <w:rPr>
          <w:rFonts w:ascii="Times New Roman" w:hAnsi="Times New Roman" w:eastAsia="Times New Roman" w:cs="Times New Roman"/>
        </w:rPr>
        <w:t xml:space="preserve"> </w:t>
      </w:r>
      <w:r>
        <w:rPr>
          <w:rFonts w:ascii="Ebrima" w:hAnsi="Ebrima" w:eastAsia="Ebrima" w:cs="Ebrima"/>
        </w:rPr>
        <w:t>እንደተነበየው፤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መግለጫዎች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በማቴዎስ</w:t>
      </w:r>
      <w:r>
        <w:rPr>
          <w:rFonts w:ascii="Times New Roman" w:hAnsi="Times New Roman" w:eastAsia="Times New Roman" w:cs="Times New Roman"/>
        </w:rPr>
        <w:t xml:space="preserve"> 25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እንደገለጸው፣</w:t>
      </w:r>
      <w:r>
        <w:rPr>
          <w:rFonts w:ascii="Times New Roman" w:hAnsi="Times New Roman" w:eastAsia="Times New Roman" w:cs="Times New Roman"/>
        </w:rPr>
        <w:t xml:space="preserve"> </w:t>
      </w:r>
      <w:r>
        <w:rPr>
          <w:rFonts w:ascii="Ebrima" w:hAnsi="Ebrima" w:eastAsia="Ebrima" w:cs="Ebrima"/>
        </w:rPr>
        <w:t>ሙሽራው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ሰርጉ</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The Great Controversy, 426.</w:t>
      </w:r>
    </w:p>
    <w:p>
      <w:pPr>
        <w:pStyle w:val="ArticleBody"/>
        <w:jc w:val="left"/>
      </w:pPr>
      <w:r>
        <w:rPr>
          <w:rFonts w:ascii="Times New Roman" w:hAnsi="Times New Roman" w:eastAsia="Times New Roman" w:cs="Times New Roman"/>
        </w:rPr>
        <w:t>Gabriel a na-de Daniel asie nkwae propetik a ɛfa Kristo pɛe a ɔbɛda ne ho adi wɔ Ne asɔredan mu wɔ October 22, 1844 no ase. Eyi nti, Gabriel maa Daniel nnyaa adansefo a ɛto so abien maa da a ɛne October 22, 1844 no; efisɛ Gabriel na ɔkanyan Bible akyerɛwfo nyinaa a wɔkyerɛw biribi fa Bible nnyinasosɛm a ɛda no adi sɛ nokware gyina adansefo baanu ano so no ho. Sɛ na Gabriel bɛma Daniel ate October 22, 1844 ase a, anka ohia adansefo a ɔto so abien de asi “anisoadehu a ɛfa pɛe no ho” no mu den.</w:t>
      </w:r>
    </w:p>
    <w:p>
      <w:pPr>
        <w:pStyle w:val="ArticleBody"/>
        <w:jc w:val="left"/>
      </w:pPr>
      <w:r>
        <w:rPr>
          <w:rFonts w:ascii="Times New Roman" w:hAnsi="Times New Roman" w:eastAsia="Times New Roman" w:cs="Times New Roman"/>
        </w:rPr>
        <w:t>Гавриил начинает свой труд с того, что прежде всего обращается к стремлению Даниила понять видение «хазон», и делает это, указывая, что видение «хазон» — это видение, которое завершается во «время конца» в 1798 году.</w:t>
      </w:r>
    </w:p>
    <w:p>
      <w:pPr>
        <w:pStyle w:val="ArticleScripture"/>
        <w:jc w:val="left"/>
      </w:pPr>
      <w:r>
        <w:rPr>
          <w:rFonts w:ascii="Times New Roman" w:hAnsi="Times New Roman" w:eastAsia="Times New Roman" w:cs="Times New Roman"/>
        </w:rPr>
        <w:t>Asi ndzi twa rito ra munhu exikarhi ka tinshava ta Ulai, leri vitaneke, ri ku: Gabriyele, pfuna munhu loyi ku twisisa xivono lexi. Kutani a tshinela laha a ndzi yime kona; kutani loko a fika, ndzi chava, ndzi wa hi mombo wa mina; kambe a ku eka mina: Twisisa, wena n’wana wa munhu; hikuva xivono lexi i xa nkarhi wa makumu. Daniel 8:16, 17.</w:t>
      </w:r>
    </w:p>
    <w:p>
      <w:pPr>
        <w:pStyle w:val="ArticleBody"/>
        <w:jc w:val="left"/>
      </w:pPr>
      <w:r>
        <w:rPr>
          <w:rFonts w:ascii="Times New Roman" w:hAnsi="Times New Roman" w:eastAsia="Times New Roman" w:cs="Times New Roman"/>
        </w:rPr>
        <w:t>“Khaan” ka a verse haani, hanaa “umatiinkha a tawpnaa” kha “chazon” vision a ni, hule Daniel cabu sung aa “tawpna um a umatiinkha” cu 1798 a si. Hiche hi Daniel in a htheihthiam nop “vision” kha a ni, ahin Gabriel cu Daniel hna htheihthiamter dingin thupekin a um “vision” kha cu ahi lo. Hiche thu ding ah Gabriel in sakhi hnihna a pe ding a ni.</w:t>
      </w:r>
    </w:p>
    <w:p>
      <w:pPr>
        <w:pStyle w:val="ArticleScripture"/>
        <w:jc w:val="left"/>
      </w:pPr>
      <w:r>
        <w:rPr>
          <w:rFonts w:ascii="Times New Roman" w:hAnsi="Times New Roman" w:eastAsia="Times New Roman" w:cs="Times New Roman"/>
        </w:rPr>
        <w:t>عندئذٍ أقبل إلى حيث كنتُ واقفًا؛ ولمّا جاء خفتُ، وخررتُ على وجهي. فقال لي: افهم يا ابن آدم، لأنّ الرؤيا إنما هي لوقت النهاية. وبينما كان يكلّمني، كنتُ في سُباتٍ عميقٍ على وجهي نحو الأرض؛ فَلَمَسني وأقامني منتصبًا. وقال: ها أنا أُعرِّفك ما يكون في آخر السخط، لأنّ النهاية تكون في الوقت المعيَّن. دانيال ٨:١٧–١٩.</w:t>
      </w:r>
    </w:p>
    <w:p>
      <w:pPr>
        <w:pStyle w:val="ArticleBody"/>
        <w:jc w:val="left"/>
      </w:pPr>
      <w:r>
        <w:rPr>
          <w:rFonts w:ascii="Times New Roman" w:hAnsi="Times New Roman" w:eastAsia="Times New Roman" w:cs="Times New Roman"/>
        </w:rPr>
        <w:t>Gabriel taumehi ijobeoṁ ko eṃ kōjparok Daniel bwe en “lale,” eo ej kwalok ñan Daniel bwe en kam̧ool eo eṃmanlak. Eo eṃmanlak eo ej bwe “ikotan imōn an kojbarok” eo mokta jen ruo “jiljilimjuon iien” ko an Leviticus 26, ej jemlok ilo 1844. “Ikotan imōn an kojbarok” eo mokta ej kwalok m̧okta ke ej juon poropit in iien, kin an “iien eo emoj kar jabdewot” bwe en “jemlok.” “Kojbarok” eo enaj aikuj reprezente juon ien, kin an “iien eo emoj kar jabdewot” ñan jemlokin. Elane “kojbarok” eo ejab wōt juon ien ettol in iien, enaj jab wor an jemlok, bōtab enaj wōt juon iien ettol eo me ear walok ie.</w:t>
      </w:r>
    </w:p>
    <w:p>
      <w:pPr>
        <w:pStyle w:val="ArticleBody"/>
        <w:jc w:val="left"/>
      </w:pPr>
      <w:r>
        <w:rPr>
          <w:rFonts w:ascii="Times New Roman" w:hAnsi="Times New Roman" w:eastAsia="Times New Roman" w:cs="Times New Roman"/>
        </w:rPr>
        <w:t>“</w:t>
      </w:r>
      <w:r>
        <w:rPr>
          <w:rFonts w:ascii="Javanese Text" w:hAnsi="Javanese Text" w:eastAsia="Javanese Text" w:cs="Javanese Text"/>
        </w:rPr>
        <w:t>꧋ꦥꦤ꧀ꦏꦼꦩ꧀ꦨꦁ</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ꦚꦶꦭꦶꦃ</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ꦲꦶꦱꦶꦃ</w:t>
      </w:r>
      <w:r>
        <w:rPr>
          <w:rFonts w:ascii="Times New Roman" w:hAnsi="Times New Roman" w:eastAsia="Times New Roman" w:cs="Times New Roman"/>
        </w:rPr>
        <w:t xml:space="preserve"> </w:t>
      </w:r>
      <w:r>
        <w:rPr>
          <w:rFonts w:ascii="Javanese Text" w:hAnsi="Javanese Text" w:eastAsia="Javanese Text" w:cs="Javanese Text"/>
        </w:rPr>
        <w:t>ꦠꦤ꧀ꦢ</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ꦩꦼꦚꦸꦥꦏꦼ</w:t>
      </w:r>
      <w:r>
        <w:rPr>
          <w:rFonts w:ascii="Times New Roman" w:hAnsi="Times New Roman" w:eastAsia="Times New Roman" w:cs="Times New Roman"/>
        </w:rPr>
        <w:t xml:space="preserve"> </w:t>
      </w:r>
      <w:r>
        <w:rPr>
          <w:rFonts w:ascii="Javanese Text" w:hAnsi="Javanese Text" w:eastAsia="Javanese Text" w:cs="Javanese Text"/>
        </w:rPr>
        <w:t>ꦲꦏꦶꦫꦺ</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ꦏꦠꦿꦁꦏꦼ</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ꦥꦤ꧀ꦏꦼꦩ꧀ꦨꦁ</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ꦩꦸꦤ꧀ꦢꦶ</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ꦥꦸꦁꦏꦱꦤ꧀</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ꦥꦿꦠꦩ</w:t>
      </w:r>
      <w:r>
        <w:rPr>
          <w:rFonts w:ascii="Times New Roman" w:hAnsi="Times New Roman" w:eastAsia="Times New Roman" w:cs="Times New Roman"/>
        </w:rPr>
        <w:t xml:space="preserve"> </w:t>
      </w:r>
      <w:r>
        <w:rPr>
          <w:rFonts w:ascii="Javanese Text" w:hAnsi="Javanese Text" w:eastAsia="Javanese Text" w:cs="Javanese Text"/>
        </w:rPr>
        <w:t>ꦥꦤ꧀ꦏꦼꦩ꧀ꦨꦁ</w:t>
      </w:r>
      <w:r>
        <w:rPr>
          <w:rFonts w:ascii="Times New Roman" w:hAnsi="Times New Roman" w:eastAsia="Times New Roman" w:cs="Times New Roman"/>
        </w:rPr>
        <w:t>.” “</w:t>
      </w:r>
      <w:r>
        <w:rPr>
          <w:rFonts w:ascii="Javanese Text" w:hAnsi="Javanese Text" w:eastAsia="Javanese Text" w:cs="Javanese Text"/>
        </w:rPr>
        <w:t>ꦥꦿꦠꦩ</w:t>
      </w:r>
      <w:r>
        <w:rPr>
          <w:rFonts w:ascii="Times New Roman" w:hAnsi="Times New Roman" w:eastAsia="Times New Roman" w:cs="Times New Roman"/>
        </w:rPr>
        <w:t xml:space="preserve"> </w:t>
      </w:r>
      <w:r>
        <w:rPr>
          <w:rFonts w:ascii="Javanese Text" w:hAnsi="Javanese Text" w:eastAsia="Javanese Text" w:cs="Javanese Text"/>
        </w:rPr>
        <w:t>ꦥꦤ꧀ꦏꦼꦩ꧀ꦨꦁ</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ꦏꦠꦼꦠꦼꦥꦏꦼ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Daniel chapter eleven, </w:t>
      </w:r>
      <w:r>
        <w:rPr>
          <w:rFonts w:ascii="Javanese Text" w:hAnsi="Javanese Text" w:eastAsia="Javanese Text" w:cs="Javanese Text"/>
        </w:rPr>
        <w:t>ꦲꦤꦏꦠꦺ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ꦏꦸꦮꦶ</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ꦱꦧꦧ</w:t>
      </w:r>
      <w:r>
        <w:rPr>
          <w:rFonts w:ascii="Times New Roman" w:hAnsi="Times New Roman" w:eastAsia="Times New Roman" w:cs="Times New Roman"/>
        </w:rPr>
        <w:t xml:space="preserve"> </w:t>
      </w:r>
      <w:r>
        <w:rPr>
          <w:rFonts w:ascii="Javanese Text" w:hAnsi="Javanese Text" w:eastAsia="Javanese Text" w:cs="Javanese Text"/>
        </w:rPr>
        <w:t>ꦏꦥꦻꦥꦤ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ꦠꦼꦫꦸꦱ꧀</w:t>
      </w:r>
      <w:r>
        <w:rPr>
          <w:rFonts w:ascii="Times New Roman" w:hAnsi="Times New Roman" w:eastAsia="Times New Roman" w:cs="Times New Roman"/>
        </w:rPr>
        <w:t xml:space="preserve"> “</w:t>
      </w:r>
      <w:r>
        <w:rPr>
          <w:rFonts w:ascii="Javanese Text" w:hAnsi="Javanese Text" w:eastAsia="Javanese Text" w:cs="Javanese Text"/>
        </w:rPr>
        <w:t>ꦧꦼꦂꦠꦶꦤ꧀ꦢꦏ</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ꦧꦼꦂꦲꦱꦶꦭ</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ꦥꦤ꧀ꦏꦼꦩ꧀ꦨꦁ</w:t>
      </w:r>
      <w:r>
        <w:rPr>
          <w:rFonts w:ascii="Times New Roman" w:hAnsi="Times New Roman" w:eastAsia="Times New Roman" w:cs="Times New Roman"/>
        </w:rPr>
        <w:t>”</w:t>
      </w:r>
      <w:r>
        <w:rPr>
          <w:rFonts w:ascii="Javanese Text" w:hAnsi="Javanese Text" w:eastAsia="Javanese Text" w:cs="Javanese Text"/>
        </w:rPr>
        <w:t>꧉</w:t>
      </w:r>
    </w:p>
    <w:p>
      <w:pPr>
        <w:pStyle w:val="ArticleScripture"/>
        <w:jc w:val="left"/>
      </w:pPr>
      <w:r>
        <w:rPr>
          <w:rFonts w:ascii="Times New Roman" w:hAnsi="Times New Roman" w:eastAsia="Times New Roman" w:cs="Times New Roman"/>
        </w:rPr>
        <w:t>Ati awọn kan ninu àwọn ọlọ́ye yóò ṣubú, láti dán wọn wò, àti láti wẹ wọn mọ́, àti láti sọ wọn di funfun, títí dé àkókò ìkẹyìn: nítorí ó ṣì jẹ́ fún àkókò tí a ti yàn. Ọba náà yóò sì ṣe gẹ́gẹ́ bí ìfẹ́ ara rẹ̀; yóò sì gbé ara rẹ̀ ga, yóò sì fi ara rẹ̀ ga ju gbogbo ọlọ́run lọ, yóò sì sọ àwọn ohun ìyanu sí Ọlọ́run àwọn ọlọ́run; yóò sì ṣe àṣeyọrí títí ìbínú yóò fi pé: nítorí ohun tí a ti pinnu ni a óo ṣe. Danieli 11:35, 36.</w:t>
      </w:r>
    </w:p>
    <w:p>
      <w:pPr>
        <w:pStyle w:val="ArticleBody"/>
        <w:jc w:val="left"/>
      </w:pPr>
      <w:r>
        <w:rPr>
          <w:rFonts w:ascii="Times New Roman" w:hAnsi="Times New Roman" w:eastAsia="Times New Roman" w:cs="Times New Roman"/>
        </w:rPr>
        <w:t>Ayatın bu iki ayəsində öz iradəsinə görə hərəkət edən və özünü ucaldan padşah mövzudur. Otuz altıncı ayə, Paulun parafraz etdiyi ayədir; o, Allahın məbədində oturub özünü Allah olduğunu göstərən “günah adamı”nı həmin ayədə müəyyən edir. 538-ci ildən 1798-ci ilə qədər davam edən Qaranlıq Əsrlərin təqibi otuz beşinci ayədə göstərilir və bu təqib “son zaman”a qədər davam edir; bu da 1798-ci il idi və “təyin olunmuş vaxt” idi. Sonra otuz altıncı ayə papalığın “qəzəb tamamlanana qədər” “firavanlıq tapacağını” bildirir. Ayə göstərir ki, papalıq 1798-ci ilə qədər firavanlıq tapdı; həmin nöqtədə birinci “qəzəb” “tamamlanmış” oldu. Allahın peyğəmbərlik Kəlamı “müəyyən etmişdi” ki, papalıq min iki yüz altmış il, yəni 1798-ci ilə — “son zaman”a qədər davam edəcəkdi.</w:t>
      </w:r>
    </w:p>
    <w:p>
      <w:pPr>
        <w:pStyle w:val="ArticleBody"/>
        <w:jc w:val="left"/>
      </w:pPr>
      <w:r>
        <w:rPr>
          <w:rFonts w:ascii="Times New Roman" w:hAnsi="Times New Roman" w:eastAsia="Times New Roman" w:cs="Times New Roman"/>
        </w:rPr>
        <w:t>1798-zzjan “indignación” qalltawaymi tukurqan, hinaspa “qhipa indignación” nisqapas 1844 watapi tukurqan. Iskay indignación-kunapas pacha p’unchawkuna hina rikuchisqa kanku, mayqinkunachus sut’i tukukuyniyuq karqan; chayrayku iskaynintapas pacha willakuykuna kasqankuta reqsichin. Gabrielqa Palmoni-manta kamachisqa karqan Danielta “rikuriq vision” (“mareh”) nisqata unanchanampaq, “tuta-paqariykuna” (p’unchawkuna) nisqamantam, mayqinchus 1844 wata, octubre killapa 22 p’unchawta reqsichirqan; chaytataq ruwarqan chay p’unchawpaq huk iskay kaq testigota quspa.</w:t>
      </w:r>
    </w:p>
    <w:p>
      <w:pPr>
        <w:pStyle w:val="ArticleBody"/>
        <w:jc w:val="left"/>
      </w:pPr>
      <w:r>
        <w:rPr>
          <w:rFonts w:ascii="Times New Roman" w:hAnsi="Times New Roman" w:eastAsia="Times New Roman" w:cs="Times New Roman"/>
        </w:rPr>
        <w:t>دەنیال لە ئایەتی سێزدەدا حەزی لێکدانەوەی کردبوو، ئەو بینینی «chazon» بریتی بوو لە بینینی پێشێلکردنەکە کە لە «کاتی کۆتایی» ساڵی 1798دا کۆتایی هات. بینینی «mareh»ی ئایەتی چواردەش بە دەرکەوتنی مەسیح لە شوێنی پیرۆزترین لە ڕۆژی 22ی ئۆکتۆبری 1844 کۆتایی هات، بە تەواوبوونی پێشبینی کاتەکەی دوو هەزار و سێ سەد ساڵ، هەروەها بە تەواوبوونی پێشبینی کاتەکەی دوو هەزار و پێنج سەد و بیست ساڵ. هەردوو ئەو پێشبینییە کاتییانە لەسەر تەختە پیرۆزەکانی حەبەقوق نواندراون، کە خوشک وایت دیاری دەکات بە دەستی خۆدا ئاراستە کراون، و نابێت دەستکاری بکرێن.</w:t>
      </w:r>
    </w:p>
    <w:p>
      <w:pPr>
        <w:pStyle w:val="ArticleBody"/>
        <w:jc w:val="left"/>
      </w:pPr>
      <w:r>
        <w:rPr>
          <w:rFonts w:ascii="Times New Roman" w:hAnsi="Times New Roman" w:eastAsia="Times New Roman" w:cs="Times New Roman"/>
        </w:rPr>
        <w:t>Të vazhdojmë këtë studim në artikullin e ardhshëm.</w:t>
      </w:r>
    </w:p>
    <w:p>
      <w:pPr>
        <w:pStyle w:val="ArticleScripture"/>
        <w:jc w:val="left"/>
      </w:pPr>
      <w:r>
        <w:rPr>
          <w:rFonts w:ascii="Times New Roman" w:hAnsi="Times New Roman" w:eastAsia="Times New Roman" w:cs="Times New Roman"/>
        </w:rPr>
        <w:t>«Մենք շատ դասեր ունենք սովորելու, և շատ, շատ բաներ՝ ապասովորելու։ Միայն Աստված և երկինքն են անսխալական։ Նրանք, ովքեր կարծում են, թե երբեք հարկ չի լինի հրաժարվել որևէ սիրելի տեսակետից, երբեք առիթ չի լինի փոխելու որևէ կարծիք, կհիասթափվեն։ Քանի դեռ մենք վճռական համառությամբ կառչում ենք մեր սեփական գաղափարներից և կարծիքներից, չենք կարող ունենալ այն միաբանությունը, որի համար Քրիստոսն աղոթեց»։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Lima Puluh Satu</dc:title>
  <dc:subject>ፓልሞኒ፡ በዳንኤልና በራእይ መጽሐፍ ውስጥ የዘመንና የቋንቋ ጌታን መግለጥ</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