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Bilangan Lima Puluh Lima</w:t>
      </w:r>
    </w:p>
    <w:p>
      <w:pPr>
        <w:pStyle w:val="ArticleSubtitle"/>
        <w:jc w:val="left"/>
      </w:pPr>
      <w:r>
        <w:rPr>
          <w:rFonts w:ascii="Nirmala UI" w:hAnsi="Nirmala UI" w:eastAsia="Nirmala UI" w:cs="Nirmala UI"/>
        </w:rPr>
        <w:t>වෙළෙඳුන්</w:t>
      </w:r>
      <w:r>
        <w:rPr>
          <w:rFonts w:ascii="Arial" w:hAnsi="Arial" w:eastAsia="Arial" w:cs="Arial"/>
        </w:rPr>
        <w:t xml:space="preserve"> </w:t>
      </w:r>
      <w:r>
        <w:rPr>
          <w:rFonts w:ascii="Nirmala UI" w:hAnsi="Nirmala UI" w:eastAsia="Nirmala UI" w:cs="Nirmala UI"/>
        </w:rPr>
        <w:t>වන</w:t>
      </w:r>
      <w:r>
        <w:rPr>
          <w:rFonts w:ascii="Arial" w:hAnsi="Arial" w:eastAsia="Arial" w:cs="Arial"/>
        </w:rPr>
        <w:t xml:space="preserve"> </w:t>
      </w:r>
      <w:r>
        <w:rPr>
          <w:rFonts w:ascii="Nirmala UI" w:hAnsi="Nirmala UI" w:eastAsia="Nirmala UI" w:cs="Nirmala UI"/>
        </w:rPr>
        <w:t>අනාවැකිමය</w:t>
      </w:r>
      <w:r>
        <w:rPr>
          <w:rFonts w:ascii="Arial" w:hAnsi="Arial" w:eastAsia="Arial" w:cs="Arial"/>
        </w:rPr>
        <w:t xml:space="preserve"> </w:t>
      </w:r>
      <w:r>
        <w:rPr>
          <w:rFonts w:ascii="Nirmala UI" w:hAnsi="Nirmala UI" w:eastAsia="Nirmala UI" w:cs="Nirmala UI"/>
        </w:rPr>
        <w:t>තන්තුව</w:t>
      </w:r>
      <w:r>
        <w:rPr>
          <w:rFonts w:ascii="Arial" w:hAnsi="Arial" w:eastAsia="Arial" w:cs="Arial"/>
        </w:rPr>
        <w:t xml:space="preserve"> </w:t>
      </w:r>
      <w:r>
        <w:rPr>
          <w:rFonts w:ascii="Nirmala UI" w:hAnsi="Nirmala UI" w:eastAsia="Nirmala UI" w:cs="Nirmala UI"/>
        </w:rPr>
        <w:t>හෙළිදරව්</w:t>
      </w:r>
      <w:r>
        <w:rPr>
          <w:rFonts w:ascii="Arial" w:hAnsi="Arial" w:eastAsia="Arial" w:cs="Arial"/>
        </w:rPr>
        <w:t xml:space="preserve"> </w:t>
      </w:r>
      <w:r>
        <w:rPr>
          <w:rFonts w:ascii="Nirmala UI" w:hAnsi="Nirmala UI" w:eastAsia="Nirmala UI" w:cs="Nirmala UI"/>
        </w:rPr>
        <w:t>කිරීම</w:t>
      </w:r>
      <w:r>
        <w:rPr>
          <w:rFonts w:ascii="Arial" w:hAnsi="Arial" w:eastAsia="Arial" w:cs="Arial"/>
        </w:rPr>
        <w:t xml:space="preserve">: </w:t>
      </w:r>
      <w:r>
        <w:rPr>
          <w:rFonts w:ascii="Nirmala UI" w:hAnsi="Nirmala UI" w:eastAsia="Nirmala UI" w:cs="Nirmala UI"/>
        </w:rPr>
        <w:t>දානියෙල්ට</w:t>
      </w:r>
      <w:r>
        <w:rPr>
          <w:rFonts w:ascii="Arial" w:hAnsi="Arial" w:eastAsia="Arial" w:cs="Arial"/>
        </w:rPr>
        <w:t xml:space="preserve"> </w:t>
      </w:r>
      <w:r>
        <w:rPr>
          <w:rFonts w:ascii="Nirmala UI" w:hAnsi="Nirmala UI" w:eastAsia="Nirmala UI" w:cs="Nirmala UI"/>
        </w:rPr>
        <w:t>ගාබ්</w:t>
      </w:r>
      <w:r>
        <w:rPr>
          <w:rFonts w:ascii="Arial" w:hAnsi="Arial" w:eastAsia="Arial" w:cs="Arial"/>
        </w:rPr>
        <w:t>‍</w:t>
      </w:r>
      <w:r>
        <w:rPr>
          <w:rFonts w:ascii="Nirmala UI" w:hAnsi="Nirmala UI" w:eastAsia="Nirmala UI" w:cs="Nirmala UI"/>
        </w:rPr>
        <w:t>රියෙල්ගේ</w:t>
      </w:r>
      <w:r>
        <w:rPr>
          <w:rFonts w:ascii="Arial" w:hAnsi="Arial" w:eastAsia="Arial" w:cs="Arial"/>
        </w:rPr>
        <w:t xml:space="preserve"> </w:t>
      </w:r>
      <w:r>
        <w:rPr>
          <w:rFonts w:ascii="Nirmala UI" w:hAnsi="Nirmala UI" w:eastAsia="Nirmala UI" w:cs="Nirmala UI"/>
        </w:rPr>
        <w:t>හෙළිදරව්ව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جب دانی ایل نے یرمیاہ کی نبوت کے ستر سالہ اسیری، اور موسیٰ کی قسم اور لعنت کو سمجھ لیا، تو جبرائیل اُس کے پاس آیا۔</w:t>
      </w:r>
    </w:p>
    <w:p>
      <w:pPr>
        <w:pStyle w:val="ArticleScripture"/>
        <w:jc w:val="left"/>
      </w:pPr>
      <w:r>
        <w:rPr>
          <w:rFonts w:ascii="Times New Roman" w:hAnsi="Times New Roman" w:eastAsia="Times New Roman" w:cs="Times New Roman"/>
        </w:rPr>
        <w:t>تتە سلطنت‌کنئن نخستین سالا من دانیال کتاباون رائے سالان تعداد درک کئیتان، کہ خداوندی کلام یرمیاہ نبیءَ سر بئیتگ ات، کہ اورشلیمءَ ویرانیان باروا ہفتاد سال پورا کنت۔۔۔ ہاں، تمامِ اسرائیل ترا شریعتءَ نافرمانی کتگ‌انت، بلے راہ‌گم کنگءَ وسیلہ، تانکہ تئی آوازءَ اطاعت نکنگ؛ پس ایں لعنت امے سر دُهتگ انت، و آں قسم کہ موسیٰ بندۂ خدا کے شریعتءَ نوشتہ ات، چوں کہ ما اوءِ خلاف گناہ کتگ‌انت۔ و اوں سخنان، کہ امے خلاف و امے حاکمانِ داور، کہ امے داوری کنتگ‌انت، خلاف گوشتگ ات، امے سر یک بزرگ بلا نازل کنگءَ وسیلہ استوار کتگ؛ چوں کہ تمامِ آسمانءَ زیر اَچّی چیز نہ‌بتگ، ہم‌چنان کہ اورشلیمءَ سر بتگ انت۔ چنانچہ موسیٰ کے شریعتءَ نوشتہ انت، ایں ہمہ بلا امے سر آتک انت؛ با وجودِ ایں، ما خداوند امے خدا کے حضور دعا نکرتگ، تانکہ امے بدکرداریانءَ بازگردیم و تئی راستیءَ بفہمیم۔ از ایں سبب خداوند ایں بلاءَ نگرانی کت و آں امے سر آورت؛ زیرا خداوند امے خدا ہر کارءَ کہ کنت، راستکار انت؛ زیرا ما اوءِ آوازءَ اطاعت نکرتگ‌انت۔ دانیال ۹:۲، ۱۱–۱۴۔</w:t>
      </w:r>
    </w:p>
    <w:p>
      <w:pPr>
        <w:pStyle w:val="ArticleBody"/>
        <w:jc w:val="left"/>
      </w:pPr>
      <w:r>
        <w:rPr>
          <w:rFonts w:ascii="Nirmala UI" w:hAnsi="Nirmala UI" w:eastAsia="Nirmala UI" w:cs="Nirmala UI"/>
        </w:rPr>
        <w:t>किआक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लौटकर</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p>
    <w:p>
      <w:pPr>
        <w:pStyle w:val="ArticleBody"/>
        <w:jc w:val="left"/>
      </w:pPr>
      <w:r>
        <w:rPr>
          <w:rFonts w:ascii="Times New Roman" w:hAnsi="Times New Roman" w:eastAsia="Times New Roman" w:cs="Times New Roman"/>
        </w:rPr>
        <w:t>Յերեմիայի յոթանասուն տարիները և Մովսէսի «անեծքը» երկուսն էլ «եօթնապատիկ ժամանակների» խորհրդանիշներ են, ինչպէս ներկայացուած է Մովսէսի «երդմամբ», սակայն Գաբրիէլը ներկայացնելու է երկու հազար երեք հարիւր տարիների ժամանակահատուածի բաժանումը։ Այն կարող է միայն այն ժամանակ ճշգրտօրէն բաժանուել, երբ ճշգրտօրէն բաժանուի ոտնակոխ լինելու տեսիլքի («chazon») և երեւման տեսիլքի («mareh») փոխյարաբերութիւնը։ Գաբրիէլը սկսեց՝ նշելով, որ փորձութեան մի ժամանակաշրջան՝ չորս հարիւր իննսուն տարի, տրուեց հրեաներին։ Այդ ժամանակաշրջանը նոյնն էր, ինչ ապստամբութեան չորս հարիւր իննսուն տարիների ժամանակաշրջանը, որն առաջ էր բերել գերութեան յոթանասուն տարիները։</w:t>
      </w:r>
    </w:p>
    <w:p>
      <w:pPr>
        <w:pStyle w:val="ArticleBody"/>
        <w:jc w:val="left"/>
      </w:pPr>
      <w:r>
        <w:rPr>
          <w:rFonts w:ascii="Times New Roman" w:hAnsi="Times New Roman" w:eastAsia="Times New Roman" w:cs="Times New Roman"/>
        </w:rPr>
        <w:t>سۆزِ «تعیین‌کراو» لە ئایەتی بیست‌وچواردا بەو ماوەیە ئاماژە دەکات کە لە دەرچوونی فەرمانی سێیەم لە ساڵی 457 پ.ز. دەست پێدەکات و تا سنگسارکردنی ستێفەن لە ساڵی 34 ز. درێژە دەکێشێت، بەڵام سۆزِ «تعیین‌کراو» لە ئایەتەکانی بیست‌وشەش و بیست‌وحەوتدا هێزە وێرانکارەکانی بەت‌پەرستی و پاپایەتی دیاری دەکات.</w:t>
      </w:r>
    </w:p>
    <w:p>
      <w:pPr>
        <w:pStyle w:val="ArticleScripture"/>
        <w:jc w:val="left"/>
      </w:pPr>
      <w:r>
        <w:rPr>
          <w:rFonts w:ascii="Times New Roman" w:hAnsi="Times New Roman" w:eastAsia="Times New Roman" w:cs="Times New Roman"/>
        </w:rPr>
        <w:t>Aprea dvī dhi ṣāk vəṣṭ haptādak āašy, Məsīh bəburrīd, ammā nē xodāš; və qawma ān amīr kē xāhad āmad, šahr və maqbəd-rā xwāhad xarāb kard; və pāyān-e ān bā tūfān xāhad būd, və tā pāyān-e jang, virānīhā muqarrar gardīda ast. Və ū ahd-rā bā bisyārī barāy yek haptād ta’yīd xāhad kard; və dar mīyāna-ye ān haptād, qurbānī və hadye-rā mawqūf xāhad sāxt; və baʿd az entešār-e makrūhāt, ān-rā virān xāhad kard, tā ān consummation, və ānče taʿyīn šode ast, bar ān virān furo rīxta šavad. Daniel 9:26, 27.</w:t>
      </w:r>
    </w:p>
    <w:p>
      <w:pPr>
        <w:pStyle w:val="ArticleBody"/>
        <w:jc w:val="left"/>
      </w:pPr>
      <w:r>
        <w:rPr>
          <w:rFonts w:ascii="Times New Roman" w:hAnsi="Times New Roman" w:eastAsia="Times New Roman" w:cs="Times New Roman"/>
        </w:rPr>
        <w:t>Gabriel avisa a Daniel que “después” que el “Mesías” fue “quitado”, “el pueblo de un príncipe que ha de venir destruirá la ciudad y el santuario”. La Roma pagana destruyó la “ciudad y el santuario” en el asedio que duró exactamente tres años y medio, desde el año 66 hasta el 70 d.C. Gabriel señala que “el fin de la guerra” sería “con inundación”, y que la guerra consistiría en “asolamientos”. La guerra que fue ejecutada contra Jerusalén y el santuario fue el hollamiento llevado a cabo por el paganismo y el papado. La potencia pagana que destruiría a Jerusalén al principio fue Babilonia, pero la potencia pagana que la destruiría después de la crucifixión del Mesías fue la Roma pagana. Pero la guerra contra el santuario y el ejército fue llevada a cabo por dos poderes asoladores, y el segundo de los dos poderes asoladores en las Escrituras es el papado.</w:t>
      </w:r>
    </w:p>
    <w:p>
      <w:pPr>
        <w:pStyle w:val="ArticleBody"/>
        <w:jc w:val="left"/>
      </w:pPr>
      <w:r>
        <w:rPr>
          <w:rFonts w:ascii="Times New Roman" w:hAnsi="Times New Roman" w:eastAsia="Times New Roman" w:cs="Times New Roman"/>
        </w:rPr>
        <w:t>Պապականությունը այն զորությունն է, որ ներկայացված է որպես «հորդահեղ պատուհասը», այն է Դանիել տասնմեկի քառասուներորդ խոսքի այն զորությունը, որ «հորդում է և անցնում»։ Երուսաղեմի կոխկրտումը, որ սկսվեց Բաբելոնով և շարունակվեց այն երկաթյա ազգով, որը խոսում էր մռայլ խոսքեր, ինչպես Մովսեսն է ներկայացնում Երկրորդ Օրինաց գրքում, հաջորդվեց պապականությամբ։ Մինչև կոխկրտման ավարտը «ամայացումներ» էին «վճռված»։ Քսանյոթերորդ խոսքում Քրիստոսը շատերի հետ հաստատում է ուխտը մեկ շաբաթվա համար։ Այդ շաբաթվա մեջտեղում երկրային զոհաբերական համակարգը պիտի դադարեր, քանի որ Քրիստոսը սկսեց Իր քահանայապետական ծառայությունը երկնային սրբարանում։ Քանի որ հրեաները չհնազանդվեցին իրենց համար կտրված փորձության ժամանակամիջոցում, սրբարանն ու քաղաքը կրկին պիտի ամայացվեին։</w:t>
      </w:r>
    </w:p>
    <w:p>
      <w:pPr>
        <w:pStyle w:val="ArticleBody"/>
        <w:jc w:val="left"/>
      </w:pPr>
      <w:r>
        <w:rPr>
          <w:rFonts w:ascii="Times New Roman" w:hAnsi="Times New Roman" w:eastAsia="Times New Roman" w:cs="Times New Roman"/>
        </w:rPr>
        <w:t>Ayat tersebut berkata, “karena penyebaran kekejian-kekejian ia akan menjadikannya sunyi sepi, bahkan sampai kepada kesudahan, dan apa yang telah ditetapkan itu akan dicurahkan ke atas yang sunyi sepi.” Ketika orang-orang Yahudi akhirnya memenuhi cawan masa percobaan mereka sampai ke tepi, kota dan tempat kudus itu harus tetap sunyi sepi sampai akhir peperangan. Pada “kesudahan” penindasan itu pada tahun 1798, telah “ditetapkan” bahwa kepausan akan menerima luka yang mematikan. Kemudian kota dan tempat kudus itu harus dipulihkan dan dibangun kembali, sebagaimana dilambangkan ketika orang-orang Yahudi keluar dari Babel harfiah di bawah ketiga dekret.</w:t>
      </w:r>
    </w:p>
    <w:p>
      <w:pPr>
        <w:pStyle w:val="ArticleBody"/>
        <w:jc w:val="left"/>
      </w:pPr>
      <w:r>
        <w:rPr>
          <w:rFonts w:ascii="Times New Roman" w:hAnsi="Times New Roman" w:eastAsia="Times New Roman" w:cs="Times New Roman"/>
        </w:rPr>
        <w:t>Hataa xumura waraana sanaatti Qulqulleettiin Yerusaalem humna paaphaasummaaatiin miillattee turuu qabdi. Yeroon raajii kan waggoota kuma lamaa fi dhibba sadii keessatti yeroowwan addaa ta’an ijaaruu, hariiroon mul’ata waggoota torbaatamaa isa miillatamuu sanaa mul’ata deebisanii ijaarsa mana qulqullummaa fi loltoota wajjin walqabatee yeroo hubatamu qofa sirriitti hubatamuu danda’a. Mul’ata facaafamuu abaarraa Musee diduun, mul’ata walitti qabamuu diduudha. Mul’anni waggoota torbaatamaa mul’ata facaafamuuti. Mul’anni waggoota kuma lamaa fi dhibba sadii mul’ata walitti qabamuuti. Mul’anni waggoota torbaatamaa mul’ata “chazon” isa facaafamuu ti; mul’anni waggoota kuma lamaa fi dhibba sadii immoo mul’ata “mareh” isa walitti qabamuu ti.</w:t>
      </w:r>
    </w:p>
    <w:p>
      <w:pPr>
        <w:pStyle w:val="ArticleScripture"/>
        <w:jc w:val="left"/>
      </w:pPr>
      <w:r>
        <w:rPr>
          <w:rFonts w:ascii="Times New Roman" w:hAnsi="Times New Roman" w:eastAsia="Times New Roman" w:cs="Times New Roman"/>
        </w:rPr>
        <w:t>Yaaqaaf Waaqayyo walitti hidhe sana nama hin adda baasin. Maarqos 10:9.</w:t>
      </w:r>
    </w:p>
    <w:p>
      <w:pPr>
        <w:pStyle w:val="ArticleBody"/>
        <w:jc w:val="left"/>
      </w:pPr>
      <w:r>
        <w:rPr>
          <w:rFonts w:ascii="Times New Roman" w:hAnsi="Times New Roman" w:eastAsia="Times New Roman" w:cs="Times New Roman"/>
        </w:rPr>
        <w:t>ئِكْرِتْثُنْ رُؤْيَتَانِ نُبُوِّيًّا مَعًا، وَرَفْضُ إِحْدَاهُمَا هُوَ رَفْضٌ لِكِلَيْهِمَا. وَهَذِهِ الْحَقِيقَةُ تُبَيِّنُ أَنَّهُ عَلَى الرَّغْمِ مِنْ أَنَّ الْأَدْفَنْتِيَّةَ تَدَّعِي أَنَّهَا تُؤَيِّدُ نُبُوَّةَ الأَلْفَيْنِ وَالثَّلَاثِمِئَةِ سَنَةٍ، فَقَدْ رَفَضَتِ الرُّكْنَ الْمَرْكَزِيَّ لِلْأَدْفَنْتِيَّةِ، كَمَا رَفَضَتْ بِالْيَقِينِ «السَّبْعَ الْأَزْمِنَةَ» فِي سَنَةِ 1863. أَلَمْ يَكُنِ الْيَهُودُ يَدَّعُونَ أَنَّهُمْ يَحْفَظُونَ شَرِيعَةَ اللهِ؟ أَلَمْ تَكُنْ إِسْرَائِيلُ الْقَدِيمَةُ تَدَّعِي أَنَّهَا كَانَتْ تَنْتَظِرُ الْمَسِيحَ؟ إِنَّ الْإِقْرَارَ لَا مَعْنَى لَهُ إِنْ لَمْ يُؤَيِّدْ كَلِمَةَ اللهِ.</w:t>
      </w:r>
    </w:p>
    <w:p>
      <w:pPr>
        <w:pStyle w:val="ArticleBody"/>
        <w:jc w:val="left"/>
      </w:pPr>
      <w:r>
        <w:rPr>
          <w:rFonts w:ascii="Times New Roman" w:hAnsi="Times New Roman" w:eastAsia="Times New Roman" w:cs="Times New Roman"/>
        </w:rPr>
        <w:t>ميللر قَدُكٍ غِلُ تِف يِلِكْتُبُرُو أُكْتُوبر 22, 1844 بُلُورُو يُرْمِش وَ أُچ يُوز غُونلُوك دَوْرَنين سُونُو أُولْدُغُونُو تَنيِمْلَديلَر، آنجاق أَنْلَيشْلَري سِنِرْلي ايدي. بُيُوك حَيالْ قِرِقْلِغينْدَنْ سُونرا، گُؤكْتَكي مَقْدَس وَ مَسيحِين اُو تاريختَه اِن اِيجي قُدْسَه ظُهُورُونا دائر نور گَلدي. اُنْدَنْ سُونرا، يَعْني اُو تاريختَنْ سُونرا، اُچُونجو مَلَكِين مِساجينِي وَ تَنري‌نين شَريعَتيني گُؤردولَر.</w:t>
      </w:r>
    </w:p>
    <w:p>
      <w:pPr>
        <w:pStyle w:val="ArticleBody"/>
        <w:jc w:val="left"/>
      </w:pPr>
      <w:r>
        <w:rPr>
          <w:rFonts w:ascii="Times New Roman" w:hAnsi="Times New Roman" w:eastAsia="Times New Roman" w:cs="Times New Roman"/>
        </w:rPr>
        <w:t>Rəb iyirmi üç yüz illə əlaqədar peyğəmbərlik işığını artırmağı niyyət etmişdi və 1856-cı ildə O, daha artıq işığa qapı açdı; lakin növbəti yeddi il ərzində Adventizm o qapını bağladı. Yalnız 11 sentyabr 2001-ci ildən sonra Rəb peyğəmbərlik öyrənənləri Hiram Edsonun məqalələrinə yenidən yönəltdi və “yeddi vaxt”ın işığı bir daha artmağa başladı.</w:t>
      </w:r>
    </w:p>
    <w:p>
      <w:pPr>
        <w:pStyle w:val="ArticleBody"/>
        <w:jc w:val="left"/>
      </w:pPr>
      <w:r>
        <w:rPr>
          <w:rFonts w:ascii="Nirmala UI" w:hAnsi="Nirmala UI" w:eastAsia="Nirmala UI" w:cs="Nirmala UI"/>
        </w:rPr>
        <w:t>୨ଇଶ୍ୱରବାଦ</w:t>
      </w:r>
      <w:r>
        <w:rPr>
          <w:rFonts w:ascii="Times New Roman" w:hAnsi="Times New Roman" w:eastAsia="Times New Roman" w:cs="Times New Roman"/>
        </w:rPr>
        <w:t xml:space="preserve"> </w:t>
      </w:r>
      <w:r>
        <w:rPr>
          <w:rFonts w:ascii="Nirmala UI" w:hAnsi="Nirmala UI" w:eastAsia="Nirmala UI" w:cs="Nirmala UI"/>
        </w:rPr>
        <w:t>୨</w:t>
      </w:r>
      <w:r>
        <w:rPr>
          <w:rFonts w:ascii="Times New Roman" w:hAnsi="Times New Roman" w:eastAsia="Times New Roman" w:cs="Times New Roman"/>
        </w:rPr>
        <w:t>,</w:t>
      </w:r>
      <w:r>
        <w:rPr>
          <w:rFonts w:ascii="Nirmala UI" w:hAnsi="Nirmala UI" w:eastAsia="Nirmala UI" w:cs="Nirmala UI"/>
        </w:rPr>
        <w:t>୫୨୦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ଭବିଷ୍ୟବାଣୀ</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୨</w:t>
      </w:r>
      <w:r>
        <w:rPr>
          <w:rFonts w:ascii="Times New Roman" w:hAnsi="Times New Roman" w:eastAsia="Times New Roman" w:cs="Times New Roman"/>
        </w:rPr>
        <w:t>,</w:t>
      </w:r>
      <w:r>
        <w:rPr>
          <w:rFonts w:ascii="Nirmala UI" w:hAnsi="Nirmala UI" w:eastAsia="Nirmala UI" w:cs="Nirmala UI"/>
        </w:rPr>
        <w:t>୩୦୦</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ଭବିଷ୍ୟବାଣୀ</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ସମ୍ପର୍କକୁ</w:t>
      </w:r>
      <w:r>
        <w:rPr>
          <w:rFonts w:ascii="Times New Roman" w:hAnsi="Times New Roman" w:eastAsia="Times New Roman" w:cs="Times New Roman"/>
        </w:rPr>
        <w:t xml:space="preserve"> </w:t>
      </w:r>
      <w:r>
        <w:rPr>
          <w:rFonts w:ascii="Nirmala UI" w:hAnsi="Nirmala UI" w:eastAsia="Nirmala UI" w:cs="Nirmala UI"/>
        </w:rPr>
        <w:t>ଦେଖିବାକୁ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କରିଥିବାରୁ</w:t>
      </w:r>
      <w:r>
        <w:rPr>
          <w:rFonts w:ascii="Times New Roman" w:hAnsi="Times New Roman" w:eastAsia="Times New Roman" w:cs="Times New Roman"/>
        </w:rPr>
        <w:t xml:space="preserve">, </w:t>
      </w:r>
      <w:r>
        <w:rPr>
          <w:rFonts w:ascii="Nirmala UI" w:hAnsi="Nirmala UI" w:eastAsia="Nirmala UI" w:cs="Nirmala UI"/>
        </w:rPr>
        <w:t>ଆଡ୍ଭେଣ୍ଟିଜ୍ମ</w:t>
      </w:r>
      <w:r>
        <w:rPr>
          <w:rFonts w:ascii="Times New Roman" w:hAnsi="Times New Roman" w:eastAsia="Times New Roman" w:cs="Times New Roman"/>
        </w:rPr>
        <w:t xml:space="preserve"> October 22, 1844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ଅପୂର୍ଣ୍ଣ</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ସଙ୍କୁଚିତ</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ବୁଝିଲା।</w:t>
      </w:r>
    </w:p>
    <w:p>
      <w:pPr>
        <w:pStyle w:val="ArticleBody"/>
        <w:jc w:val="left"/>
      </w:pPr>
      <w:r>
        <w:rPr>
          <w:rFonts w:ascii="Times New Roman" w:hAnsi="Times New Roman" w:eastAsia="Times New Roman" w:cs="Times New Roman"/>
        </w:rPr>
        <w:t>С. С. Сноу бір рет айқышқа шегеленудің күнін нақтылаған соң, 1844 жылғы 22 қазан күні анықталды.</w:t>
      </w:r>
    </w:p>
    <w:p>
      <w:pPr>
        <w:pStyle w:val="ArticleScripture"/>
        <w:jc w:val="left"/>
      </w:pP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తెలిసికొని</w:t>
      </w:r>
      <w:r>
        <w:rPr>
          <w:rFonts w:ascii="Times New Roman" w:hAnsi="Times New Roman" w:eastAsia="Times New Roman" w:cs="Times New Roman"/>
        </w:rPr>
        <w:t xml:space="preserve"> </w:t>
      </w:r>
      <w:r>
        <w:rPr>
          <w:rFonts w:ascii="Nirmala UI" w:hAnsi="Nirmala UI" w:eastAsia="Nirmala UI" w:cs="Nirmala UI"/>
        </w:rPr>
        <w:t>గ్రహింపుము</w:t>
      </w:r>
      <w:r>
        <w:rPr>
          <w:rFonts w:ascii="Times New Roman" w:hAnsi="Times New Roman" w:eastAsia="Times New Roman" w:cs="Times New Roman"/>
        </w:rPr>
        <w:t xml:space="preserve">: </w:t>
      </w:r>
      <w:r>
        <w:rPr>
          <w:rFonts w:ascii="Nirmala UI" w:hAnsi="Nirmala UI" w:eastAsia="Nirmala UI" w:cs="Nirmala UI"/>
        </w:rPr>
        <w:t>యెరూషలేమును</w:t>
      </w:r>
      <w:r>
        <w:rPr>
          <w:rFonts w:ascii="Times New Roman" w:hAnsi="Times New Roman" w:eastAsia="Times New Roman" w:cs="Times New Roman"/>
        </w:rPr>
        <w:t xml:space="preserve"> </w:t>
      </w:r>
      <w:r>
        <w:rPr>
          <w:rFonts w:ascii="Nirmala UI" w:hAnsi="Nirmala UI" w:eastAsia="Nirmala UI" w:cs="Nirmala UI"/>
        </w:rPr>
        <w:t>పునరుద్ధరించి</w:t>
      </w:r>
      <w:r>
        <w:rPr>
          <w:rFonts w:ascii="Times New Roman" w:hAnsi="Times New Roman" w:eastAsia="Times New Roman" w:cs="Times New Roman"/>
        </w:rPr>
        <w:t xml:space="preserve"> </w:t>
      </w:r>
      <w:r>
        <w:rPr>
          <w:rFonts w:ascii="Nirmala UI" w:hAnsi="Nirmala UI" w:eastAsia="Nirmala UI" w:cs="Nirmala UI"/>
        </w:rPr>
        <w:t>కట్టవలెనని</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వెలువడిన</w:t>
      </w:r>
      <w:r>
        <w:rPr>
          <w:rFonts w:ascii="Times New Roman" w:hAnsi="Times New Roman" w:eastAsia="Times New Roman" w:cs="Times New Roman"/>
        </w:rPr>
        <w:t xml:space="preserve"> </w:t>
      </w:r>
      <w:r>
        <w:rPr>
          <w:rFonts w:ascii="Nirmala UI" w:hAnsi="Nirmala UI" w:eastAsia="Nirmala UI" w:cs="Nirmala UI"/>
        </w:rPr>
        <w:t>కాలమునుండి</w:t>
      </w:r>
      <w:r>
        <w:rPr>
          <w:rFonts w:ascii="Times New Roman" w:hAnsi="Times New Roman" w:eastAsia="Times New Roman" w:cs="Times New Roman"/>
        </w:rPr>
        <w:t xml:space="preserve"> </w:t>
      </w:r>
      <w:r>
        <w:rPr>
          <w:rFonts w:ascii="Nirmala UI" w:hAnsi="Nirmala UI" w:eastAsia="Nirmala UI" w:cs="Nirmala UI"/>
        </w:rPr>
        <w:t>అభిషిక్తుడైన</w:t>
      </w:r>
      <w:r>
        <w:rPr>
          <w:rFonts w:ascii="Times New Roman" w:hAnsi="Times New Roman" w:eastAsia="Times New Roman" w:cs="Times New Roman"/>
        </w:rPr>
        <w:t xml:space="preserve"> </w:t>
      </w:r>
      <w:r>
        <w:rPr>
          <w:rFonts w:ascii="Nirmala UI" w:hAnsi="Nirmala UI" w:eastAsia="Nirmala UI" w:cs="Nirmala UI"/>
        </w:rPr>
        <w:t>అధిపతి</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వారములు</w:t>
      </w:r>
      <w:r>
        <w:rPr>
          <w:rFonts w:ascii="Times New Roman" w:hAnsi="Times New Roman" w:eastAsia="Times New Roman" w:cs="Times New Roman"/>
        </w:rPr>
        <w:t xml:space="preserve">, </w:t>
      </w:r>
      <w:r>
        <w:rPr>
          <w:rFonts w:ascii="Nirmala UI" w:hAnsi="Nirmala UI" w:eastAsia="Nirmala UI" w:cs="Nirmala UI"/>
        </w:rPr>
        <w:t>అరువది</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వారములు</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కష్టకాలములందును</w:t>
      </w:r>
      <w:r>
        <w:rPr>
          <w:rFonts w:ascii="Times New Roman" w:hAnsi="Times New Roman" w:eastAsia="Times New Roman" w:cs="Times New Roman"/>
        </w:rPr>
        <w:t xml:space="preserve"> </w:t>
      </w:r>
      <w:r>
        <w:rPr>
          <w:rFonts w:ascii="Nirmala UI" w:hAnsi="Nirmala UI" w:eastAsia="Nirmala UI" w:cs="Nirmala UI"/>
        </w:rPr>
        <w:t>వీధియు</w:t>
      </w:r>
      <w:r>
        <w:rPr>
          <w:rFonts w:ascii="Times New Roman" w:hAnsi="Times New Roman" w:eastAsia="Times New Roman" w:cs="Times New Roman"/>
        </w:rPr>
        <w:t xml:space="preserve"> </w:t>
      </w:r>
      <w:r>
        <w:rPr>
          <w:rFonts w:ascii="Nirmala UI" w:hAnsi="Nirmala UI" w:eastAsia="Nirmala UI" w:cs="Nirmala UI"/>
        </w:rPr>
        <w:t>ప్రాకారమును</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కట్టబడును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అరువది</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వారముల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అభిషిక్తుడు</w:t>
      </w:r>
      <w:r>
        <w:rPr>
          <w:rFonts w:ascii="Times New Roman" w:hAnsi="Times New Roman" w:eastAsia="Times New Roman" w:cs="Times New Roman"/>
        </w:rPr>
        <w:t xml:space="preserve"> </w:t>
      </w:r>
      <w:r>
        <w:rPr>
          <w:rFonts w:ascii="Nirmala UI" w:hAnsi="Nirmala UI" w:eastAsia="Nirmala UI" w:cs="Nirmala UI"/>
        </w:rPr>
        <w:t>తొలగింపబడును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తనకొరకు</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అధిపతి</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పట్టణమును</w:t>
      </w:r>
      <w:r>
        <w:rPr>
          <w:rFonts w:ascii="Times New Roman" w:hAnsi="Times New Roman" w:eastAsia="Times New Roman" w:cs="Times New Roman"/>
        </w:rPr>
        <w:t xml:space="preserve"> </w:t>
      </w:r>
      <w:r>
        <w:rPr>
          <w:rFonts w:ascii="Nirmala UI" w:hAnsi="Nirmala UI" w:eastAsia="Nirmala UI" w:cs="Nirmala UI"/>
        </w:rPr>
        <w:t>పరిశుద్ధస్థలమును</w:t>
      </w:r>
      <w:r>
        <w:rPr>
          <w:rFonts w:ascii="Times New Roman" w:hAnsi="Times New Roman" w:eastAsia="Times New Roman" w:cs="Times New Roman"/>
        </w:rPr>
        <w:t xml:space="preserve"> </w:t>
      </w:r>
      <w:r>
        <w:rPr>
          <w:rFonts w:ascii="Nirmala UI" w:hAnsi="Nirmala UI" w:eastAsia="Nirmala UI" w:cs="Nirmala UI"/>
        </w:rPr>
        <w:t>నాశనము</w:t>
      </w:r>
      <w:r>
        <w:rPr>
          <w:rFonts w:ascii="Times New Roman" w:hAnsi="Times New Roman" w:eastAsia="Times New Roman" w:cs="Times New Roman"/>
        </w:rPr>
        <w:t xml:space="preserve"> </w:t>
      </w:r>
      <w:r>
        <w:rPr>
          <w:rFonts w:ascii="Nirmala UI" w:hAnsi="Nirmala UI" w:eastAsia="Nirmala UI" w:cs="Nirmala UI"/>
        </w:rPr>
        <w:t>చేయుదురు</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ప్రవాహమువలె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యుద్ధాంతమువరకు</w:t>
      </w:r>
      <w:r>
        <w:rPr>
          <w:rFonts w:ascii="Times New Roman" w:hAnsi="Times New Roman" w:eastAsia="Times New Roman" w:cs="Times New Roman"/>
        </w:rPr>
        <w:t xml:space="preserve"> </w:t>
      </w:r>
      <w:r>
        <w:rPr>
          <w:rFonts w:ascii="Nirmala UI" w:hAnsi="Nirmala UI" w:eastAsia="Nirmala UI" w:cs="Nirmala UI"/>
        </w:rPr>
        <w:t>పాడుబాట్లు</w:t>
      </w:r>
      <w:r>
        <w:rPr>
          <w:rFonts w:ascii="Times New Roman" w:hAnsi="Times New Roman" w:eastAsia="Times New Roman" w:cs="Times New Roman"/>
        </w:rPr>
        <w:t xml:space="preserve"> </w:t>
      </w:r>
      <w:r>
        <w:rPr>
          <w:rFonts w:ascii="Nirmala UI" w:hAnsi="Nirmala UI" w:eastAsia="Nirmala UI" w:cs="Nirmala UI"/>
        </w:rPr>
        <w:t>నిర్ణయింపబడినవే</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వారమంత</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అనేకులతో</w:t>
      </w:r>
      <w:r>
        <w:rPr>
          <w:rFonts w:ascii="Times New Roman" w:hAnsi="Times New Roman" w:eastAsia="Times New Roman" w:cs="Times New Roman"/>
        </w:rPr>
        <w:t xml:space="preserve"> </w:t>
      </w:r>
      <w:r>
        <w:rPr>
          <w:rFonts w:ascii="Nirmala UI" w:hAnsi="Nirmala UI" w:eastAsia="Nirmala UI" w:cs="Nirmala UI"/>
        </w:rPr>
        <w:t>నిబంధనను</w:t>
      </w:r>
      <w:r>
        <w:rPr>
          <w:rFonts w:ascii="Times New Roman" w:hAnsi="Times New Roman" w:eastAsia="Times New Roman" w:cs="Times New Roman"/>
        </w:rPr>
        <w:t xml:space="preserve"> </w:t>
      </w:r>
      <w:r>
        <w:rPr>
          <w:rFonts w:ascii="Nirmala UI" w:hAnsi="Nirmala UI" w:eastAsia="Nirmala UI" w:cs="Nirmala UI"/>
        </w:rPr>
        <w:t>స్థిరపరచును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వారమున</w:t>
      </w:r>
      <w:r>
        <w:rPr>
          <w:rFonts w:ascii="Times New Roman" w:hAnsi="Times New Roman" w:eastAsia="Times New Roman" w:cs="Times New Roman"/>
        </w:rPr>
        <w:t xml:space="preserve"> </w:t>
      </w:r>
      <w:r>
        <w:rPr>
          <w:rFonts w:ascii="Nirmala UI" w:hAnsi="Nirmala UI" w:eastAsia="Nirmala UI" w:cs="Nirmala UI"/>
        </w:rPr>
        <w:t>సగమున</w:t>
      </w:r>
      <w:r>
        <w:rPr>
          <w:rFonts w:ascii="Times New Roman" w:hAnsi="Times New Roman" w:eastAsia="Times New Roman" w:cs="Times New Roman"/>
        </w:rPr>
        <w:t xml:space="preserve"> </w:t>
      </w:r>
      <w:r>
        <w:rPr>
          <w:rFonts w:ascii="Nirmala UI" w:hAnsi="Nirmala UI" w:eastAsia="Nirmala UI" w:cs="Nirmala UI"/>
        </w:rPr>
        <w:t>బలియు</w:t>
      </w:r>
      <w:r>
        <w:rPr>
          <w:rFonts w:ascii="Times New Roman" w:hAnsi="Times New Roman" w:eastAsia="Times New Roman" w:cs="Times New Roman"/>
        </w:rPr>
        <w:t xml:space="preserve"> </w:t>
      </w:r>
      <w:r>
        <w:rPr>
          <w:rFonts w:ascii="Nirmala UI" w:hAnsi="Nirmala UI" w:eastAsia="Nirmala UI" w:cs="Nirmala UI"/>
        </w:rPr>
        <w:t>నైవేద్యమును</w:t>
      </w:r>
      <w:r>
        <w:rPr>
          <w:rFonts w:ascii="Times New Roman" w:hAnsi="Times New Roman" w:eastAsia="Times New Roman" w:cs="Times New Roman"/>
        </w:rPr>
        <w:t xml:space="preserve"> </w:t>
      </w:r>
      <w:r>
        <w:rPr>
          <w:rFonts w:ascii="Nirmala UI" w:hAnsi="Nirmala UI" w:eastAsia="Nirmala UI" w:cs="Nirmala UI"/>
        </w:rPr>
        <w:t>నిలిపివేయించును</w:t>
      </w:r>
      <w:r>
        <w:rPr>
          <w:rFonts w:ascii="Times New Roman" w:hAnsi="Times New Roman" w:eastAsia="Times New Roman" w:cs="Times New Roman"/>
        </w:rPr>
        <w:t xml:space="preserve">; </w:t>
      </w:r>
      <w:r>
        <w:rPr>
          <w:rFonts w:ascii="Nirmala UI" w:hAnsi="Nirmala UI" w:eastAsia="Nirmala UI" w:cs="Nirmala UI"/>
        </w:rPr>
        <w:t>హేయకార్యముల</w:t>
      </w:r>
      <w:r>
        <w:rPr>
          <w:rFonts w:ascii="Times New Roman" w:hAnsi="Times New Roman" w:eastAsia="Times New Roman" w:cs="Times New Roman"/>
        </w:rPr>
        <w:t xml:space="preserve"> </w:t>
      </w:r>
      <w:r>
        <w:rPr>
          <w:rFonts w:ascii="Nirmala UI" w:hAnsi="Nirmala UI" w:eastAsia="Nirmala UI" w:cs="Nirmala UI"/>
        </w:rPr>
        <w:t>విస్తారముచేత</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పాడుచేయును</w:t>
      </w:r>
      <w:r>
        <w:rPr>
          <w:rFonts w:ascii="Times New Roman" w:hAnsi="Times New Roman" w:eastAsia="Times New Roman" w:cs="Times New Roman"/>
        </w:rPr>
        <w:t xml:space="preserve">; </w:t>
      </w:r>
      <w:r>
        <w:rPr>
          <w:rFonts w:ascii="Nirmala UI" w:hAnsi="Nirmala UI" w:eastAsia="Nirmala UI" w:cs="Nirmala UI"/>
        </w:rPr>
        <w:t>నిర్ణయింపబడిన</w:t>
      </w:r>
      <w:r>
        <w:rPr>
          <w:rFonts w:ascii="Times New Roman" w:hAnsi="Times New Roman" w:eastAsia="Times New Roman" w:cs="Times New Roman"/>
        </w:rPr>
        <w:t xml:space="preserve"> </w:t>
      </w:r>
      <w:r>
        <w:rPr>
          <w:rFonts w:ascii="Nirmala UI" w:hAnsi="Nirmala UI" w:eastAsia="Nirmala UI" w:cs="Nirmala UI"/>
        </w:rPr>
        <w:t>అంతమువరకు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నిర్ణీతమైనది</w:t>
      </w:r>
      <w:r>
        <w:rPr>
          <w:rFonts w:ascii="Times New Roman" w:hAnsi="Times New Roman" w:eastAsia="Times New Roman" w:cs="Times New Roman"/>
        </w:rPr>
        <w:t xml:space="preserve"> </w:t>
      </w:r>
      <w:r>
        <w:rPr>
          <w:rFonts w:ascii="Nirmala UI" w:hAnsi="Nirmala UI" w:eastAsia="Nirmala UI" w:cs="Nirmala UI"/>
        </w:rPr>
        <w:t>పాడైన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కుమ్మరింపబడును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9:25–27.</w:t>
      </w:r>
    </w:p>
    <w:p>
      <w:pPr>
        <w:pStyle w:val="ArticleBody"/>
        <w:jc w:val="left"/>
      </w:pPr>
      <w:r>
        <w:rPr>
          <w:rFonts w:ascii="Times New Roman" w:hAnsi="Times New Roman" w:eastAsia="Times New Roman" w:cs="Times New Roman"/>
        </w:rPr>
        <w:t>Milleritakunaqa Jesucristo cruzpi wañusqan p’unchawta allinta reqsirqanku, chaymanta iskay chunka kinsa pachak watakunapa tukukuyninpas reqsichisqa karqa. “Messiaspa kuchusqa kaynin” “semanaq chawpinpi”, maypichus Cristo “pactota” takyachirqan, judíokuna pruebanankupaq tiemponkuta hunt’aspa junt’achisqankurayku, chayta “abominacionkunapa mast’ariynin” nisqapi rikuchisqa hina, chaypas reqsichisqa karqa. Cruzqa historiaq señalanan hina tukurqa, mayqenchus “Medianochepa Qapariynin” willakuypa reqsikuyninpaq ancha necesitakusqa karqa.</w:t>
      </w:r>
    </w:p>
    <w:p>
      <w:pPr>
        <w:pStyle w:val="ArticleBody"/>
        <w:jc w:val="left"/>
      </w:pPr>
      <w:r>
        <w:rPr>
          <w:rFonts w:ascii="Times New Roman" w:hAnsi="Times New Roman" w:eastAsia="Times New Roman" w:cs="Times New Roman"/>
        </w:rPr>
        <w:t>Хэдийгээр Бурханы хүчийг ийнхүү хүчтэйгээр илрүүлсэн эшлэлүүдэд гэрэл агуулагдаж байсан боловч Миллерчүүд Даниелын хоёр үзэгдлийн харилцан холбоог ойлгох хүслийг илэрхийлсэн тэрхүү эшлэлүүдийн ойлголтод хэзээ ч хүрээгүй. Христ гэрээг баталсан долоо хоног нь хоёр үед хуваагдсан бөгөөд Эгч Уайт хожим нь үүнийг эхлээд Христийн биечлэн үйлчилсэн гурван жил хагасын үйлчлэл, дараа нь шавь нараар төлөөлөгдсөн Түүний үйлчлэлийг илэрхийлдэг хэмээн тодорхойлсон. Тэд загалмайн түүхэн тэмдэг нь 1844 оны 10-р сарын 22-ны өдрийг тогтоох тулгуур болсныг харсан боловч, энэ нь мөн адил гурван жил хагасын хоёр ижил хугацааны төвийг илэрхийлж, улмаар Бурхан Мосегоор дамжуулан Өөрийн “гэрээний хэрүүл” хэмээн нэрлэсэн “долоон цаг”-ийг төлөөлж байсныг олж хараагүй юм.</w:t>
      </w:r>
    </w:p>
    <w:p>
      <w:pPr>
        <w:pStyle w:val="ArticleScripture"/>
        <w:jc w:val="left"/>
      </w:pPr>
      <w:r>
        <w:rPr>
          <w:rFonts w:ascii="Times New Roman" w:hAnsi="Times New Roman" w:eastAsia="Times New Roman" w:cs="Times New Roman"/>
        </w:rPr>
        <w:t>Tɨɨn nyi n maa kɨn tɔɔr kpa la ŋun, n kpa n pʋn ŋun la nyɔŋa kʋsii nyetaa nɛ ŋun yɛla. N maa ta mʋhʋŋ la ŋun zʋ, ka mʋhʋŋ bɛ ta tɔɔr nɛ m covenant la daam; la tɨɨn ŋun yɛr la ŋun tɛɛr ŋun tɔŋa pʋɔ, n maa tʋm la kpamkpam la ŋun sʋɔŋ; la bɛ maa zɨ ŋun nɔɔ la kɔɔr la nuu. Leviticus 26:24, 25.</w:t>
      </w:r>
    </w:p>
    <w:p>
      <w:pPr>
        <w:pStyle w:val="ArticleBody"/>
        <w:jc w:val="left"/>
      </w:pPr>
      <w:r>
        <w:rPr>
          <w:rFonts w:ascii="Times New Roman" w:hAnsi="Times New Roman" w:eastAsia="Times New Roman" w:cs="Times New Roman"/>
        </w:rPr>
        <w:t>Ao Kristo o xaqiijinayey axdiga kuwa badan la leh, wuxuu ahaa axdigii uu muranka ka qabay Yuhuuddii caasiyiinta ahayd. “Muranka axdigiisa” wuxuu billowday 723 BC, markii reer Ashuur boqortooyadii woqooyi maxaabiis ahaan u kaxeeyeen, dabadeedna kun iyo laba boqol iyo lixdan maalmood oo nebiyadeed ayuu jaahilnimadu ku tumatay Israa’iilkii muuqda. Tumashadaasna waxaa markaas xigtay kun iyo laba boqol iyo lixdan maalmood oo nebiyadeed oo kale, oo baabanimadu ku tumanayey Israa’iilka ruuxiga ah.</w:t>
      </w:r>
    </w:p>
    <w:p>
      <w:pPr>
        <w:pStyle w:val="ArticleBody"/>
        <w:jc w:val="left"/>
      </w:pPr>
      <w:r>
        <w:rPr>
          <w:rFonts w:ascii="Times New Roman" w:hAnsi="Times New Roman" w:eastAsia="Times New Roman" w:cs="Times New Roman"/>
        </w:rPr>
        <w:t>Ang propetikong linggo na doo’y pinagtibay ni Cristo ang tipan, bilang katuparan ng pangitain ng dalawang libo at tatlong daang taon, ay kumatawan din sa pangitain ng dalawang libo at limang daan at dalawampung taon. Sapat na nakilala ng mga Millerita ang hula ng dalawang libo at tatlong daang taon upang wastong ipahayag ang pabalita ng Sigaw sa Hatinggabi, ngunit pinili nilang tanggihan ang ilang bahagi ng liwanag na nilayong ipabatid ng pagpapaliwanag ni Gabriel sa kabanata siyam.</w:t>
      </w:r>
    </w:p>
    <w:p>
      <w:pPr>
        <w:pStyle w:val="ArticleBody"/>
        <w:jc w:val="left"/>
      </w:pP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ဒန်ယေလအား</w:t>
      </w:r>
      <w:r>
        <w:rPr>
          <w:rFonts w:ascii="Times New Roman" w:hAnsi="Times New Roman" w:eastAsia="Times New Roman" w:cs="Times New Roman"/>
        </w:rPr>
        <w:t xml:space="preserve"> “matter” </w:t>
      </w:r>
      <w:r>
        <w:rPr>
          <w:rFonts w:ascii="Myanmar Text" w:hAnsi="Myanmar Text" w:eastAsia="Myanmar Text" w:cs="Myanmar Text"/>
        </w:rPr>
        <w:t>နှင့်</w:t>
      </w:r>
      <w:r>
        <w:rPr>
          <w:rFonts w:ascii="Times New Roman" w:hAnsi="Times New Roman" w:eastAsia="Times New Roman" w:cs="Times New Roman"/>
        </w:rPr>
        <w:t xml:space="preserve"> “vision”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ရူပါရုံနှစ်ပါးကို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ခွဲခြားနားလည်ရန်</w:t>
      </w:r>
      <w:r>
        <w:rPr>
          <w:rFonts w:ascii="Times New Roman" w:hAnsi="Times New Roman" w:eastAsia="Times New Roman" w:cs="Times New Roman"/>
        </w:rPr>
        <w:t xml:space="preserve"> (</w:t>
      </w:r>
      <w:r>
        <w:rPr>
          <w:rFonts w:ascii="Myanmar Text" w:hAnsi="Myanmar Text" w:eastAsia="Myanmar Text" w:cs="Myanmar Text"/>
        </w:rPr>
        <w:t>စိတ်တွင်</w:t>
      </w:r>
      <w:r>
        <w:rPr>
          <w:rFonts w:ascii="Times New Roman" w:hAnsi="Times New Roman" w:eastAsia="Times New Roman" w:cs="Times New Roman"/>
        </w:rPr>
        <w:t xml:space="preserve"> </w:t>
      </w:r>
      <w:r>
        <w:rPr>
          <w:rFonts w:ascii="Myanmar Text" w:hAnsi="Myanmar Text" w:eastAsia="Myanmar Text" w:cs="Myanmar Text"/>
        </w:rPr>
        <w:t>သီးခြားခွဲထုတ်ရန်</w:t>
      </w:r>
      <w:r>
        <w:rPr>
          <w:rFonts w:ascii="Times New Roman" w:hAnsi="Times New Roman" w:eastAsia="Times New Roman" w:cs="Times New Roman"/>
        </w:rPr>
        <w:t xml:space="preserve">) </w:t>
      </w:r>
      <w:r>
        <w:rPr>
          <w:rFonts w:ascii="Myanmar Text" w:hAnsi="Myanmar Text" w:eastAsia="Myanmar Text" w:cs="Myanmar Text"/>
        </w:rPr>
        <w:t>ညွှန်ကြားခဲ့သည်။</w:t>
      </w:r>
      <w:r>
        <w:rPr>
          <w:rFonts w:ascii="Times New Roman" w:hAnsi="Times New Roman" w:eastAsia="Times New Roman" w:cs="Times New Roman"/>
        </w:rPr>
        <w:t xml:space="preserve"> </w:t>
      </w:r>
      <w:r>
        <w:rPr>
          <w:rFonts w:ascii="Myanmar Text" w:hAnsi="Myanmar Text" w:eastAsia="Myanmar Text" w:cs="Myanmar Text"/>
        </w:rPr>
        <w:t>ထိုအကြံဉာဏ်၏</w:t>
      </w:r>
      <w:r>
        <w:rPr>
          <w:rFonts w:ascii="Times New Roman" w:hAnsi="Times New Roman" w:eastAsia="Times New Roman" w:cs="Times New Roman"/>
        </w:rPr>
        <w:t xml:space="preserve"> </w:t>
      </w:r>
      <w:r>
        <w:rPr>
          <w:rFonts w:ascii="Myanmar Text" w:hAnsi="Myanmar Text" w:eastAsia="Myanmar Text" w:cs="Myanmar Text"/>
        </w:rPr>
        <w:t>ပြည့်စုံခြင်းအနေဖြင့်လည်း</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“seven times”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သင်္ကေတဖြစ်သော</w:t>
      </w:r>
      <w:r>
        <w:rPr>
          <w:rFonts w:ascii="Times New Roman" w:hAnsi="Times New Roman" w:eastAsia="Times New Roman" w:cs="Times New Roman"/>
        </w:rPr>
        <w:t xml:space="preserve"> </w:t>
      </w:r>
      <w:r>
        <w:rPr>
          <w:rFonts w:ascii="Myanmar Text" w:hAnsi="Myanmar Text" w:eastAsia="Myanmar Text" w:cs="Myanmar Text"/>
        </w:rPr>
        <w:t>သီတင်းပတ်</w:t>
      </w:r>
      <w:r>
        <w:rPr>
          <w:rFonts w:ascii="Times New Roman" w:hAnsi="Times New Roman" w:eastAsia="Times New Roman" w:cs="Times New Roman"/>
        </w:rPr>
        <w:t xml:space="preserve"> </w:t>
      </w:r>
      <w:r>
        <w:rPr>
          <w:rFonts w:ascii="Myanmar Text" w:hAnsi="Myanmar Text" w:eastAsia="Myanmar Text" w:cs="Myanmar Text"/>
        </w:rPr>
        <w:t>ခုနစ်ဆယ်နှင့်</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နှစ်ထောင်သုံးရာတို့၏</w:t>
      </w:r>
      <w:r>
        <w:rPr>
          <w:rFonts w:ascii="Times New Roman" w:hAnsi="Times New Roman" w:eastAsia="Times New Roman" w:cs="Times New Roman"/>
        </w:rPr>
        <w:t xml:space="preserve"> </w:t>
      </w:r>
      <w:r>
        <w:rPr>
          <w:rFonts w:ascii="Myanmar Text" w:hAnsi="Myanmar Text" w:eastAsia="Myanmar Text" w:cs="Myanmar Text"/>
        </w:rPr>
        <w:t>အပြန်အလှန်ဆက်နွှယ်မှုကို</w:t>
      </w:r>
      <w:r>
        <w:rPr>
          <w:rFonts w:ascii="Times New Roman" w:hAnsi="Times New Roman" w:eastAsia="Times New Roman" w:cs="Times New Roman"/>
        </w:rPr>
        <w:t xml:space="preserve"> </w:t>
      </w:r>
      <w:r>
        <w:rPr>
          <w:rFonts w:ascii="Myanmar Text" w:hAnsi="Myanmar Text" w:eastAsia="Myanmar Text" w:cs="Myanmar Text"/>
        </w:rPr>
        <w:t>နားလည်ရန်</w:t>
      </w:r>
      <w:r>
        <w:rPr>
          <w:rFonts w:ascii="Times New Roman" w:hAnsi="Times New Roman" w:eastAsia="Times New Roman" w:cs="Times New Roman"/>
        </w:rPr>
        <w:t xml:space="preserve"> </w:t>
      </w:r>
      <w:r>
        <w:rPr>
          <w:rFonts w:ascii="Myanmar Text" w:hAnsi="Myanmar Text" w:eastAsia="Myanmar Text" w:cs="Myanmar Text"/>
        </w:rPr>
        <w:t>ကြိုးပမ်းစဉ်၌</w:t>
      </w:r>
      <w:r>
        <w:rPr>
          <w:rFonts w:ascii="Times New Roman" w:hAnsi="Times New Roman" w:eastAsia="Times New Roman" w:cs="Times New Roman"/>
        </w:rPr>
        <w:t xml:space="preserve"> </w:t>
      </w:r>
      <w:r>
        <w:rPr>
          <w:rFonts w:ascii="Myanmar Text" w:hAnsi="Myanmar Text" w:eastAsia="Myanmar Text" w:cs="Myanmar Text"/>
        </w:rPr>
        <w:t>ဤအရာပင်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အဓိကဝန်ထုပ်ဝန်ပိုးဖြစ်ခဲ့ကြောင်း</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အသိပေးထားသည်။</w:t>
      </w:r>
    </w:p>
    <w:p>
      <w:pPr>
        <w:pStyle w:val="ArticleBody"/>
        <w:jc w:val="left"/>
      </w:pPr>
      <w:r>
        <w:rPr>
          <w:rFonts w:ascii="Times New Roman" w:hAnsi="Times New Roman" w:eastAsia="Times New Roman" w:cs="Times New Roman"/>
        </w:rPr>
        <w:t>Na Adventismo a rejeição dos “sete tempos” colocou-os numa posição em que não podiam compreender que o primeiro período de quatrocentos e noventa anos, que foi cortado dos dois mil e trezentos anos, representava a rebelião da aliança que Moisés identifica como a “contenda da sua aliança”.</w:t>
      </w:r>
    </w:p>
    <w:p>
      <w:pPr>
        <w:pStyle w:val="ArticleBody"/>
        <w:jc w:val="left"/>
      </w:pPr>
      <w:r>
        <w:rPr>
          <w:rFonts w:ascii="Times New Roman" w:hAnsi="Times New Roman" w:eastAsia="Times New Roman" w:cs="Times New Roman"/>
        </w:rPr>
        <w:t>Anin nallapaaqqusaq sapaatip-akunnerata qeqqani pisimasoq ulluliinarmik erseqqissaataanngitsoq paasiniarnissaat mattunneqarsimavoq; tassami taanna Kristusip Israellip naalannginneranut atatillugu isumaqatigiissutip aavanik tunngavigalugu saqitsuunnerata qiterpiarsuanik nammineq erseqqissaavoq. Tappiitsuunerat pissutigalugu paasineqanngilaq, kiffaanngissutsip niaqorngani amerlasuunut kuineqartoq aak, taassumalu isumaqatigiissutaa aalajangersarlugu, aamma Leviticus 25-mi aamma 26-mi saqqummiunneqartoq isumaqatigiissut aalajangersaraa.</w:t>
      </w:r>
    </w:p>
    <w:p>
      <w:pPr>
        <w:pStyle w:val="ArticleBody"/>
        <w:jc w:val="left"/>
      </w:pPr>
      <w:r>
        <w:rPr>
          <w:rFonts w:ascii="Times New Roman" w:hAnsi="Times New Roman" w:eastAsia="Times New Roman" w:cs="Times New Roman"/>
        </w:rPr>
        <w:t>Զինու հին ազգը իր վրա առաւ ուխտ մը, ուր անոնք ուխտը սահմանեցին իբրեւ իրենց հռչակումը՝ «Տէրը ինչ որ ըսաւ, բոլորը պիտի ընենք», բոլորովին անտեղեակ ըլլալով, որ այն ուխտը, զոր Քրիստոս կ՚առաջարկէր, կը պահանջէր, որ Իր օրէնքը սրտին վրայ գրուի։ Ուխտի պայմաններուն վերաբերեալ անոնց փարիսեցիական ըմբռնումը արգիլեց, որ ճշմարիտ ուխտը հասկնան եւ ընդունին։</w:t>
      </w:r>
    </w:p>
    <w:p>
      <w:pPr>
        <w:pStyle w:val="ArticleBody"/>
        <w:jc w:val="left"/>
      </w:pPr>
      <w:r>
        <w:rPr>
          <w:rFonts w:ascii="Times New Roman" w:hAnsi="Times New Roman" w:eastAsia="Times New Roman" w:cs="Times New Roman"/>
        </w:rPr>
        <w:t>Сучасний Ізраїль визначив кров хреста посеред тижня в таких поняттях, які спричиняють для сучасного Ізраїлю ту саму сліпоту, що була на давньому Ізраїлі, коли вони відкинули Месію і проголосили, що не мають царя, крім кесаря.</w:t>
      </w:r>
    </w:p>
    <w:p>
      <w:pPr>
        <w:pStyle w:val="ArticleBody"/>
        <w:jc w:val="left"/>
      </w:pPr>
      <w:r>
        <w:rPr>
          <w:rFonts w:ascii="Javanese Text" w:hAnsi="Javanese Text" w:eastAsia="Javanese Text" w:cs="Javanese Text"/>
        </w:rPr>
        <w:t>ꦆꦱꦿꦌꦭ</w:t>
      </w:r>
      <w:r>
        <w:rPr>
          <w:rFonts w:ascii="Times New Roman" w:hAnsi="Times New Roman" w:eastAsia="Times New Roman" w:cs="Times New Roman"/>
        </w:rPr>
        <w:t xml:space="preserve"> </w:t>
      </w:r>
      <w:r>
        <w:rPr>
          <w:rFonts w:ascii="Javanese Text" w:hAnsi="Javanese Text" w:eastAsia="Javanese Text" w:cs="Javanese Text"/>
        </w:rPr>
        <w:t>ꦩꦺꦴꦢꦼꦂꦤ꧀</w:t>
      </w:r>
      <w:r>
        <w:rPr>
          <w:rFonts w:ascii="Times New Roman" w:hAnsi="Times New Roman" w:eastAsia="Times New Roman" w:cs="Times New Roman"/>
        </w:rPr>
        <w:t xml:space="preserve"> </w:t>
      </w:r>
      <w:r>
        <w:rPr>
          <w:rFonts w:ascii="Javanese Text" w:hAnsi="Javanese Text" w:eastAsia="Javanese Text" w:cs="Javanese Text"/>
        </w:rPr>
        <w:t>ꦢꦶꦥꦸꦠꦸꦢꦏ꧀</w:t>
      </w:r>
      <w:r>
        <w:rPr>
          <w:rFonts w:ascii="Times New Roman" w:hAnsi="Times New Roman" w:eastAsia="Times New Roman" w:cs="Times New Roman"/>
        </w:rPr>
        <w:t xml:space="preserve"> </w:t>
      </w:r>
      <w:r>
        <w:rPr>
          <w:rFonts w:ascii="Javanese Text" w:hAnsi="Javanese Text" w:eastAsia="Javanese Text" w:cs="Javanese Text"/>
        </w:rPr>
        <w:t>ꦧꦸꦠꦭ꧀</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ꦥꦤ꧀ꦗꦼꦤꦼꦁꦔꦤ꧀ꦺꦴꦤ꧀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ꦒꦧꦿꦶꦌꦭ꧀</w:t>
      </w:r>
      <w:r>
        <w:rPr>
          <w:rFonts w:ascii="Times New Roman" w:hAnsi="Times New Roman" w:eastAsia="Times New Roman" w:cs="Times New Roman"/>
        </w:rPr>
        <w:t xml:space="preserve"> </w:t>
      </w:r>
      <w:r>
        <w:rPr>
          <w:rFonts w:ascii="Javanese Text" w:hAnsi="Javanese Text" w:eastAsia="Javanese Text" w:cs="Javanese Text"/>
        </w:rPr>
        <w:t>ꦲꦸꦫꦻꦏꦏꦺ</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ꦢꦤꦶꦌꦭ꧀</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ꦏꦼꦩꦫꦁ</w:t>
      </w:r>
      <w:r>
        <w:rPr>
          <w:rFonts w:ascii="Times New Roman" w:hAnsi="Times New Roman" w:eastAsia="Times New Roman" w:cs="Times New Roman"/>
        </w:rPr>
        <w:t xml:space="preserve"> </w:t>
      </w:r>
      <w:r>
        <w:rPr>
          <w:rFonts w:ascii="Javanese Text" w:hAnsi="Javanese Text" w:eastAsia="Javanese Text" w:cs="Javanese Text"/>
        </w:rPr>
        <w:t>ꦙꦸꦒ</w:t>
      </w:r>
      <w:r>
        <w:rPr>
          <w:rFonts w:ascii="Times New Roman" w:hAnsi="Times New Roman" w:eastAsia="Times New Roman" w:cs="Times New Roman"/>
        </w:rPr>
        <w:t xml:space="preserve"> </w:t>
      </w:r>
      <w:r>
        <w:rPr>
          <w:rFonts w:ascii="Javanese Text" w:hAnsi="Javanese Text" w:eastAsia="Javanese Text" w:cs="Javanese Text"/>
        </w:rPr>
        <w:t>ꦁꦏꦸꦥ꧀</w:t>
      </w:r>
      <w:r>
        <w:rPr>
          <w:rFonts w:ascii="Times New Roman" w:hAnsi="Times New Roman" w:eastAsia="Times New Roman" w:cs="Times New Roman"/>
        </w:rPr>
        <w:t xml:space="preserve"> </w:t>
      </w:r>
      <w:r>
        <w:rPr>
          <w:rFonts w:ascii="Javanese Text" w:hAnsi="Javanese Text" w:eastAsia="Javanese Text" w:cs="Javanese Text"/>
        </w:rPr>
        <w:t>ꦥꦥꦼꦴꦛꦼꦏꦤ꧀ꦲꦶꦁ</w:t>
      </w:r>
      <w:r>
        <w:rPr>
          <w:rFonts w:ascii="Times New Roman" w:hAnsi="Times New Roman" w:eastAsia="Times New Roman" w:cs="Times New Roman"/>
        </w:rPr>
        <w:t xml:space="preserve"> </w:t>
      </w:r>
      <w:r>
        <w:rPr>
          <w:rFonts w:ascii="Javanese Text" w:hAnsi="Javanese Text" w:eastAsia="Javanese Text" w:cs="Javanese Text"/>
        </w:rPr>
        <w:t>ꦥꦿꦗꦤ꧀ꦗꦶꦪꦤ꧀</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ꦙꦸꦒ</w:t>
      </w:r>
      <w:r>
        <w:rPr>
          <w:rFonts w:ascii="Times New Roman" w:hAnsi="Times New Roman" w:eastAsia="Times New Roman" w:cs="Times New Roman"/>
        </w:rPr>
        <w:t xml:space="preserve"> </w:t>
      </w:r>
      <w:r>
        <w:rPr>
          <w:rFonts w:ascii="Javanese Text" w:hAnsi="Javanese Text" w:eastAsia="Javanese Text" w:cs="Javanese Text"/>
        </w:rPr>
        <w:t>ꦥꦼꦥꦼꦴꦃꦫꦤ꧀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ꦊꦏꦱꦤꦏꦺ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ꦗꦠꦶ</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ꦥꦿꦗꦤ꧀ꦗꦶꦪꦤ꧀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awit ayat-ayat mau nuduhaké yèn Rum kapir (sang pangéran kang bakal rawuh) bakal ngrusak kutha lan pasucèn, lan yèn nganti tekan pungkasaning perang (kang ngidak-idak pasucèn lan balané), “karusakan-karusakan,” kanthi wujud jamak, wus katetepaké.</w:t>
      </w:r>
    </w:p>
    <w:p>
      <w:pPr>
        <w:pStyle w:val="ArticleBody"/>
        <w:jc w:val="left"/>
      </w:pPr>
      <w:r>
        <w:rPr>
          <w:rFonts w:ascii="Myanmar Text" w:hAnsi="Myanmar Text" w:eastAsia="Myanmar Text" w:cs="Myanmar Text"/>
        </w:rPr>
        <w:t>မေရှိဟ်သည်</w:t>
      </w:r>
      <w:r>
        <w:rPr>
          <w:rFonts w:ascii="Times New Roman" w:hAnsi="Times New Roman" w:eastAsia="Times New Roman" w:cs="Times New Roman"/>
        </w:rPr>
        <w:t xml:space="preserve"> </w:t>
      </w:r>
      <w:r>
        <w:rPr>
          <w:rFonts w:ascii="Myanmar Text" w:hAnsi="Myanmar Text" w:eastAsia="Myanmar Text" w:cs="Myanmar Text"/>
        </w:rPr>
        <w:t>လူအများအတွက်</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အတည်ပြုရန်</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အသွေးတော်ကို</w:t>
      </w:r>
      <w:r>
        <w:rPr>
          <w:rFonts w:ascii="Times New Roman" w:hAnsi="Times New Roman" w:eastAsia="Times New Roman" w:cs="Times New Roman"/>
        </w:rPr>
        <w:t xml:space="preserve"> </w:t>
      </w:r>
      <w:r>
        <w:rPr>
          <w:rFonts w:ascii="Myanmar Text" w:hAnsi="Myanmar Text" w:eastAsia="Myanmar Text" w:cs="Myanmar Text"/>
        </w:rPr>
        <w:t>သွန်းလောင်းခဲ့သော</w:t>
      </w:r>
      <w:r>
        <w:rPr>
          <w:rFonts w:ascii="Times New Roman" w:hAnsi="Times New Roman" w:eastAsia="Times New Roman" w:cs="Times New Roman"/>
        </w:rPr>
        <w:t xml:space="preserve"> </w:t>
      </w:r>
      <w:r>
        <w:rPr>
          <w:rFonts w:ascii="Myanmar Text" w:hAnsi="Myanmar Text" w:eastAsia="Myanmar Text" w:cs="Myanmar Text"/>
        </w:rPr>
        <w:t>ထိုသမိုင်းတွင်၊</w:t>
      </w:r>
      <w:r>
        <w:rPr>
          <w:rFonts w:ascii="Times New Roman" w:hAnsi="Times New Roman" w:eastAsia="Times New Roman" w:cs="Times New Roman"/>
        </w:rPr>
        <w:t xml:space="preserve"> </w:t>
      </w:r>
      <w:r>
        <w:rPr>
          <w:rFonts w:ascii="Myanmar Text" w:hAnsi="Myanmar Text" w:eastAsia="Myanmar Text" w:cs="Myanmar Text"/>
        </w:rPr>
        <w:t>ဖျက်ဆီးပျက်စီးစေသော</w:t>
      </w:r>
      <w:r>
        <w:rPr>
          <w:rFonts w:ascii="Times New Roman" w:hAnsi="Times New Roman" w:eastAsia="Times New Roman" w:cs="Times New Roman"/>
        </w:rPr>
        <w:t xml:space="preserve"> </w:t>
      </w:r>
      <w:r>
        <w:rPr>
          <w:rFonts w:ascii="Myanmar Text" w:hAnsi="Myanmar Text" w:eastAsia="Myanmar Text" w:cs="Myanmar Text"/>
        </w:rPr>
        <w:t>အင်အားနှစ်ရပ်ဖြစ်သည့်</w:t>
      </w:r>
      <w:r>
        <w:rPr>
          <w:rFonts w:ascii="Times New Roman" w:hAnsi="Times New Roman" w:eastAsia="Times New Roman" w:cs="Times New Roman"/>
        </w:rPr>
        <w:t xml:space="preserve"> </w:t>
      </w:r>
      <w:r>
        <w:rPr>
          <w:rFonts w:ascii="Myanmar Text" w:hAnsi="Myanmar Text" w:eastAsia="Myanmar Text" w:cs="Myanmar Text"/>
        </w:rPr>
        <w:t>သာသနာမတိုင်မီ</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ပုပ်ရဟန်းမင်းကြီးအာဏာပိုင်</w:t>
      </w:r>
      <w:r>
        <w:rPr>
          <w:rFonts w:ascii="Times New Roman" w:hAnsi="Times New Roman" w:eastAsia="Times New Roman" w:cs="Times New Roman"/>
        </w:rPr>
        <w:t xml:space="preserve"> </w:t>
      </w:r>
      <w:r>
        <w:rPr>
          <w:rFonts w:ascii="Myanmar Text" w:hAnsi="Myanmar Text" w:eastAsia="Myanmar Text" w:cs="Myanmar Text"/>
        </w:rPr>
        <w:t>ရောမတို့ကို</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ခွဲခြားဖော်ထုတ်ထားသည်။</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သွန်းလောင်းခဲ့သော</w:t>
      </w:r>
      <w:r>
        <w:rPr>
          <w:rFonts w:ascii="Times New Roman" w:hAnsi="Times New Roman" w:eastAsia="Times New Roman" w:cs="Times New Roman"/>
        </w:rPr>
        <w:t xml:space="preserve"> </w:t>
      </w:r>
      <w:r>
        <w:rPr>
          <w:rFonts w:ascii="Myanmar Text" w:hAnsi="Myanmar Text" w:eastAsia="Myanmar Text" w:cs="Myanmar Text"/>
        </w:rPr>
        <w:t>ထိုအသွေးတော်ကိုပင်</w:t>
      </w:r>
      <w:r>
        <w:rPr>
          <w:rFonts w:ascii="Times New Roman" w:hAnsi="Times New Roman" w:eastAsia="Times New Roman" w:cs="Times New Roman"/>
        </w:rPr>
        <w:t xml:space="preserve"> </w:t>
      </w:r>
      <w:r>
        <w:rPr>
          <w:rFonts w:ascii="Myanmar Text" w:hAnsi="Myanmar Text" w:eastAsia="Myanmar Text" w:cs="Myanmar Text"/>
        </w:rPr>
        <w:t>မေရှိဟ်သည်</w:t>
      </w:r>
      <w:r>
        <w:rPr>
          <w:rFonts w:ascii="Times New Roman" w:hAnsi="Times New Roman" w:eastAsia="Times New Roman" w:cs="Times New Roman"/>
        </w:rPr>
        <w:t xml:space="preserve"> </w:t>
      </w:r>
      <w:r>
        <w:rPr>
          <w:rFonts w:ascii="Myanmar Text" w:hAnsi="Myanmar Text" w:eastAsia="Myanmar Text" w:cs="Myanmar Text"/>
        </w:rPr>
        <w:t>ကောင်းကင်ဗိမာန်တော်ထဲသို့</w:t>
      </w:r>
      <w:r>
        <w:rPr>
          <w:rFonts w:ascii="Times New Roman" w:hAnsi="Times New Roman" w:eastAsia="Times New Roman" w:cs="Times New Roman"/>
        </w:rPr>
        <w:t xml:space="preserve"> </w:t>
      </w:r>
      <w:r>
        <w:rPr>
          <w:rFonts w:ascii="Myanmar Text" w:hAnsi="Myanmar Text" w:eastAsia="Myanmar Text" w:cs="Myanmar Text"/>
        </w:rPr>
        <w:t>ယူဆောင်ဝင်ရောက်တော်မူပြီး၊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နှစ်ထောင့်သုံးရာ</w:t>
      </w:r>
      <w:r>
        <w:rPr>
          <w:rFonts w:ascii="Times New Roman" w:hAnsi="Times New Roman" w:eastAsia="Times New Roman" w:cs="Times New Roman"/>
        </w:rPr>
        <w:t xml:space="preserve"> “mareh”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ကိုယ်စားပြုဖော်ပြသော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တပ်အဖွဲ့ကို</w:t>
      </w:r>
      <w:r>
        <w:rPr>
          <w:rFonts w:ascii="Times New Roman" w:hAnsi="Times New Roman" w:eastAsia="Times New Roman" w:cs="Times New Roman"/>
        </w:rPr>
        <w:t xml:space="preserve"> </w:t>
      </w:r>
      <w:r>
        <w:rPr>
          <w:rFonts w:ascii="Myanmar Text" w:hAnsi="Myanmar Text" w:eastAsia="Myanmar Text" w:cs="Myanmar Text"/>
        </w:rPr>
        <w:t>နင်းချေဖျက်ဆီးမည့်</w:t>
      </w:r>
      <w:r>
        <w:rPr>
          <w:rFonts w:ascii="Times New Roman" w:hAnsi="Times New Roman" w:eastAsia="Times New Roman" w:cs="Times New Roman"/>
        </w:rPr>
        <w:t xml:space="preserve"> </w:t>
      </w:r>
      <w:r>
        <w:rPr>
          <w:rFonts w:ascii="Myanmar Text" w:hAnsi="Myanmar Text" w:eastAsia="Myanmar Text" w:cs="Myanmar Text"/>
        </w:rPr>
        <w:t>ဖျက်ဆီးပျက်စီးစေသော</w:t>
      </w:r>
      <w:r>
        <w:rPr>
          <w:rFonts w:ascii="Times New Roman" w:hAnsi="Times New Roman" w:eastAsia="Times New Roman" w:cs="Times New Roman"/>
        </w:rPr>
        <w:t xml:space="preserve"> </w:t>
      </w:r>
      <w:r>
        <w:rPr>
          <w:rFonts w:ascii="Myanmar Text" w:hAnsi="Myanmar Text" w:eastAsia="Myanmar Text" w:cs="Myanmar Text"/>
        </w:rPr>
        <w:t>အင်အားနှစ်ရပ်အားဖြင့်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နှစ်ထောင့်ငါးရာနှစ်ဆယ်</w:t>
      </w:r>
      <w:r>
        <w:rPr>
          <w:rFonts w:ascii="Times New Roman" w:hAnsi="Times New Roman" w:eastAsia="Times New Roman" w:cs="Times New Roman"/>
        </w:rPr>
        <w:t xml:space="preserve"> “chazon”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ရက်ထည်ထဲတွင်</w:t>
      </w:r>
      <w:r>
        <w:rPr>
          <w:rFonts w:ascii="Times New Roman" w:hAnsi="Times New Roman" w:eastAsia="Times New Roman" w:cs="Times New Roman"/>
        </w:rPr>
        <w:t xml:space="preserve"> </w:t>
      </w:r>
      <w:r>
        <w:rPr>
          <w:rFonts w:ascii="Myanmar Text" w:hAnsi="Myanmar Text" w:eastAsia="Myanmar Text" w:cs="Myanmar Text"/>
        </w:rPr>
        <w:t>ရောယှက်လျက်ရှိသည်။</w:t>
      </w:r>
    </w:p>
    <w:p>
      <w:pPr>
        <w:pStyle w:val="ArticleBody"/>
        <w:jc w:val="left"/>
      </w:pP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ꯖꯦꯋꯦꯜꯁ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ꯅꯨꯡꯁꯤꯠꯀꯤ</w:t>
      </w:r>
      <w:r>
        <w:rPr>
          <w:rFonts w:ascii="Times New Roman" w:hAnsi="Times New Roman" w:eastAsia="Times New Roman" w:cs="Times New Roman"/>
        </w:rPr>
        <w:t xml:space="preserve"> </w:t>
      </w:r>
      <w:r>
        <w:rPr>
          <w:rFonts w:ascii="Nirmala UI" w:hAnsi="Nirmala UI" w:eastAsia="Nirmala UI" w:cs="Nirmala UI"/>
        </w:rPr>
        <w:t>ꯅꯨꯡꯊꯤꯜ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ꯉꯥꯡꯂꯤ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ꯅꯠꯇ꯭ꯔꯦ꯫</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ꯅꯨꯃꯤꯠꯁꯤꯡꯗ</w:t>
      </w:r>
      <w:r>
        <w:rPr>
          <w:rFonts w:ascii="Times New Roman" w:hAnsi="Times New Roman" w:eastAsia="Times New Roman" w:cs="Times New Roman"/>
        </w:rPr>
        <w:t>,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ꯈꯨꯗꯝꯅ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ꯖꯦꯋꯦꯜꯁ</w:t>
      </w:r>
      <w:r>
        <w:rPr>
          <w:rFonts w:ascii="Times New Roman" w:hAnsi="Times New Roman" w:eastAsia="Times New Roman" w:cs="Times New Roman"/>
        </w:rPr>
        <w:t xml:space="preserve"> </w:t>
      </w:r>
      <w:r>
        <w:rPr>
          <w:rFonts w:ascii="Nirmala UI" w:hAnsi="Nirmala UI" w:eastAsia="Nirmala UI" w:cs="Nirmala UI"/>
        </w:rPr>
        <w:t>ꯑꯗꯨꯗꯃꯛ</w:t>
      </w:r>
      <w:r>
        <w:rPr>
          <w:rFonts w:ascii="Times New Roman" w:hAnsi="Times New Roman" w:eastAsia="Times New Roman" w:cs="Times New Roman"/>
        </w:rPr>
        <w:t xml:space="preserve"> “</w:t>
      </w:r>
      <w:r>
        <w:rPr>
          <w:rFonts w:ascii="Nirmala UI" w:hAnsi="Nirmala UI" w:eastAsia="Nirmala UI" w:cs="Nirmala UI"/>
        </w:rPr>
        <w:t>ꯗꯔꯠ</w:t>
      </w:r>
      <w:r>
        <w:rPr>
          <w:rFonts w:ascii="Times New Roman" w:hAnsi="Times New Roman" w:eastAsia="Times New Roman" w:cs="Times New Roman"/>
        </w:rPr>
        <w:t xml:space="preserve"> </w:t>
      </w:r>
      <w:r>
        <w:rPr>
          <w:rFonts w:ascii="Nirmala UI" w:hAnsi="Nirmala UI" w:eastAsia="Nirmala UI" w:cs="Nirmala UI"/>
        </w:rPr>
        <w:t>ꯕ꯭ꯔꯁ</w:t>
      </w:r>
      <w:r>
        <w:rPr>
          <w:rFonts w:ascii="Times New Roman" w:hAnsi="Times New Roman" w:eastAsia="Times New Roman" w:cs="Times New Roman"/>
        </w:rPr>
        <w:t xml:space="preserve"> </w:t>
      </w:r>
      <w:r>
        <w:rPr>
          <w:rFonts w:ascii="Nirmala UI" w:hAnsi="Nirmala UI" w:eastAsia="Nirmala UI" w:cs="Nirmala UI"/>
        </w:rPr>
        <w:t>ꯃꯦꯟ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ꯍꯦꯟꯁꯤꯜ</w:t>
      </w:r>
      <w:r>
        <w:rPr>
          <w:rFonts w:ascii="Times New Roman" w:hAnsi="Times New Roman" w:eastAsia="Times New Roman" w:cs="Times New Roman"/>
        </w:rPr>
        <w:t xml:space="preserve"> </w:t>
      </w:r>
      <w:r>
        <w:rPr>
          <w:rFonts w:ascii="Nirmala UI" w:hAnsi="Nirmala UI" w:eastAsia="Nirmala UI" w:cs="Nirmala UI"/>
        </w:rPr>
        <w:t>ꯀꯦꯁ꯭ꯀꯦꯠ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ꯊꯣꯡꯈꯠꯂꯒꯅꯤ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ꯉꯥꯡꯂꯤꯕꯥꯒꯤ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ꯉꯥꯡꯂꯒꯅꯤ꯫</w:t>
      </w:r>
      <w:r>
        <w:rPr>
          <w:rFonts w:ascii="Times New Roman" w:hAnsi="Times New Roman" w:eastAsia="Times New Roman" w:cs="Times New Roman"/>
        </w:rPr>
        <w:t xml:space="preserve"> </w:t>
      </w:r>
      <w:r>
        <w:rPr>
          <w:rFonts w:ascii="Nirmala UI" w:hAnsi="Nirmala UI" w:eastAsia="Nirmala UI" w:cs="Nirmala UI"/>
        </w:rPr>
        <w:t>ꯃꯈꯣꯌ</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ꯃꯦꯁꯁꯦꯖꯀꯤ</w:t>
      </w:r>
      <w:r>
        <w:rPr>
          <w:rFonts w:ascii="Times New Roman" w:hAnsi="Times New Roman" w:eastAsia="Times New Roman" w:cs="Times New Roman"/>
        </w:rPr>
        <w:t xml:space="preserve"> </w:t>
      </w:r>
      <w:r>
        <w:rPr>
          <w:rFonts w:ascii="Nirmala UI" w:hAnsi="Nirmala UI" w:eastAsia="Nirmala UI" w:cs="Nirmala UI"/>
        </w:rPr>
        <w:t>ꯇꯦꯁ꯭ꯠ</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ꯖꯦꯋꯦꯜꯁ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ꯍꯕꯛꯀꯨꯛꯅ</w:t>
      </w:r>
      <w:r>
        <w:rPr>
          <w:rFonts w:ascii="Times New Roman" w:hAnsi="Times New Roman" w:eastAsia="Times New Roman" w:cs="Times New Roman"/>
        </w:rPr>
        <w:t xml:space="preserve"> </w:t>
      </w:r>
      <w:r>
        <w:rPr>
          <w:rFonts w:ascii="Nirmala UI" w:hAnsi="Nirmala UI" w:eastAsia="Nirmala UI" w:cs="Nirmala UI"/>
        </w:rPr>
        <w:t>ꯑꯥꯔꯝꯕꯗ</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ꯇꯦꯕꯜꯁ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ꯊꯣꯛꯈꯤ꯫</w:t>
      </w:r>
      <w:r>
        <w:rPr>
          <w:rFonts w:ascii="Times New Roman" w:hAnsi="Times New Roman" w:eastAsia="Times New Roman" w:cs="Times New Roman"/>
        </w:rPr>
        <w:t xml:space="preserve"> 1843 </w:t>
      </w:r>
      <w:r>
        <w:rPr>
          <w:rFonts w:ascii="Nirmala UI" w:hAnsi="Nirmala UI" w:eastAsia="Nirmala UI" w:cs="Nirmala UI"/>
        </w:rPr>
        <w:t>ꯑꯃꯁꯨꯡ</w:t>
      </w:r>
      <w:r>
        <w:rPr>
          <w:rFonts w:ascii="Times New Roman" w:hAnsi="Times New Roman" w:eastAsia="Times New Roman" w:cs="Times New Roman"/>
        </w:rPr>
        <w:t xml:space="preserve"> 1850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ꯄꯥꯏꯑꯣꯅꯤꯌꯔ</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ꯃꯇꯦꯡꯅ</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ꯖꯦꯋꯦꯜꯁ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ꯊꯣꯛꯈꯤ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ꯖꯦꯋꯦꯜꯁ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ꯃꯦꯁꯁꯦꯖ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ꯄꯥꯏ</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ꯁꯨꯠꯇꯪ</w:t>
      </w:r>
      <w:r>
        <w:rPr>
          <w:rFonts w:ascii="Times New Roman" w:hAnsi="Times New Roman" w:eastAsia="Times New Roman" w:cs="Times New Roman"/>
        </w:rPr>
        <w:t xml:space="preserve"> 1844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ꯃꯥꯡꯗ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ꯐꯖꯤꯟꯈ꯭ꯔꯕ</w:t>
      </w:r>
      <w:r>
        <w:rPr>
          <w:rFonts w:ascii="Times New Roman" w:hAnsi="Times New Roman" w:eastAsia="Times New Roman" w:cs="Times New Roman"/>
        </w:rPr>
        <w:t xml:space="preserve"> </w:t>
      </w:r>
      <w:r>
        <w:rPr>
          <w:rFonts w:ascii="Nirmala UI" w:hAnsi="Nirmala UI" w:eastAsia="Nirmala UI" w:cs="Nirmala UI"/>
        </w:rPr>
        <w:t>ꯋꯥꯍꯩꯁꯤꯡ</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ꯃꯆꯥꯛꯅꯥ</w:t>
      </w:r>
      <w:r>
        <w:rPr>
          <w:rFonts w:ascii="Times New Roman" w:hAnsi="Times New Roman" w:eastAsia="Times New Roman" w:cs="Times New Roman"/>
        </w:rPr>
        <w:t xml:space="preserve"> Daniel </w:t>
      </w:r>
      <w:r>
        <w:rPr>
          <w:rFonts w:ascii="Nirmala UI" w:hAnsi="Nirmala UI" w:eastAsia="Nirmala UI" w:cs="Nirmala UI"/>
        </w:rPr>
        <w:t>ꯁꯤꯊꯦꯟ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ꯍꯤꯖꯤꯠꯇꯥ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ꯁꯥꯅꯥꯁꯤꯡꯒꯤ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Daniel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ꯃꯂꯪꯕꯥꯟ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ꯑꯃꯠꯇꯅꯥ</w:t>
      </w:r>
      <w:r>
        <w:rPr>
          <w:rFonts w:ascii="Times New Roman" w:hAnsi="Times New Roman" w:eastAsia="Times New Roman" w:cs="Times New Roman"/>
        </w:rPr>
        <w:t xml:space="preserve"> Antiochus Epiphanes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ꯔꯥꯏ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ꯌꯥꯕꯒꯦ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ꯃꯄꯥꯟꯊꯣꯛꯄ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Habakkuk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ꯅꯨꯡꯉꯥꯏꯒꯤ</w:t>
      </w:r>
      <w:r>
        <w:rPr>
          <w:rFonts w:ascii="Times New Roman" w:hAnsi="Times New Roman" w:eastAsia="Times New Roman" w:cs="Times New Roman"/>
        </w:rPr>
        <w:t xml:space="preserve"> </w:t>
      </w:r>
      <w:r>
        <w:rPr>
          <w:rFonts w:ascii="Nirmala UI" w:hAnsi="Nirmala UI" w:eastAsia="Nirmala UI" w:cs="Nirmala UI"/>
        </w:rPr>
        <w:t>ꯁꯦꯟꯛꯆꯨꯑꯔꯤꯁꯨ</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ꯗꯦꯂꯤ</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ꯄꯥꯒꯅꯤꯖꯝꯒꯤ</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ꯈꯪꯉꯥꯏꯗꯕꯗ</w:t>
      </w:r>
      <w:r>
        <w:rPr>
          <w:rFonts w:ascii="Times New Roman" w:hAnsi="Times New Roman" w:eastAsia="Times New Roman" w:cs="Times New Roman"/>
        </w:rPr>
        <w:t xml:space="preserve">, Islam </w:t>
      </w:r>
      <w:r>
        <w:rPr>
          <w:rFonts w:ascii="Nirmala UI" w:hAnsi="Nirmala UI" w:eastAsia="Nirmala UI" w:cs="Nirmala UI"/>
        </w:rPr>
        <w:t>ꯒꯤ</w:t>
      </w:r>
      <w:r>
        <w:rPr>
          <w:rFonts w:ascii="Times New Roman" w:hAnsi="Times New Roman" w:eastAsia="Times New Roman" w:cs="Times New Roman"/>
        </w:rPr>
        <w:t xml:space="preserve"> Woe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ꯑꯩꯄꯥꯛꯇ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ꯄꯨꯟꯁꯤꯟꯕ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ꯆꯥꯔꯠꯁꯤꯡ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Judah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ꯑꯖꯨꯠ</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Lion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ꯑꯟꯁꯤꯟꯕ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Times New Roman" w:hAnsi="Times New Roman" w:eastAsia="Times New Roman" w:cs="Times New Roman"/>
        </w:rPr>
        <w:t>Manaama taratasy ny fandinihantsika ny fahitana ny Ony Olai ho mariky ny fahalalana ara-paminaniana izay novahana tombo-kase tamin’ny fotoan’ny farany tamin’ny 1798, ka nitombo mba handrafitra ireo vatosoa tao anatin’ilay vata vaovao sy lehibe kokoa ao amin’ny nofin’i William Miller, dia hodinihintsika indray ireo fahamarinana Millerita izay tsy mbola feno tao amin’ny tantarany. Ny sasany dia navela ho amin’ny toe-javatra tsy feno noho ny fotoana ara-tantara izay niainan’ny Millerita, ary ny hafa kosa dia navela tsy feno noho ny tsy fankatoavan’ireo izay nandà tsy hanaraka ny fahazavana mandroso avy amin’ny anjely fahatelo.</w:t>
      </w:r>
    </w:p>
    <w:p>
      <w:pPr>
        <w:pStyle w:val="ArticleBody"/>
        <w:jc w:val="left"/>
      </w:pPr>
      <w:r>
        <w:rPr>
          <w:rFonts w:ascii="Times New Roman" w:hAnsi="Times New Roman" w:eastAsia="Times New Roman" w:cs="Times New Roman"/>
        </w:rPr>
        <w:t>Aya datoniriat irage danangra article dara.</w:t>
      </w:r>
    </w:p>
    <w:p>
      <w:pPr>
        <w:pStyle w:val="ArticleScripture"/>
        <w:jc w:val="left"/>
      </w:pPr>
      <w:r>
        <w:rPr>
          <w:rFonts w:ascii="Times New Roman" w:hAnsi="Times New Roman" w:eastAsia="Times New Roman" w:cs="Times New Roman"/>
        </w:rPr>
        <w:t>ئەوانەی خودا بە پەیامێک ناردوونی، تەنها مرۆڤن؛ بەڵام سرووشتی ئەو پەیامەی کە هەڵدەگرن چییە؟ ئایا ئازایەتی ئەوەت هەیە لێی وەربگەڕێیت، یان سووکایەتیی پێ بکەیت، لەبەر ئەوەی خودا لەگەڵ تۆ ڕاوێژ نەکردووە سەبارەت بەوەی چی پەسەند دەکرێت؟ خودا مرۆڤانێک بانگ دەکات کە قسە بکەن، کە هاوار بکەن و خۆیان لە هیچ نەپارێزن. خودا پەیامنێرانی خۆی هەستاندووە بۆ ئەوەی کارەکەی خۆی بۆ ئەم کاتە ئەنجام بدەن. هەندێک لە پەیامی ڕاستودروستیی مەسیح وەرگەڕاون بۆ ئەوەی ڕەخنە لە مرۆڤەکان و کەموکوڕییەکانیان بگرن، چونکە پەیامی ڕاستی بە هەموو ئەو نەرمونیان و ڕەخشانەوەیەی پێویستە ناڵێن. خەمیان زۆرە، زۆر جدیین، بە زۆر دڵنیاییەوە قسە دەکەن، و ئەو پەیامەی کە دەبوو چاکبوونەوە و ژیان و ئارامی بۆ زۆر لەو گیانە ماندوو و ستەملێکراوانە بهێنێت، تا ڕادەیەک دەرخراوە؛ چونکە بە هەمان ئەو ڕادەیەی کە مرۆڤانی کاریگەر دڵەکانی خۆیان دادەخەن و ئیرادەی خۆیان لە دژایەتیی ئەوەی خودا فەرموویە هەڵدەستن، هەوڵ دەدەن تیشکی ڕووناکی لەوانە بسەننەوە کە بە ئارەزوو و نوێژەوە چاوەڕێی ڕووناکی و هێزی زیندووکەرنەوە بوون. مەسیح هەموو ئەو قسانەی سەخت و لووتبەرز و گاڵتەئامێزەی کە لە دژی خزمەتکارانی ئەو وتراون، وەک ئەوەی لە دژی خۆی وترا بنووسیوە.</w:t>
      </w:r>
    </w:p>
    <w:p>
      <w:pPr>
        <w:pStyle w:val="ArticleScripture"/>
        <w:jc w:val="left"/>
      </w:pPr>
      <w:r>
        <w:rPr>
          <w:rFonts w:ascii="Times New Roman" w:hAnsi="Times New Roman" w:eastAsia="Times New Roman" w:cs="Times New Roman"/>
        </w:rPr>
        <w:t>«Tángel kimsañ mesajepajj janiw amuyatäkaniti, aka uraqer qhantʼaykäni uka qhantʼäwix jachʼa kʼajkirinakapampi, nayrar sartaski uka jachʼa kʼajkiripan sarnaqañ jan munirinakampix kʼari qhantʼäw sasin sutichatäniwa. Kuna luräwis lurasispäna ukax jan luratäniwa, chiqap arun kʼumaranakap jan katuqirinakampi, jan iyawsäwinakapat layku. Nanakax qhanan chiqap arupar saytʼirinakaruw achiktʼapxsma: Diosan markapan thakipat mistupxam. Alaxpachat apayanit qhantʼäwix jupanakan qhanpach ukat jan mayjtʼir rayunakapampi qhantʼpan. Diosax jumanakaruw, khitinakarutix aka qhantʼäw purini, kunjamtix uka qhantʼäw apnaqapktaxa ukat responsabiltʼi. Khitinakatix jan istʼañ munapkani ukanakax juchañchatäpxaniwa; kunattix chiqäwix jupanakan puriñapatakix jakʼankänwa, ukampis jupanakax churat oportunidades ukat privilegionakap jiskʼachapxänwa. Yatiyäwinakax, divin credencialanakanïpki ukanakax, Diosan markaparuw apayanitäna; Criston jachʼa kʼajkiripa, jachʼa cancañapa, aski kankañampi ukat chiqäwimp phuqtʼat aski sarnaqäwipa, ukanakaw uñachtʼayata; Jesucristo tuqin Diosarjam phuqhat taqpach kankañax nanak taypinwa suma uñnaqtʼampi munkañampi qhanstayatäna, taqi khitinakan chuymapax jan nayraqata juchʼañampi jistʼantatäkäna ukanakar munañchayañataki. Nanakax yattʼanwa Diosax nanak taypin irnaqawayi. Jiwasax almasanakaruw jucha luräwit chiqapar sarnaqañaruw kuttʼir uñjtan. Jiwasax pʼeqtʼat chuymaninakan chuymanakapan iyawsäw wasitat jaktayat uñjtan. ¿Ñanqha usu leprani jaqinakjamäpxtati, qʼomachata sarxapki ukanakjama, ukat mä sapa mayniw kuttʼanïna Diosar jachʼañchañataki? Jan ukhamäñäni, antisas khuyapayasiñapat parlapxañäni, ukat Diosarux chuymampi, qillqatanakampi, arumpi jachʼañchapxañäni.»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Bilangan Lima Puluh Lima</dc:title>
  <dc:subject>වෙළෙඳුන් වන අනාවැකිමය තන්තුව හෙළිදරව් කිරීම: දානියෙල්ට ගාබ්‍රියෙල්ගේ හෙළිදරව්ව</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