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نىقتابى - يەتمىش تۆرتۈنچى سان</w:t>
      </w:r>
    </w:p>
    <w:p>
      <w:pPr>
        <w:pStyle w:val="ArticleSubtitle"/>
        <w:jc w:val="left"/>
      </w:pPr>
      <w:r>
        <w:rPr>
          <w:rFonts w:ascii="Microsoft YaHei" w:hAnsi="Microsoft YaHei" w:eastAsia="Microsoft YaHei" w:cs="Microsoft YaHei"/>
        </w:rPr>
        <w:t>揭開先知性謎題：以西結所見的可憎之事、末日教會與獸的印記</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Ҳизқиёл китабиниң сәккизинчи бабидики төрт жиркиниш, Худаниң ахирқи күнләрдики Лаодикийә чирковиниң рәһбәрлигини қуяшқа сәҗдә қилишқа елип бариду, шуниң билән улар вәһшийниң бәлгисини қобул қилиду. Кейинки баб, шу көрүнишниң өзи болуп, Худаниң ахирқи күнләрдики чирковида Худаниң мөһрини қобул қилидиғанларни тәсвирләйду. Ақсингил Вайт бизгә Һизқиёл китабиниң тоққузинчи бабидики мөһрлинишниң Вәһий китабиниң йәттинчи бабида көрситилгән мөһрлинишниң өзи екәнлигини билдүриду. Худа бир милләт үстидин униң үчинчи вә төртинчи әвладида һөкүм чиқириду, вә Һизқиёлдики төрт жиркиниш 1863-йилидин башланған исянниң төрт әвладини көрситиду; дәл шу вақитта Лаодикийә адвентизми Һабаққуқтики икки җәдвәлниң сахтисын оттуриға чиқарған еди, бу икки җәдвәл қедимки Исраилниң бешида берилгән Он Әмирниң икки җәдвилигә охшаш, Худа билән Униң хәлқи арисидики әһди мунасивитиниң бир бәлгиси сүпитидә берилгән еди.</w:t>
      </w:r>
    </w:p>
    <w:p>
      <w:pPr>
        <w:pStyle w:val="ArticleBody"/>
        <w:jc w:val="left"/>
      </w:pPr>
      <w:r>
        <w:rPr>
          <w:rFonts w:ascii="Times New Roman" w:hAnsi="Times New Roman" w:eastAsia="Times New Roman" w:cs="Times New Roman"/>
        </w:rPr>
        <w:t>ارون کے سنہری بچھڑے کی مورت ایک جعلی شبیہ تھی، بغاوت کی وہ علامت جو عین اسی وقت ظاہر ہوئی جب خدا اُن دو تختیوں کو تیار کر رہا تھا جو غیرت کی ایک حقیقی شبیہ کی نمائندگی کرتی ہیں۔ ارون کے سنہری بچھڑے نے 1863 کے جعلی چارٹ کی تمثیل پیش کی، جس نے احبار چھبیس کے “سات اوقات” کو، دیگر زمانی نبوتوں کے ساتھ، پیغام سے نکال دیا تھا۔ پس لاودیکیائی ایڈونٹزم نے اپنی تاریخ کے بالکل آغاز ہی میں غیرت کی ایک شبیہ قائم کر دی، جیسا کہ ارون نے قدیم اسرائیل کی ابتدائی تاریخ میں کیا تھا، اور جیسا کہ یربعام نے افرائیم کی شمالی مملکت کی ابتدائی تاریخ میں کیا تھا۔</w:t>
      </w:r>
    </w:p>
    <w:p>
      <w:pPr>
        <w:pStyle w:val="ArticleBody"/>
        <w:jc w:val="left"/>
      </w:pPr>
      <w:r>
        <w:rPr>
          <w:rFonts w:ascii="Times New Roman" w:hAnsi="Times New Roman" w:eastAsia="Times New Roman" w:cs="Times New Roman"/>
        </w:rPr>
        <w:t>Левитниң йигирмә алтинчи бабидики «йәттә вақит» Миллергә чүшинишкә йетәкләнгән вақит тоғрисидики тунҗи пәйғәмбәрлик болуп, у 1863-йилдики исянда четкә қайрип қоюлған пәйғәмбәрлик вақитниң тунҗи гәвһири еди. 1863-йил Миллерниң чүшидики гәвһәрләрни йошурушниң башлиниши вә сахта гәвһәрләр билән тәңгиләрни киргүзүшниң башлиниши болди. «Йәттә вақит» қуруғучилар рәт қилған бурҗәк теши еди. 1863-йилда дәл Миллерчилар ибадәтханисиниң қуруғучилири болғанлар «йәттә вақит»ниң бурҗәк тешини четкә қайрип қойди, бирақ ахирқи күнләрдә шу таш әмди бурҗәкниң баш теши болди. У таш Әсирләр Қорғиниға вәкиллик қилатти, шундақла у Пәрвәрдигар яратқан күн арқилиқму вәкиллик қилинған еди, чүнки у йәр үчүн болған шаббат араминиң символи еди. 1844-йилида Миллерчи Адвентизм Йәробоамниң сахта ибадәт системисини әйиблиди вә тунҗи үмидсизлик үстидә «шатланған» «мәсхиричиләр җамаитидин» айрилди.</w:t>
      </w:r>
    </w:p>
    <w:p>
      <w:pPr>
        <w:pStyle w:val="ArticleBody"/>
        <w:jc w:val="left"/>
      </w:pPr>
      <w:r>
        <w:rPr>
          <w:rFonts w:ascii="Nirmala UI" w:hAnsi="Nirmala UI" w:eastAsia="Nirmala UI" w:cs="Nirmala UI"/>
        </w:rPr>
        <w:t>क्वैयेकयिन्ने</w:t>
      </w:r>
      <w:r>
        <w:rPr>
          <w:rFonts w:ascii="Times New Roman" w:hAnsi="Times New Roman" w:eastAsia="Times New Roman" w:cs="Times New Roman"/>
        </w:rPr>
        <w:t xml:space="preserve"> “</w:t>
      </w:r>
      <w:r>
        <w:rPr>
          <w:rFonts w:ascii="Nirmala UI" w:hAnsi="Nirmala UI" w:eastAsia="Nirmala UI" w:cs="Nirmala UI"/>
        </w:rPr>
        <w:t>परिहास</w:t>
      </w:r>
      <w:r>
        <w:rPr>
          <w:rFonts w:ascii="Times New Roman" w:hAnsi="Times New Roman" w:eastAsia="Times New Roman" w:cs="Times New Roman"/>
        </w:rPr>
        <w:t xml:space="preserve"> </w:t>
      </w:r>
      <w:r>
        <w:rPr>
          <w:rFonts w:ascii="Nirmala UI" w:hAnsi="Nirmala UI" w:eastAsia="Nirmala UI" w:cs="Nirmala UI"/>
        </w:rPr>
        <w:t>करनेवालेनन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अभिगमन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क्वैयेकयिन्ने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परिहास</w:t>
      </w:r>
      <w:r>
        <w:rPr>
          <w:rFonts w:ascii="Times New Roman" w:hAnsi="Times New Roman" w:eastAsia="Times New Roman" w:cs="Times New Roman"/>
        </w:rPr>
        <w:t xml:space="preserve"> </w:t>
      </w:r>
      <w:r>
        <w:rPr>
          <w:rFonts w:ascii="Nirmala UI" w:hAnsi="Nirmala UI" w:eastAsia="Nirmala UI" w:cs="Nirmala UI"/>
        </w:rPr>
        <w:t>करनेवालेनन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क्वैयेकयिन्ने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Nirmala UI" w:hAnsi="Nirmala UI" w:eastAsia="Nirmala UI" w:cs="Nirmala UI"/>
        </w:rPr>
        <w:t>ਅਗਾਹੀ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ਵਰਤੀ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ਸਰਬਥਾ</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ਧਰਮਸ਼ਾਸਤਰੀਆਂ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ਨਿਰਮਾਤੇ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ਯਹੂਦੀਆਈ</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ਯਹੂਦੀਆਈ</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ਓਹੀ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ਕਰਵਾ</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ਲਾਉਦੀਕੀਆਈ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ਓਹੀ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ਧਰਮਸ਼ਾਸਤਰੀ</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 xml:space="preserve"> </w:t>
      </w:r>
      <w:r>
        <w:rPr>
          <w:rFonts w:ascii="Nirmala UI" w:hAnsi="Nirmala UI" w:eastAsia="Nirmala UI" w:cs="Nirmala UI"/>
        </w:rPr>
        <w:t>ਵਰਤੇ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ਅਹਾਰੋਨ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ਈਰਖਾ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ਮੂਰਤੀਆਂ</w:t>
      </w:r>
      <w:r>
        <w:rPr>
          <w:rFonts w:ascii="Times New Roman" w:hAnsi="Times New Roman" w:eastAsia="Times New Roman" w:cs="Times New Roman"/>
        </w:rPr>
        <w:t xml:space="preserve"> </w:t>
      </w:r>
      <w:r>
        <w:rPr>
          <w:rFonts w:ascii="Nirmala UI" w:hAnsi="Nirmala UI" w:eastAsia="Nirmala UI" w:cs="Nirmala UI"/>
        </w:rPr>
        <w:t>ਕਾਇਮ</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ਲਾਉਦੀਕੀਆਈ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Mi yuutéiyaa Judea-koo ooka Jeroboam-biya piitiyax̱ yiisí a naa. Judea-kwáan-ya x̱ánt kawdlig̱aa, yáa at wáa sá i káa yéi x̱atángi, aadé aag̱áa x̱wasakóo. Yáa nabí represents Laodicean Adventism, yéi saawúx̱ x̱ʼéidei inspiration yoo x̱ʼatángi, 1856-ÿi Millerite movement-ÿi wooshjix̱ has awusikóo. Sister White has du jee wududlig̱i kaadé Adventism Laodicea yéi x̱ʼatángi, haa jeedáx̱ biblical evidence yáa du jee Laodicea kadé yoo du x̱ʼéix̱ jeedáx̱tlk. Wé ax̱ toowú yéi Laodicean experience has du een káa yeisú, yáx̱ yéi; haa church yáa Laodicea, Lord du x̱aayíx̱ has yéi adakéesʼ, aadé Laodicea yéi yoo x̱ʼatángi “a people judged.” Adventism yáa yéi x̱ʼatángi definition awusikóo, church yéi awu.áa sá judgment wé heavenly sanctuary-ÿi yéi áyá. Hás du een daa sá i tuwáa sigóo blindness-ÿi, Investigative Judgment yáa Laodicea du at x̱ʼéix̱ has aknowledge, léelkʼw aadé Executive Judgment, yáa du sʼáax̱wduwaa naamáx̱ clearly represented, has du een tlél has oo.áx̱.</w:t>
      </w:r>
    </w:p>
    <w:p>
      <w:pPr>
        <w:pStyle w:val="ArticleScripture"/>
        <w:jc w:val="left"/>
      </w:pPr>
      <w:r>
        <w:rPr>
          <w:rFonts w:ascii="Times New Roman" w:hAnsi="Times New Roman" w:eastAsia="Times New Roman" w:cs="Times New Roman"/>
        </w:rPr>
        <w:t>Laodicea iglesia ángel-man qellqay: Kanan nisqakunaqa “Amén” nisqa, cheqaq hinallataq mana llullaq testigo, Diospa kamasqan qallariynin, paymi nin: Ruwaynikikunata yachani, mana chiriqchu kanki, nitaq ruphaqchu. ¡Mayta munayman chiriq utaq ruphaq kayman! Chayrayku q’onqoylla kasqaykimanta, mana chiriq hina nitaq ruphaq hina kasqaykimanta, simiymanta qamta wijch’usaq. Imaraykuchus qan ninki: “Qhapaqmi kani, imaykakunaqwan yapasqañam kani, manam imatapas necesitaniñachu”; ichaqa mana yachankichu qanqa llaquypaq, wakcha, mana kusisqa, qhapaqniq, ñawsa, q’ala karu kasqaykita. Apocalipsis 3:14–17.</w:t>
      </w:r>
    </w:p>
    <w:p>
      <w:pPr>
        <w:pStyle w:val="ArticleBody"/>
        <w:jc w:val="left"/>
      </w:pPr>
      <w:r>
        <w:rPr>
          <w:rFonts w:ascii="Times New Roman" w:hAnsi="Times New Roman" w:eastAsia="Times New Roman" w:cs="Times New Roman"/>
        </w:rPr>
        <w:t>Profeta judeano tukuy llulla profeta payta llullachispa mikhuyninta mikhuq, upyananta upyaqwan kuska pampasqa tukurun. Iskaychankunaqa chaylla p'ampapi pampasqa tukunku, hinaspa Bethelmanta llulla profetaqa (llulla iglesiayaq), wañusqan p'unchawpi wawqey nispa qayarimun.</w:t>
      </w:r>
    </w:p>
    <w:p>
      <w:pPr>
        <w:pStyle w:val="ArticleScripture"/>
        <w:jc w:val="left"/>
      </w:pPr>
      <w:r>
        <w:rPr>
          <w:rFonts w:ascii="Times New Roman" w:hAnsi="Times New Roman" w:eastAsia="Times New Roman" w:cs="Times New Roman"/>
        </w:rPr>
        <w:t>اب رام اَتْ بَت‌ئیل اَم کاهَن بوذ؛ یَش پِسَرون بَیَمدند و همّه کارونی که آن مردِ خدا آن روز دِ بَت‌ئیل کرده بو، ره اورَه بَگُتند. سخنونی ره که او به شاه گُتِه بو، آنهارَه هم به واشون پدر بَگُتند. واشون پدر ایشونَه گُت: «اُو کُدوم راه ره بَشُد؟» چون واشون پِسَرون دیده بوند که آن مردِ خدایی که جودا اَت بَیَمده بو، کُدوم راه ره بَشُده بو. او واشون پِسَرونَه گُت: «خَرَه بورِه زین کُنید.» پس خَرَه وِری زین کُردند و او سوارِش بُو، و از پِیِ آن مردِ خدا بَشُد و او ره زیرِ بَلّوطی نِشِسته پِیدا کُرد. و اورَه گُت: «تُو آن مردِ خدایی هَستی که جودا اَت بَیَمدی؟» او گُت: «هَمونَم.» پس اورَه گُت: «همراهِ مَن بَیَا خانه و نان بخور.» او گُت: «نَمیرِم با تُو برگردم، و نَمیرِم با تُو دِ خانه بَیَم؛ و دِ اینجا نه نان با تُو خورِم و نه آب با تُو نوشِم. چون به کلامِ خداوند مَرَه گُته بَیّه: “آنجا نان مَخور و آب مَنوش، و از همان راهی که بَیَمدی برنگرد.”» او اورَه گُت: «مَن هم مانندِ تُو پیامبر هَستم؛ و فرشته‌ای به کلامِ خداوند مَرَه گُتِه: “او ره با خودت به خانه برگردان تا نان بخورد و آب بنوشد.”» امّا او به وی دروغ گُت. پس او همراهِ وی برگشت و دِ خانه‌اش نان خورد و آب نوشید. و چُنین بُو که هنگامی که ایشون بر سفره نِشِسته بوند، کلامِ خداوند بر آن پیامبری که او ره برگردانده بو، نازل بُو؛ و او آن مردِ خدایی ره که جودا اَت بَیَمده بو، بانگ زده گُت: «خداوند چنین مِه‌گوید: “از آنجا که از فرمانِ خداوند سرپیچی کُردی و حکمی ره که خداوند، خدای تُو، به تُو فرمان داده بو نگاه نَداشتی، بلکه برگشتی و دِ جایی که خداوند تُو ره درباره‌اش گُتِه بو: ‘نان مَخور و آب مَنوش،’ نان خوردی و آب نوشیدی، لاشِ تُو به آرامگاهِ پدرونِت نَخاهد رَسید.”» ۱ پادشاهان ۱۳:‏۱۱–۲۲.</w:t>
      </w:r>
    </w:p>
    <w:p>
      <w:pPr>
        <w:pStyle w:val="ArticleBody"/>
        <w:jc w:val="left"/>
      </w:pPr>
      <w:r>
        <w:rPr>
          <w:rFonts w:ascii="Gadugi" w:hAnsi="Gadugi" w:eastAsia="Gadugi" w:cs="Gadugi"/>
        </w:rPr>
        <w:t>ᎢᏔᎵᏁ</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ᎤᏥᏃᎮᏍᎩ</w:t>
      </w:r>
      <w:r>
        <w:rPr>
          <w:rFonts w:ascii="Times New Roman" w:hAnsi="Times New Roman" w:eastAsia="Times New Roman" w:cs="Times New Roman"/>
        </w:rPr>
        <w:t xml:space="preserve"> 1844 </w:t>
      </w:r>
      <w:r>
        <w:rPr>
          <w:rFonts w:ascii="Gadugi" w:hAnsi="Gadugi" w:eastAsia="Gadugi" w:cs="Gadugi"/>
        </w:rPr>
        <w:t>ᎠᏕᏎᏍᏗ</w:t>
      </w:r>
      <w:r>
        <w:rPr>
          <w:rFonts w:ascii="Times New Roman" w:hAnsi="Times New Roman" w:eastAsia="Times New Roman" w:cs="Times New Roman"/>
        </w:rPr>
        <w:t xml:space="preserve"> </w:t>
      </w:r>
      <w:r>
        <w:rPr>
          <w:rFonts w:ascii="Gadugi" w:hAnsi="Gadugi" w:eastAsia="Gadugi" w:cs="Gadugi"/>
        </w:rPr>
        <w:t>ᎠᏅᏱᏗᏢ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ᎤᏬᎵᏤ</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ᏉᏘᏍᏔᏂ</w:t>
      </w:r>
      <w:r>
        <w:rPr>
          <w:rFonts w:ascii="Times New Roman" w:hAnsi="Times New Roman" w:eastAsia="Times New Roman" w:cs="Times New Roman"/>
        </w:rPr>
        <w:t xml:space="preserve"> </w:t>
      </w:r>
      <w:r>
        <w:rPr>
          <w:rFonts w:ascii="Gadugi" w:hAnsi="Gadugi" w:eastAsia="Gadugi" w:cs="Gadugi"/>
        </w:rPr>
        <w:t>ᏧᎾᏓᏤᎵᏛ</w:t>
      </w:r>
      <w:r>
        <w:rPr>
          <w:rFonts w:ascii="Times New Roman" w:hAnsi="Times New Roman" w:eastAsia="Times New Roman" w:cs="Times New Roman"/>
        </w:rPr>
        <w:t xml:space="preserve"> </w:t>
      </w:r>
      <w:r>
        <w:rPr>
          <w:rFonts w:ascii="Gadugi" w:hAnsi="Gadugi" w:eastAsia="Gadugi" w:cs="Gadugi"/>
        </w:rPr>
        <w:t>ᏚᏂᎩᏒᎢ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ᎨᏏᎵᎧᎵᎩᏍᎨ</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ᏄᎾᎵᏍᏔᏅᎢ</w:t>
      </w:r>
      <w:r>
        <w:rPr>
          <w:rFonts w:ascii="Times New Roman" w:hAnsi="Times New Roman" w:eastAsia="Times New Roman" w:cs="Times New Roman"/>
        </w:rPr>
        <w:t xml:space="preserve">. </w:t>
      </w:r>
      <w:r>
        <w:rPr>
          <w:rFonts w:ascii="Gadugi" w:hAnsi="Gadugi" w:eastAsia="Gadugi" w:cs="Gadugi"/>
        </w:rPr>
        <w:t>ᎻᎵᎳᏫᏘ</w:t>
      </w:r>
      <w:r>
        <w:rPr>
          <w:rFonts w:ascii="Times New Roman" w:hAnsi="Times New Roman" w:eastAsia="Times New Roman" w:cs="Times New Roman"/>
        </w:rPr>
        <w:t xml:space="preserve"> </w:t>
      </w:r>
      <w:r>
        <w:rPr>
          <w:rFonts w:ascii="Gadugi" w:hAnsi="Gadugi" w:eastAsia="Gadugi" w:cs="Gadugi"/>
        </w:rPr>
        <w:t>ᎠᏛᏏᏍᏙᏗᏍᎩ</w:t>
      </w:r>
      <w:r>
        <w:rPr>
          <w:rFonts w:ascii="Times New Roman" w:hAnsi="Times New Roman" w:eastAsia="Times New Roman" w:cs="Times New Roman"/>
        </w:rPr>
        <w:t xml:space="preserve"> </w:t>
      </w:r>
      <w:r>
        <w:rPr>
          <w:rFonts w:ascii="Gadugi" w:hAnsi="Gadugi" w:eastAsia="Gadugi" w:cs="Gadugi"/>
        </w:rPr>
        <w:t>ᎤᏂᏯᏅᎯ</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ᎬᏩᏂᎩᏍᏗ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ᏧᎾᏓᏤᎵᏛ</w:t>
      </w:r>
      <w:r>
        <w:rPr>
          <w:rFonts w:ascii="Times New Roman" w:hAnsi="Times New Roman" w:eastAsia="Times New Roman" w:cs="Times New Roman"/>
        </w:rPr>
        <w:t xml:space="preserve"> </w:t>
      </w:r>
      <w:r>
        <w:rPr>
          <w:rFonts w:ascii="Gadugi" w:hAnsi="Gadugi" w:eastAsia="Gadugi" w:cs="Gadugi"/>
        </w:rPr>
        <w:t>ᎤᎾᏓᏑᏴᎢ</w:t>
      </w:r>
      <w:r>
        <w:rPr>
          <w:rFonts w:ascii="Times New Roman" w:hAnsi="Times New Roman" w:eastAsia="Times New Roman" w:cs="Times New Roman"/>
        </w:rPr>
        <w:t xml:space="preserve">, </w:t>
      </w:r>
      <w:r>
        <w:rPr>
          <w:rFonts w:ascii="Gadugi" w:hAnsi="Gadugi" w:eastAsia="Gadugi" w:cs="Gadugi"/>
        </w:rPr>
        <w:t>ᏗᎾᏂᏍᏗᏱ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ᎤᏪᎧᏛᎩ</w:t>
      </w:r>
      <w:r>
        <w:rPr>
          <w:rFonts w:ascii="Times New Roman" w:hAnsi="Times New Roman" w:eastAsia="Times New Roman" w:cs="Times New Roman"/>
        </w:rPr>
        <w:t xml:space="preserve"> </w:t>
      </w:r>
      <w:r>
        <w:rPr>
          <w:rFonts w:ascii="Gadugi" w:hAnsi="Gadugi" w:eastAsia="Gadugi" w:cs="Gadugi"/>
        </w:rPr>
        <w:t>ᎠᏓᏅᏙᎯ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ᎤᎵᏍᏛ</w:t>
      </w:r>
      <w:r>
        <w:rPr>
          <w:rFonts w:ascii="Times New Roman" w:hAnsi="Times New Roman" w:eastAsia="Times New Roman" w:cs="Times New Roman"/>
        </w:rPr>
        <w:t xml:space="preserve"> </w:t>
      </w:r>
      <w:r>
        <w:rPr>
          <w:rFonts w:ascii="Gadugi" w:hAnsi="Gadugi" w:eastAsia="Gadugi" w:cs="Gadugi"/>
        </w:rPr>
        <w:t>ᎬᏩᏲᎱᏎᏗ</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ᏇᏛ</w:t>
      </w:r>
      <w:r>
        <w:rPr>
          <w:rFonts w:ascii="Times New Roman" w:hAnsi="Times New Roman" w:eastAsia="Times New Roman" w:cs="Times New Roman"/>
        </w:rPr>
        <w:t xml:space="preserve"> </w:t>
      </w:r>
      <w:r>
        <w:rPr>
          <w:rFonts w:ascii="Gadugi" w:hAnsi="Gadugi" w:eastAsia="Gadugi" w:cs="Gadugi"/>
        </w:rPr>
        <w:t>ᎠᏓᏥᎪᎥᎢ</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ᎠᏥᎪᎥᎩ</w:t>
      </w:r>
      <w:r>
        <w:rPr>
          <w:rFonts w:ascii="Times New Roman" w:hAnsi="Times New Roman" w:eastAsia="Times New Roman" w:cs="Times New Roman"/>
        </w:rPr>
        <w:t xml:space="preserve"> </w:t>
      </w:r>
      <w:r>
        <w:rPr>
          <w:rFonts w:ascii="Gadugi" w:hAnsi="Gadugi" w:eastAsia="Gadugi" w:cs="Gadugi"/>
        </w:rPr>
        <w:t>ᎤᏯᏙᎸᎢ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ᏇᏛ</w:t>
      </w:r>
      <w:r>
        <w:rPr>
          <w:rFonts w:ascii="Times New Roman" w:hAnsi="Times New Roman" w:eastAsia="Times New Roman" w:cs="Times New Roman"/>
        </w:rPr>
        <w:t xml:space="preserve"> </w:t>
      </w:r>
      <w:r>
        <w:rPr>
          <w:rFonts w:ascii="Gadugi" w:hAnsi="Gadugi" w:eastAsia="Gadugi" w:cs="Gadugi"/>
        </w:rPr>
        <w:t>ᏤᎶᏇᎻ</w:t>
      </w:r>
      <w:r>
        <w:rPr>
          <w:rFonts w:ascii="Times New Roman" w:hAnsi="Times New Roman" w:eastAsia="Times New Roman" w:cs="Times New Roman"/>
        </w:rPr>
        <w:t xml:space="preserve"> </w:t>
      </w:r>
      <w:r>
        <w:rPr>
          <w:rFonts w:ascii="Gadugi" w:hAnsi="Gadugi" w:eastAsia="Gadugi" w:cs="Gadugi"/>
        </w:rPr>
        <w:t>ᎤᏩᏙᎯᏳᎲᎯ</w:t>
      </w:r>
      <w:r>
        <w:rPr>
          <w:rFonts w:ascii="Times New Roman" w:hAnsi="Times New Roman" w:eastAsia="Times New Roman" w:cs="Times New Roman"/>
        </w:rPr>
        <w:t xml:space="preserve"> </w:t>
      </w:r>
      <w:r>
        <w:rPr>
          <w:rFonts w:ascii="Gadugi" w:hAnsi="Gadugi" w:eastAsia="Gadugi" w:cs="Gadugi"/>
        </w:rPr>
        <w:t>ᎤᏍᏕᎸᏛ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ᎠᎩᎵᏰᏗ</w:t>
      </w:r>
      <w:r>
        <w:rPr>
          <w:rFonts w:ascii="Times New Roman" w:hAnsi="Times New Roman" w:eastAsia="Times New Roman" w:cs="Times New Roman"/>
        </w:rPr>
        <w:t xml:space="preserve"> </w:t>
      </w:r>
      <w:r>
        <w:rPr>
          <w:rFonts w:ascii="Gadugi" w:hAnsi="Gadugi" w:eastAsia="Gadugi" w:cs="Gadugi"/>
        </w:rPr>
        <w:t>ᏧᏓᏤᎵᏛ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ᎤᏍᏕᎸᏛ</w:t>
      </w:r>
      <w:r>
        <w:rPr>
          <w:rFonts w:ascii="Times New Roman" w:hAnsi="Times New Roman" w:eastAsia="Times New Roman" w:cs="Times New Roman"/>
        </w:rPr>
        <w:t xml:space="preserve"> </w:t>
      </w:r>
      <w:r>
        <w:rPr>
          <w:rFonts w:ascii="Gadugi" w:hAnsi="Gadugi" w:eastAsia="Gadugi" w:cs="Gadugi"/>
        </w:rPr>
        <w:t>ᎤᏬᎵᏤ</w:t>
      </w:r>
      <w:r>
        <w:rPr>
          <w:rFonts w:ascii="Times New Roman" w:hAnsi="Times New Roman" w:eastAsia="Times New Roman" w:cs="Times New Roman"/>
        </w:rPr>
        <w:t xml:space="preserve"> </w:t>
      </w:r>
      <w:r>
        <w:rPr>
          <w:rFonts w:ascii="Gadugi" w:hAnsi="Gadugi" w:eastAsia="Gadugi" w:cs="Gadugi"/>
        </w:rPr>
        <w:t>ᏗᎦᎸᎳᏗ</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ᎠᏓᎦᏔᎲ</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ᎠᏓᎦᏔᎲ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ᎠᏓᎦᏔᎲ</w:t>
      </w:r>
      <w:r>
        <w:rPr>
          <w:rFonts w:ascii="Times New Roman" w:hAnsi="Times New Roman" w:eastAsia="Times New Roman" w:cs="Times New Roman"/>
        </w:rPr>
        <w:t xml:space="preserve"> </w:t>
      </w:r>
      <w:r>
        <w:rPr>
          <w:rFonts w:ascii="Gadugi" w:hAnsi="Gadugi" w:eastAsia="Gadugi" w:cs="Gadugi"/>
        </w:rPr>
        <w:t>ᎤᏟᎶᏍᏔᏅᎯ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ᎨᏏᎵᎧᎵᎩᏍᎨ</w:t>
      </w:r>
      <w:r>
        <w:rPr>
          <w:rFonts w:ascii="Times New Roman" w:hAnsi="Times New Roman" w:eastAsia="Times New Roman" w:cs="Times New Roman"/>
        </w:rPr>
        <w:t xml:space="preserve"> </w:t>
      </w:r>
      <w:r>
        <w:rPr>
          <w:rFonts w:ascii="Gadugi" w:hAnsi="Gadugi" w:eastAsia="Gadugi" w:cs="Gadugi"/>
        </w:rPr>
        <w:t>ᎠᏓᎦᏔᎲ</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ᏉᏘᏍᏔᏂ</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ᎤᎾᏓᏟᎶᏍᏔᏅ</w:t>
      </w:r>
      <w:r>
        <w:rPr>
          <w:rFonts w:ascii="Times New Roman" w:hAnsi="Times New Roman" w:eastAsia="Times New Roman" w:cs="Times New Roman"/>
        </w:rPr>
        <w:t xml:space="preserve"> </w:t>
      </w:r>
      <w:r>
        <w:rPr>
          <w:rFonts w:ascii="Gadugi" w:hAnsi="Gadugi" w:eastAsia="Gadugi" w:cs="Gadugi"/>
        </w:rPr>
        <w:t>ᏉᏘᏍᏔᏂ</w:t>
      </w:r>
      <w:r>
        <w:rPr>
          <w:rFonts w:ascii="Times New Roman" w:hAnsi="Times New Roman" w:eastAsia="Times New Roman" w:cs="Times New Roman"/>
        </w:rPr>
        <w:t xml:space="preserve"> </w:t>
      </w:r>
      <w:r>
        <w:rPr>
          <w:rFonts w:ascii="Gadugi" w:hAnsi="Gadugi" w:eastAsia="Gadugi" w:cs="Gadugi"/>
        </w:rPr>
        <w:t>ᎤᎾᏓᏛᏁᎢ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ᏅᏓᎬᏩᏁᎶᏗ</w:t>
      </w:r>
      <w:r>
        <w:rPr>
          <w:rFonts w:ascii="Times New Roman" w:hAnsi="Times New Roman" w:eastAsia="Times New Roman" w:cs="Times New Roman"/>
        </w:rPr>
        <w:t xml:space="preserve"> </w:t>
      </w:r>
      <w:r>
        <w:rPr>
          <w:rFonts w:ascii="Gadugi" w:hAnsi="Gadugi" w:eastAsia="Gadugi" w:cs="Gadugi"/>
        </w:rPr>
        <w:t>ᏭᏂᏍᏓᏩᏗᏒ</w:t>
      </w:r>
      <w:r>
        <w:rPr>
          <w:rFonts w:ascii="Times New Roman" w:hAnsi="Times New Roman" w:eastAsia="Times New Roman" w:cs="Times New Roman"/>
        </w:rPr>
        <w:t xml:space="preserve">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ᎠᎵᏍᎪᎯᏍᏗ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ᎠᎾᏓᏙᎵᏍᏗᏱ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ᎠᏥᏍᏆᏂᎪᏗᏍᎬᎢ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ᎨᏏᎵᎧᎵᎩᏍᎨ</w:t>
      </w:r>
      <w:r>
        <w:rPr>
          <w:rFonts w:ascii="Times New Roman" w:hAnsi="Times New Roman" w:eastAsia="Times New Roman" w:cs="Times New Roman"/>
        </w:rPr>
        <w:t xml:space="preserve"> </w:t>
      </w:r>
      <w:r>
        <w:rPr>
          <w:rFonts w:ascii="Gadugi" w:hAnsi="Gadugi" w:eastAsia="Gadugi" w:cs="Gadugi"/>
        </w:rPr>
        <w:t>ᎤᏤᎵᎪᎯᏳᏗ</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 پروتستانانا داویا ئەوە دکەن کو پروتستانن، هەرچەندە تەنها پێناسەیا پروتستانی ئەوەیە کو دژی ڕۆما احتجاج بکەت؛ و بە ڤێ چەندێ، ئیقرارا وان وێنەیەکا کڵێسایا ڕۆمایییە، چونکی ئەو داویا ئەوە دکەت کو دامەزراوەیەکا مەسیحییە، هەرچەندە هیچ بەڵگەیەکا ئینجیلی بۆ ڤێ داویێ نەیە. ئەو داویا وێ ل سەر دەسەڵاتا پوچ یا نەریت و ئادەتان هاتیه‌ ئاڤاکرن، ئەوا هەمان دەسەڵاتا درۆیە یە کو پروتستانیسم بەکار دئینەت کاتێ داویا ئەوە دکەن کو پروتستانن. ئەو هەمان منطقەیە کو ئەدڤێنتیستانێن ڕۆژا حەوتەم کەڤنە کوربوونێ دا تا باوەر بکەن کو وەک لاودیکەیان، هێشتا ل ناڤ پەیمانەکا پاراستی دا ن. ئەو هەمان دەسەڵاتا درۆیە یە کو ئیسرائیلا کەڤن راگەهاند کاتێ گوتن: «پەرستگەها خەودێ، پەرستگەها خەودێ ئەمە ن.»</w:t>
      </w:r>
    </w:p>
    <w:p>
      <w:pPr>
        <w:pStyle w:val="ArticleScripture"/>
        <w:jc w:val="left"/>
      </w:pPr>
      <w:r>
        <w:rPr>
          <w:rFonts w:ascii="Times New Roman" w:hAnsi="Times New Roman" w:eastAsia="Times New Roman" w:cs="Times New Roman"/>
        </w:rPr>
        <w:t>«Цӏаныкъом ехьылӏа хъыбар яһъынэм яһэркъым йыһудей халкъым. Ахэр Аллаh-р теджэжьыркъым, хэтэуи Я къулыкъушхо лъапӏэхэрэу къытетыр яӏэзагъэ хъущтхъуи ящӏыгъукӏэ. Ахэм къызэралъытэу щытх бэгъашӏэхэм дунейрэу фӏыщӏэныгъэ щӏагъэкъым. Яӏэрэхэм псори я къэгъэлъагъоу я къэлэжьэныркӏэ къагъэфедагъ. Ахэр Аллаh-м Яхэм кӏэрызэхэрэу къыдэхуищт къулыкъур къащӏыгъукӏэ къакӏуагъ, а псори ахэм яныбжьэгъухэм дини тхылъфэбжьэ гъуазэныгъэрэ ыгъэпсэу щыӏэ гупсэ хъущтхъу гъэсэныгъэрэ къащӏыгъукӏэ къаӏуагъ. Тфлъыжьыгъу ипэкӏэ щыӏэ дуней пасэр зыхэт щыпсалъэхэм хуэдэу, ахэр я зыхуейм иӏыгъу гу зэманфӏэм и къэралъагъу псори къырагъэзэщӏагъ. Ауэ щытыкӏэм ахэр псалъэ зэкӏэлъыжьыгъу щыкӏэ тхьэмахуэ щыпсалъэхэр фӏыгъэпсэу къагъэлъагъуагъ, мыхъуэдэу: «Яхвэм и тхьэмахуэ, Яхвэм и тхьэмахуэ, мыщ» (Иеремия 7:4), ауэ абы и зэманкӏэ ахэр Аллаh-м и щыӏэныгъэм и къэпсэлъыкӏэр къагъэбжьагъэ, Я нэр зэфӏэмыкӏэ къагъэщӏагъ, Я тхьэмахуэр зэпыщӏагъэ.»</w:t>
      </w:r>
    </w:p>
    <w:p>
      <w:pPr>
        <w:pStyle w:val="ArticleScripture"/>
        <w:jc w:val="left"/>
      </w:pPr>
      <w:r>
        <w:rPr>
          <w:rFonts w:ascii="Times New Roman" w:hAnsi="Times New Roman" w:eastAsia="Times New Roman" w:cs="Times New Roman"/>
        </w:rPr>
        <w:t>“</w:t>
      </w:r>
      <w:r>
        <w:rPr>
          <w:rFonts w:ascii="Nirmala UI" w:hAnsi="Nirmala UI" w:eastAsia="Nirmala UI" w:cs="Nirmala UI"/>
        </w:rPr>
        <w:t>గృహస్థుని</w:t>
      </w:r>
      <w:r>
        <w:rPr>
          <w:rFonts w:ascii="Times New Roman" w:hAnsi="Times New Roman" w:eastAsia="Times New Roman" w:cs="Times New Roman"/>
        </w:rPr>
        <w:t xml:space="preserve"> </w:t>
      </w:r>
      <w:r>
        <w:rPr>
          <w:rFonts w:ascii="Nirmala UI" w:hAnsi="Nirmala UI" w:eastAsia="Nirmala UI" w:cs="Nirmala UI"/>
        </w:rPr>
        <w:t>ద్రాక్షతోటకు</w:t>
      </w:r>
      <w:r>
        <w:rPr>
          <w:rFonts w:ascii="Times New Roman" w:hAnsi="Times New Roman" w:eastAsia="Times New Roman" w:cs="Times New Roman"/>
        </w:rPr>
        <w:t xml:space="preserve"> </w:t>
      </w:r>
      <w:r>
        <w:rPr>
          <w:rFonts w:ascii="Nirmala UI" w:hAnsi="Nirmala UI" w:eastAsia="Nirmala UI" w:cs="Nirmala UI"/>
        </w:rPr>
        <w:t>కాపలాదారులుగా</w:t>
      </w:r>
      <w:r>
        <w:rPr>
          <w:rFonts w:ascii="Times New Roman" w:hAnsi="Times New Roman" w:eastAsia="Times New Roman" w:cs="Times New Roman"/>
        </w:rPr>
        <w:t xml:space="preserve"> </w:t>
      </w:r>
      <w:r>
        <w:rPr>
          <w:rFonts w:ascii="Nirmala UI" w:hAnsi="Nirmala UI" w:eastAsia="Nirmala UI" w:cs="Nirmala UI"/>
        </w:rPr>
        <w:t>నియమింపబడిన</w:t>
      </w:r>
      <w:r>
        <w:rPr>
          <w:rFonts w:ascii="Times New Roman" w:hAnsi="Times New Roman" w:eastAsia="Times New Roman" w:cs="Times New Roman"/>
        </w:rPr>
        <w:t xml:space="preserve"> </w:t>
      </w:r>
      <w:r>
        <w:rPr>
          <w:rFonts w:ascii="Nirmala UI" w:hAnsi="Nirmala UI" w:eastAsia="Nirmala UI" w:cs="Nirmala UI"/>
        </w:rPr>
        <w:t>కౌలుదారులు</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అప్పగించబడిన</w:t>
      </w:r>
      <w:r>
        <w:rPr>
          <w:rFonts w:ascii="Times New Roman" w:hAnsi="Times New Roman" w:eastAsia="Times New Roman" w:cs="Times New Roman"/>
        </w:rPr>
        <w:t xml:space="preserve"> </w:t>
      </w:r>
      <w:r>
        <w:rPr>
          <w:rFonts w:ascii="Nirmala UI" w:hAnsi="Nirmala UI" w:eastAsia="Nirmala UI" w:cs="Nirmala UI"/>
        </w:rPr>
        <w:t>నమ్మకానికి</w:t>
      </w:r>
      <w:r>
        <w:rPr>
          <w:rFonts w:ascii="Times New Roman" w:hAnsi="Times New Roman" w:eastAsia="Times New Roman" w:cs="Times New Roman"/>
        </w:rPr>
        <w:t xml:space="preserve"> </w:t>
      </w:r>
      <w:r>
        <w:rPr>
          <w:rFonts w:ascii="Nirmala UI" w:hAnsi="Nirmala UI" w:eastAsia="Nirmala UI" w:cs="Nirmala UI"/>
        </w:rPr>
        <w:t>విశ్వాసపాత్రులుగా</w:t>
      </w:r>
      <w:r>
        <w:rPr>
          <w:rFonts w:ascii="Times New Roman" w:hAnsi="Times New Roman" w:eastAsia="Times New Roman" w:cs="Times New Roman"/>
        </w:rPr>
        <w:t xml:space="preserve"> </w:t>
      </w:r>
      <w:r>
        <w:rPr>
          <w:rFonts w:ascii="Nirmala UI" w:hAnsi="Nirmala UI" w:eastAsia="Nirmala UI" w:cs="Nirmala UI"/>
        </w:rPr>
        <w:t>నిలువలేదు</w:t>
      </w:r>
      <w:r>
        <w:rPr>
          <w:rFonts w:ascii="Times New Roman" w:hAnsi="Times New Roman" w:eastAsia="Times New Roman" w:cs="Times New Roman"/>
        </w:rPr>
        <w:t xml:space="preserve">. </w:t>
      </w:r>
      <w:r>
        <w:rPr>
          <w:rFonts w:ascii="Nirmala UI" w:hAnsi="Nirmala UI" w:eastAsia="Nirmala UI" w:cs="Nirmala UI"/>
        </w:rPr>
        <w:t>యాజకులు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బోధకులు</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నమ్మకమైన</w:t>
      </w:r>
      <w:r>
        <w:rPr>
          <w:rFonts w:ascii="Times New Roman" w:hAnsi="Times New Roman" w:eastAsia="Times New Roman" w:cs="Times New Roman"/>
        </w:rPr>
        <w:t xml:space="preserve"> </w:t>
      </w:r>
      <w:r>
        <w:rPr>
          <w:rFonts w:ascii="Nirmala UI" w:hAnsi="Nirmala UI" w:eastAsia="Nirmala UI" w:cs="Nirmala UI"/>
        </w:rPr>
        <w:t>ఉపదేశకులు</w:t>
      </w:r>
      <w:r>
        <w:rPr>
          <w:rFonts w:ascii="Times New Roman" w:hAnsi="Times New Roman" w:eastAsia="Times New Roman" w:cs="Times New Roman"/>
        </w:rPr>
        <w:t xml:space="preserve"> </w:t>
      </w:r>
      <w:r>
        <w:rPr>
          <w:rFonts w:ascii="Nirmala UI" w:hAnsi="Nirmala UI" w:eastAsia="Nirmala UI" w:cs="Nirmala UI"/>
        </w:rPr>
        <w:t>కాలేదు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మేలును</w:t>
      </w:r>
      <w:r>
        <w:rPr>
          <w:rFonts w:ascii="Times New Roman" w:hAnsi="Times New Roman" w:eastAsia="Times New Roman" w:cs="Times New Roman"/>
        </w:rPr>
        <w:t xml:space="preserve">, </w:t>
      </w:r>
      <w:r>
        <w:rPr>
          <w:rFonts w:ascii="Nirmala UI" w:hAnsi="Nirmala UI" w:eastAsia="Nirmala UI" w:cs="Nirmala UI"/>
        </w:rPr>
        <w:t>కరుణను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ప్రేమను</w:t>
      </w:r>
      <w:r>
        <w:rPr>
          <w:rFonts w:ascii="Times New Roman" w:hAnsi="Times New Roman" w:eastAsia="Times New Roman" w:cs="Times New Roman"/>
        </w:rPr>
        <w:t xml:space="preserve">, </w:t>
      </w:r>
      <w:r>
        <w:rPr>
          <w:rFonts w:ascii="Nirmala UI" w:hAnsi="Nirmala UI" w:eastAsia="Nirmala UI" w:cs="Nirmala UI"/>
        </w:rPr>
        <w:t>సేవను</w:t>
      </w:r>
      <w:r>
        <w:rPr>
          <w:rFonts w:ascii="Times New Roman" w:hAnsi="Times New Roman" w:eastAsia="Times New Roman" w:cs="Times New Roman"/>
        </w:rPr>
        <w:t xml:space="preserve"> </w:t>
      </w:r>
      <w:r>
        <w:rPr>
          <w:rFonts w:ascii="Nirmala UI" w:hAnsi="Nirmala UI" w:eastAsia="Nirmala UI" w:cs="Nirmala UI"/>
        </w:rPr>
        <w:t>ఆయనకు</w:t>
      </w:r>
      <w:r>
        <w:rPr>
          <w:rFonts w:ascii="Times New Roman" w:hAnsi="Times New Roman" w:eastAsia="Times New Roman" w:cs="Times New Roman"/>
        </w:rPr>
        <w:t xml:space="preserve"> </w:t>
      </w:r>
      <w:r>
        <w:rPr>
          <w:rFonts w:ascii="Nirmala UI" w:hAnsi="Nirmala UI" w:eastAsia="Nirmala UI" w:cs="Nirmala UI"/>
        </w:rPr>
        <w:t>అప్పగించవలెనన్న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హక్కును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ఎదుట</w:t>
      </w:r>
      <w:r>
        <w:rPr>
          <w:rFonts w:ascii="Times New Roman" w:hAnsi="Times New Roman" w:eastAsia="Times New Roman" w:cs="Times New Roman"/>
        </w:rPr>
        <w:t xml:space="preserve"> </w:t>
      </w:r>
      <w:r>
        <w:rPr>
          <w:rFonts w:ascii="Nirmala UI" w:hAnsi="Nirmala UI" w:eastAsia="Nirmala UI" w:cs="Nirmala UI"/>
        </w:rPr>
        <w:t>నిరంతరం</w:t>
      </w:r>
      <w:r>
        <w:rPr>
          <w:rFonts w:ascii="Times New Roman" w:hAnsi="Times New Roman" w:eastAsia="Times New Roman" w:cs="Times New Roman"/>
        </w:rPr>
        <w:t xml:space="preserve"> </w:t>
      </w:r>
      <w:r>
        <w:rPr>
          <w:rFonts w:ascii="Nirmala UI" w:hAnsi="Nirmala UI" w:eastAsia="Nirmala UI" w:cs="Nirmala UI"/>
        </w:rPr>
        <w:t>ఉంచలేదు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కౌలుదారులు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స్వంత</w:t>
      </w:r>
      <w:r>
        <w:rPr>
          <w:rFonts w:ascii="Times New Roman" w:hAnsi="Times New Roman" w:eastAsia="Times New Roman" w:cs="Times New Roman"/>
        </w:rPr>
        <w:t xml:space="preserve"> </w:t>
      </w:r>
      <w:r>
        <w:rPr>
          <w:rFonts w:ascii="Nirmala UI" w:hAnsi="Nirmala UI" w:eastAsia="Nirmala UI" w:cs="Nirmala UI"/>
        </w:rPr>
        <w:t>మహిమనే</w:t>
      </w:r>
      <w:r>
        <w:rPr>
          <w:rFonts w:ascii="Times New Roman" w:hAnsi="Times New Roman" w:eastAsia="Times New Roman" w:cs="Times New Roman"/>
        </w:rPr>
        <w:t xml:space="preserve"> </w:t>
      </w:r>
      <w:r>
        <w:rPr>
          <w:rFonts w:ascii="Nirmala UI" w:hAnsi="Nirmala UI" w:eastAsia="Nirmala UI" w:cs="Nirmala UI"/>
        </w:rPr>
        <w:t>వెదికిరి</w:t>
      </w:r>
      <w:r>
        <w:rPr>
          <w:rFonts w:ascii="Times New Roman" w:hAnsi="Times New Roman" w:eastAsia="Times New Roman" w:cs="Times New Roman"/>
        </w:rPr>
        <w:t xml:space="preserve">. </w:t>
      </w:r>
      <w:r>
        <w:rPr>
          <w:rFonts w:ascii="Nirmala UI" w:hAnsi="Nirmala UI" w:eastAsia="Nirmala UI" w:cs="Nirmala UI"/>
        </w:rPr>
        <w:t>ద్రాక్షతోట</w:t>
      </w:r>
      <w:r>
        <w:rPr>
          <w:rFonts w:ascii="Times New Roman" w:hAnsi="Times New Roman" w:eastAsia="Times New Roman" w:cs="Times New Roman"/>
        </w:rPr>
        <w:t xml:space="preserve"> </w:t>
      </w:r>
      <w:r>
        <w:rPr>
          <w:rFonts w:ascii="Nirmala UI" w:hAnsi="Nirmala UI" w:eastAsia="Nirmala UI" w:cs="Nirmala UI"/>
        </w:rPr>
        <w:t>ఫలములను</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స్వాధీనపరచుకొనుటను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ఆశించిరి</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దృష్టిని</w:t>
      </w:r>
      <w:r>
        <w:rPr>
          <w:rFonts w:ascii="Times New Roman" w:hAnsi="Times New Roman" w:eastAsia="Times New Roman" w:cs="Times New Roman"/>
        </w:rPr>
        <w:t xml:space="preserve">, </w:t>
      </w:r>
      <w:r>
        <w:rPr>
          <w:rFonts w:ascii="Nirmala UI" w:hAnsi="Nirmala UI" w:eastAsia="Nirmala UI" w:cs="Nirmala UI"/>
        </w:rPr>
        <w:t>వందనమును</w:t>
      </w:r>
      <w:r>
        <w:rPr>
          <w:rFonts w:ascii="Times New Roman" w:hAnsi="Times New Roman" w:eastAsia="Times New Roman" w:cs="Times New Roman"/>
        </w:rPr>
        <w:t xml:space="preserve"> </w:t>
      </w:r>
      <w:r>
        <w:rPr>
          <w:rFonts w:ascii="Nirmala UI" w:hAnsi="Nirmala UI" w:eastAsia="Nirmala UI" w:cs="Nirmala UI"/>
        </w:rPr>
        <w:t>తమవైపునకు</w:t>
      </w:r>
      <w:r>
        <w:rPr>
          <w:rFonts w:ascii="Times New Roman" w:hAnsi="Times New Roman" w:eastAsia="Times New Roman" w:cs="Times New Roman"/>
        </w:rPr>
        <w:t xml:space="preserve"> </w:t>
      </w:r>
      <w:r>
        <w:rPr>
          <w:rFonts w:ascii="Nirmala UI" w:hAnsi="Nirmala UI" w:eastAsia="Nirmala UI" w:cs="Nirmala UI"/>
        </w:rPr>
        <w:t>ఆకర్షించుటయే</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ప్రయత్నమై</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Christ’s Object Lessons, 292.</w:t>
      </w:r>
    </w:p>
    <w:p>
      <w:pPr>
        <w:pStyle w:val="ArticleBody"/>
        <w:jc w:val="left"/>
      </w:pPr>
      <w:r>
        <w:rPr>
          <w:rFonts w:ascii="Times New Roman" w:hAnsi="Times New Roman" w:eastAsia="Times New Roman" w:cs="Times New Roman"/>
        </w:rPr>
        <w:t>1863-</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মিলারাইটদের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1856 </w:t>
      </w:r>
      <w:r>
        <w:rPr>
          <w:rFonts w:ascii="Nirmala UI" w:hAnsi="Nirmala UI" w:eastAsia="Nirmala UI" w:cs="Nirmala UI"/>
        </w:rPr>
        <w:t>সালেই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ফিলাদেলফীয়দের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এলিয়াহ</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প্রত্যাখ্যাত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প্রত্যাখ্যানের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বেথেলের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পদ্ধতি।</w:t>
      </w:r>
      <w:r>
        <w:rPr>
          <w:rFonts w:ascii="Times New Roman" w:hAnsi="Times New Roman" w:eastAsia="Times New Roman" w:cs="Times New Roman"/>
        </w:rPr>
        <w:t xml:space="preserve"> 1863 </w:t>
      </w:r>
      <w:r>
        <w:rPr>
          <w:rFonts w:ascii="Nirmala UI" w:hAnsi="Nirmala UI" w:eastAsia="Nirmala UI" w:cs="Nirmala UI"/>
        </w:rPr>
        <w:t>ছিল</w:t>
      </w:r>
      <w:r>
        <w:rPr>
          <w:rFonts w:ascii="Times New Roman" w:hAnsi="Times New Roman" w:eastAsia="Times New Roman" w:cs="Times New Roman"/>
        </w:rPr>
        <w:t xml:space="preserve"> 1798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পঁয়ষট্টি</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সমাপ্তি।</w:t>
      </w:r>
    </w:p>
    <w:p>
      <w:pPr>
        <w:pStyle w:val="ArticleScripture"/>
        <w:jc w:val="left"/>
      </w:pPr>
      <w:r>
        <w:rPr>
          <w:rFonts w:ascii="Times New Roman" w:hAnsi="Times New Roman" w:eastAsia="Times New Roman" w:cs="Times New Roman"/>
        </w:rPr>
        <w:t>ۋە يۇداغاھ پادىشاھى ئۇززىيانىڭ نەۋرىسى، يوتامنىڭ ئوغلى ئاھازنىڭ كۈنلىرىدە شۇنداق بولدىكى، سۈرىيە پادىشاھى رەزىن ۋە ئىسرائىل پادىشاھى، رەمالىيىنىڭ ئوغلى پەقەخ يېرۇسالېمگە قارشى جەڭ قىلغىلى چىقتى، بىراق ئۇنىڭ ئۈستىدىن غەلىبە قىلالمىدى. داۋۇتنىڭ خانىدانىغا: «سۈرىيە ئەفرائىم بىلەن ئىتتىپاقلاشتى» دەپ خەۋەر يەتكۈزۈلدى. شۇنىڭ بىلەن ئۇنىڭ يۈرىكىمۇ، خەلقىنىڭ يۈرىكىمۇ شامالدا تەۋرەنگەن ئورمان دەرەخلىرىدەك تەۋرەندى. ئاندىن پەرۋەردىگار ئىشاياھقا: «سەن ۋە ئوغۇلۇڭ شەئارجاشۇب ھازىر چىقىپ، يۇقىرىقى كۆلنىڭ سۇ يولىنىڭ ئاخىرىدا، تولاچىلار ئېتىزىغا بارىدىغان يول بويىدا ئاھاز بىلەن ئۇچراشقىن؛ ئۇنىڭغا مۇنداق دېگىن: ھوشيار بولغىن، تىنچ تۇرغىن؛ قورقمىغىن، يۈرەكسىز بولمىغىن؛ رەزىن بىلەن سۈرىيەنىڭ ۋە رەمالىيىنىڭ ئوغلىنىڭ قەھرلىك غەزىپى سەۋەبىدىن، بۇ ئىككى تۈتۈنلەۋاتقان ئوتۇننىڭ قالدۇق ئۇچىدىن ۋەھىمە قىلما. چۈنكى سۈرىيە، ئەفرائىم ۋە رەمالىيىنىڭ ئوغلى ساڭا قارشى يامان مەسلىھەت تۈزۈپ: «بىز يۇداغاھقا قارشى چىقىپ، ئۇنى بىئارام قىلايلى، ئۆزىمىز ئۈچۈن ئۇنىڭدا بىر يارما ئېچىپ، ئۇنىڭ ئوتتۇرىسىغا تابەئەلنىڭ ئوغلىنى پادىشاھ قىلىپ تىكلەيلى» دېگەن. رەب پەرۋەردىگار مۇنداق دەيدۇ: «بۇ ئىش تۇرمىيدۇ، ئەمەلگىمۇ ئاشمايدۇ. چۈنكى سۈرىيەنىڭ بېشى دەمەشق، دەمەشقنىڭ بېشى بولسا رەزىن؛ يەنە ئاتمىش بەش يىل ئىچىدە ئەفرائىم شۇنچىلىك پارچىلىنىدۇكى، ئەمدى بىر خەلق بولۇپ قالمايدۇ. ئەفرائىمنىڭ بېشى سامارىيە، سامارىيەنىڭ بېشى بولسا رەمالىيىنىڭ ئوغلىدۇر. ئەگەر ئىشەنمىسەڭلار، جەزمەن مۇستەھكەم تۇرالمايسىلەر.» ئىشاياھ 7:1–9.</w:t>
      </w:r>
    </w:p>
    <w:p>
      <w:pPr>
        <w:pStyle w:val="ArticleBody"/>
        <w:jc w:val="left"/>
      </w:pPr>
      <w:r>
        <w:rPr>
          <w:rFonts w:ascii="Nirmala UI" w:hAnsi="Nirmala UI" w:eastAsia="Nirmala UI" w:cs="Nirmala UI"/>
        </w:rPr>
        <w:t>प्रकटीकरणाच्या</w:t>
      </w:r>
      <w:r>
        <w:rPr>
          <w:rFonts w:ascii="Times New Roman" w:hAnsi="Times New Roman" w:eastAsia="Times New Roman" w:cs="Times New Roman"/>
        </w:rPr>
        <w:t xml:space="preserve"> </w:t>
      </w:r>
      <w:r>
        <w:rPr>
          <w:rFonts w:ascii="Nirmala UI" w:hAnsi="Nirmala UI" w:eastAsia="Nirmala UI" w:cs="Nirmala UI"/>
        </w:rPr>
        <w:t>आठव्या</w:t>
      </w:r>
      <w:r>
        <w:rPr>
          <w:rFonts w:ascii="Times New Roman" w:hAnsi="Times New Roman" w:eastAsia="Times New Roman" w:cs="Times New Roman"/>
        </w:rPr>
        <w:t xml:space="preserve"> </w:t>
      </w:r>
      <w:r>
        <w:rPr>
          <w:rFonts w:ascii="Nirmala UI" w:hAnsi="Nirmala UI" w:eastAsia="Nirmala UI" w:cs="Nirmala UI"/>
        </w:rPr>
        <w:t>वचनातील</w:t>
      </w:r>
      <w:r>
        <w:rPr>
          <w:rFonts w:ascii="Times New Roman" w:hAnsi="Times New Roman" w:eastAsia="Times New Roman" w:cs="Times New Roman"/>
        </w:rPr>
        <w:t xml:space="preserve"> </w:t>
      </w:r>
      <w:r>
        <w:rPr>
          <w:rFonts w:ascii="Nirmala UI" w:hAnsi="Nirmala UI" w:eastAsia="Nirmala UI" w:cs="Nirmala UI"/>
        </w:rPr>
        <w:t>पासष्ट</w:t>
      </w:r>
      <w:r>
        <w:rPr>
          <w:rFonts w:ascii="Times New Roman" w:hAnsi="Times New Roman" w:eastAsia="Times New Roman" w:cs="Times New Roman"/>
        </w:rPr>
        <w:t xml:space="preserve"> </w:t>
      </w:r>
      <w:r>
        <w:rPr>
          <w:rFonts w:ascii="Nirmala UI" w:hAnsi="Nirmala UI" w:eastAsia="Nirmala UI" w:cs="Nirmala UI"/>
        </w:rPr>
        <w:t>वर्षांची</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पासष्ट</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कालावधीच्या</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वंशांच्या</w:t>
      </w:r>
      <w:r>
        <w:rPr>
          <w:rFonts w:ascii="Times New Roman" w:hAnsi="Times New Roman" w:eastAsia="Times New Roman" w:cs="Times New Roman"/>
        </w:rPr>
        <w:t xml:space="preserve"> </w:t>
      </w:r>
      <w:r>
        <w:rPr>
          <w:rFonts w:ascii="Nirmala UI" w:hAnsi="Nirmala UI" w:eastAsia="Nirmala UI" w:cs="Nirmala UI"/>
        </w:rPr>
        <w:t>उत्तरेकडील</w:t>
      </w:r>
      <w:r>
        <w:rPr>
          <w:rFonts w:ascii="Times New Roman" w:hAnsi="Times New Roman" w:eastAsia="Times New Roman" w:cs="Times New Roman"/>
        </w:rPr>
        <w:t xml:space="preserve"> </w:t>
      </w:r>
      <w:r>
        <w:rPr>
          <w:rFonts w:ascii="Nirmala UI" w:hAnsi="Nirmala UI" w:eastAsia="Nirmala UI" w:cs="Nirmala UI"/>
        </w:rPr>
        <w:t>राज्याला</w:t>
      </w:r>
      <w:r>
        <w:rPr>
          <w:rFonts w:ascii="Times New Roman" w:hAnsi="Times New Roman" w:eastAsia="Times New Roman" w:cs="Times New Roman"/>
        </w:rPr>
        <w:t xml:space="preserve"> </w:t>
      </w:r>
      <w:r>
        <w:rPr>
          <w:rFonts w:ascii="Nirmala UI" w:hAnsi="Nirmala UI" w:eastAsia="Nirmala UI" w:cs="Nirmala UI"/>
        </w:rPr>
        <w:t>बंदिवासात</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742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नोंदविण्यात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एकोणीस</w:t>
      </w:r>
      <w:r>
        <w:rPr>
          <w:rFonts w:ascii="Times New Roman" w:hAnsi="Times New Roman" w:eastAsia="Times New Roman" w:cs="Times New Roman"/>
        </w:rPr>
        <w:t xml:space="preserve"> </w:t>
      </w:r>
      <w:r>
        <w:rPr>
          <w:rFonts w:ascii="Nirmala UI" w:hAnsi="Nirmala UI" w:eastAsia="Nirmala UI" w:cs="Nirmala UI"/>
        </w:rPr>
        <w:t>वर्षांनी</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723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एफ्रैम</w:t>
      </w:r>
      <w:r>
        <w:rPr>
          <w:rFonts w:ascii="Times New Roman" w:hAnsi="Times New Roman" w:eastAsia="Times New Roman" w:cs="Times New Roman"/>
        </w:rPr>
        <w:t xml:space="preserve"> </w:t>
      </w:r>
      <w:r>
        <w:rPr>
          <w:rFonts w:ascii="Nirmala UI" w:hAnsi="Nirmala UI" w:eastAsia="Nirmala UI" w:cs="Nirmala UI"/>
        </w:rPr>
        <w:t>विखुरला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बंदिवासात</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677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पासष्ट</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मनश्शे</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पकडून</w:t>
      </w:r>
      <w:r>
        <w:rPr>
          <w:rFonts w:ascii="Times New Roman" w:hAnsi="Times New Roman" w:eastAsia="Times New Roman" w:cs="Times New Roman"/>
        </w:rPr>
        <w:t xml:space="preserve"> </w:t>
      </w:r>
      <w:r>
        <w:rPr>
          <w:rFonts w:ascii="Nirmala UI" w:hAnsi="Nirmala UI" w:eastAsia="Nirmala UI" w:cs="Nirmala UI"/>
        </w:rPr>
        <w:t>बाबेलमध्ये</w:t>
      </w:r>
      <w:r>
        <w:rPr>
          <w:rFonts w:ascii="Times New Roman" w:hAnsi="Times New Roman" w:eastAsia="Times New Roman" w:cs="Times New Roman"/>
        </w:rPr>
        <w:t xml:space="preserve"> </w:t>
      </w:r>
      <w:r>
        <w:rPr>
          <w:rFonts w:ascii="Nirmala UI" w:hAnsi="Nirmala UI" w:eastAsia="Nirmala UI" w:cs="Nirmala UI"/>
        </w:rPr>
        <w:t>नेण्यात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742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आरंभबिंदू</w:t>
      </w:r>
      <w:r>
        <w:rPr>
          <w:rFonts w:ascii="Times New Roman" w:hAnsi="Times New Roman" w:eastAsia="Times New Roman" w:cs="Times New Roman"/>
        </w:rPr>
        <w:t xml:space="preserve"> </w:t>
      </w:r>
      <w:r>
        <w:rPr>
          <w:rFonts w:ascii="Nirmala UI" w:hAnsi="Nirmala UI" w:eastAsia="Nirmala UI" w:cs="Nirmala UI"/>
        </w:rPr>
        <w:t>इस्राएलच्या</w:t>
      </w:r>
      <w:r>
        <w:rPr>
          <w:rFonts w:ascii="Times New Roman" w:hAnsi="Times New Roman" w:eastAsia="Times New Roman" w:cs="Times New Roman"/>
        </w:rPr>
        <w:t xml:space="preserve"> </w:t>
      </w:r>
      <w:r>
        <w:rPr>
          <w:rFonts w:ascii="Nirmala UI" w:hAnsi="Nirmala UI" w:eastAsia="Nirmala UI" w:cs="Nirmala UI"/>
        </w:rPr>
        <w:t>उत्तरेकडील</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दक्षिणेकडील</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यांच्यामधील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गृहयुद्धाची</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1863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संस्थानांतील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यांच्यामधील</w:t>
      </w:r>
      <w:r>
        <w:rPr>
          <w:rFonts w:ascii="Times New Roman" w:hAnsi="Times New Roman" w:eastAsia="Times New Roman" w:cs="Times New Roman"/>
        </w:rPr>
        <w:t xml:space="preserve"> </w:t>
      </w:r>
      <w:r>
        <w:rPr>
          <w:rFonts w:ascii="Nirmala UI" w:hAnsi="Nirmala UI" w:eastAsia="Nirmala UI" w:cs="Nirmala UI"/>
        </w:rPr>
        <w:t>गृहयुद्धाच्या</w:t>
      </w:r>
      <w:r>
        <w:rPr>
          <w:rFonts w:ascii="Times New Roman" w:hAnsi="Times New Roman" w:eastAsia="Times New Roman" w:cs="Times New Roman"/>
        </w:rPr>
        <w:t xml:space="preserve"> </w:t>
      </w:r>
      <w:r>
        <w:rPr>
          <w:rFonts w:ascii="Nirmala UI" w:hAnsi="Nirmala UI" w:eastAsia="Nirmala UI" w:cs="Nirmala UI"/>
        </w:rPr>
        <w:t>नेमक्या</w:t>
      </w:r>
      <w:r>
        <w:rPr>
          <w:rFonts w:ascii="Times New Roman" w:hAnsi="Times New Roman" w:eastAsia="Times New Roman" w:cs="Times New Roman"/>
        </w:rPr>
        <w:t xml:space="preserve"> </w:t>
      </w:r>
      <w:r>
        <w:rPr>
          <w:rFonts w:ascii="Nirmala UI" w:hAnsi="Nirmala UI" w:eastAsia="Nirmala UI" w:cs="Nirmala UI"/>
        </w:rPr>
        <w:t>मध्यबिंदूची</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यशयाने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देशात</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1863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संस्थाने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w:t>
      </w:r>
    </w:p>
    <w:p>
      <w:pPr>
        <w:pStyle w:val="ArticleBody"/>
        <w:jc w:val="left"/>
      </w:pPr>
      <w:r>
        <w:rPr>
          <w:rFonts w:ascii="Ebrima" w:hAnsi="Ebrima" w:eastAsia="Ebrima" w:cs="Ebrima"/>
        </w:rPr>
        <w:t>በስልሳ</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742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የውስጥ</w:t>
      </w:r>
      <w:r>
        <w:rPr>
          <w:rFonts w:ascii="Times New Roman" w:hAnsi="Times New Roman" w:eastAsia="Times New Roman" w:cs="Times New Roman"/>
        </w:rPr>
        <w:t xml:space="preserve"> </w:t>
      </w:r>
      <w:r>
        <w:rPr>
          <w:rFonts w:ascii="Ebrima" w:hAnsi="Ebrima" w:eastAsia="Ebrima" w:cs="Ebrima"/>
        </w:rPr>
        <w:t>ጦርነትን</w:t>
      </w:r>
      <w:r>
        <w:rPr>
          <w:rFonts w:ascii="Times New Roman" w:hAnsi="Times New Roman" w:eastAsia="Times New Roman" w:cs="Times New Roman"/>
        </w:rPr>
        <w:t xml:space="preserve"> </w:t>
      </w:r>
      <w:r>
        <w:rPr>
          <w:rFonts w:ascii="Ebrima" w:hAnsi="Ebrima" w:eastAsia="Ebrima" w:cs="Ebrima"/>
        </w:rPr>
        <w:t>ከአስራ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723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የሰሜናዊው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መበተን</w:t>
      </w:r>
      <w:r>
        <w:rPr>
          <w:rFonts w:ascii="Times New Roman" w:hAnsi="Times New Roman" w:eastAsia="Times New Roman" w:cs="Times New Roman"/>
        </w:rPr>
        <w:t xml:space="preserve"> </w:t>
      </w:r>
      <w:r>
        <w:rPr>
          <w:rFonts w:ascii="Ebrima" w:hAnsi="Ebrima" w:eastAsia="Ebrima" w:cs="Ebrima"/>
        </w:rPr>
        <w:t>ተከተለ።</w:t>
      </w:r>
      <w:r>
        <w:rPr>
          <w:rFonts w:ascii="Times New Roman" w:hAnsi="Times New Roman" w:eastAsia="Times New Roman" w:cs="Times New Roman"/>
        </w:rPr>
        <w:t xml:space="preserve"> </w:t>
      </w:r>
      <w:r>
        <w:rPr>
          <w:rFonts w:ascii="Ebrima" w:hAnsi="Ebrima" w:eastAsia="Ebrima" w:cs="Ebrima"/>
        </w:rPr>
        <w:t>በስልሳ</w:t>
      </w:r>
      <w:r>
        <w:rPr>
          <w:rFonts w:ascii="Times New Roman" w:hAnsi="Times New Roman" w:eastAsia="Times New Roman" w:cs="Times New Roman"/>
        </w:rPr>
        <w:t xml:space="preserve"> </w:t>
      </w:r>
      <w:r>
        <w:rPr>
          <w:rFonts w:ascii="Ebrima" w:hAnsi="Ebrima" w:eastAsia="Ebrima" w:cs="Ebrima"/>
        </w:rPr>
        <w:t>አምስቱ</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ተበተነ።</w:t>
      </w:r>
      <w:r>
        <w:rPr>
          <w:rFonts w:ascii="Times New Roman" w:hAnsi="Times New Roman" w:eastAsia="Times New Roman" w:cs="Times New Roman"/>
        </w:rPr>
        <w:t xml:space="preserve"> </w:t>
      </w:r>
      <w:r>
        <w:rPr>
          <w:rFonts w:ascii="Ebrima" w:hAnsi="Ebrima" w:eastAsia="Ebrima" w:cs="Ebrima"/>
        </w:rPr>
        <w:t>ትንቢቱ፣</w:t>
      </w:r>
      <w:r>
        <w:rPr>
          <w:rFonts w:ascii="Times New Roman" w:hAnsi="Times New Roman" w:eastAsia="Times New Roman" w:cs="Times New Roman"/>
        </w:rPr>
        <w:t xml:space="preserve"> </w:t>
      </w:r>
      <w:r>
        <w:rPr>
          <w:rFonts w:ascii="Ebrima" w:hAnsi="Ebrima" w:eastAsia="Ebrima" w:cs="Ebrima"/>
        </w:rPr>
        <w:t>መጀመሪያውንና</w:t>
      </w:r>
      <w:r>
        <w:rPr>
          <w:rFonts w:ascii="Times New Roman" w:hAnsi="Times New Roman" w:eastAsia="Times New Roman" w:cs="Times New Roman"/>
        </w:rPr>
        <w:t xml:space="preserve"> </w:t>
      </w:r>
      <w:r>
        <w:rPr>
          <w:rFonts w:ascii="Ebrima" w:hAnsi="Ebrima" w:eastAsia="Ebrima" w:cs="Ebrima"/>
        </w:rPr>
        <w:t>መጨረሻውን</w:t>
      </w:r>
      <w:r>
        <w:rPr>
          <w:rFonts w:ascii="Times New Roman" w:hAnsi="Times New Roman" w:eastAsia="Times New Roman" w:cs="Times New Roman"/>
        </w:rPr>
        <w:t xml:space="preserve"> </w:t>
      </w:r>
      <w:r>
        <w:rPr>
          <w:rFonts w:ascii="Ebrima" w:hAnsi="Ebrima" w:eastAsia="Ebrima" w:cs="Ebrima"/>
        </w:rPr>
        <w:t>ጨምሮ፣</w:t>
      </w:r>
      <w:r>
        <w:rPr>
          <w:rFonts w:ascii="Times New Roman" w:hAnsi="Times New Roman" w:eastAsia="Times New Roman" w:cs="Times New Roman"/>
        </w:rPr>
        <w:t xml:space="preserve"> </w:t>
      </w:r>
      <w:r>
        <w:rPr>
          <w:rFonts w:ascii="Ebrima" w:hAnsi="Ebrima" w:eastAsia="Ebrima" w:cs="Ebrima"/>
        </w:rPr>
        <w:t>በሰሜናዊውና</w:t>
      </w:r>
      <w:r>
        <w:rPr>
          <w:rFonts w:ascii="Times New Roman" w:hAnsi="Times New Roman" w:eastAsia="Times New Roman" w:cs="Times New Roman"/>
        </w:rPr>
        <w:t xml:space="preserve"> </w:t>
      </w:r>
      <w:r>
        <w:rPr>
          <w:rFonts w:ascii="Ebrima" w:hAnsi="Ebrima" w:eastAsia="Ebrima" w:cs="Ebrima"/>
        </w:rPr>
        <w:t>በደቡባዊው</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ሁለቱንም</w:t>
      </w:r>
      <w:r>
        <w:rPr>
          <w:rFonts w:ascii="Times New Roman" w:hAnsi="Times New Roman" w:eastAsia="Times New Roman" w:cs="Times New Roman"/>
        </w:rPr>
        <w:t xml:space="preserve"> “</w:t>
      </w:r>
      <w:r>
        <w:rPr>
          <w:rFonts w:ascii="Ebrima" w:hAnsi="Ebrima" w:eastAsia="Ebrima" w:cs="Ebrima"/>
        </w:rPr>
        <w:t>ቁጣዎች</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ቁጣዎች</w:t>
      </w:r>
      <w:r>
        <w:rPr>
          <w:rFonts w:ascii="Times New Roman" w:hAnsi="Times New Roman" w:eastAsia="Times New Roman" w:cs="Times New Roman"/>
        </w:rPr>
        <w:t xml:space="preserve"> </w:t>
      </w:r>
      <w:r>
        <w:rPr>
          <w:rFonts w:ascii="Ebrima" w:hAnsi="Ebrima" w:eastAsia="Ebrima" w:cs="Ebrima"/>
        </w:rPr>
        <w:t>በመነሻ</w:t>
      </w:r>
      <w:r>
        <w:rPr>
          <w:rFonts w:ascii="Times New Roman" w:hAnsi="Times New Roman" w:eastAsia="Times New Roman" w:cs="Times New Roman"/>
        </w:rPr>
        <w:t xml:space="preserve"> </w:t>
      </w:r>
      <w:r>
        <w:rPr>
          <w:rFonts w:ascii="Ebrima" w:hAnsi="Ebrima" w:eastAsia="Ebrima" w:cs="Ebrima"/>
        </w:rPr>
        <w:t>ነጥቦቻቸው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ቀድመው</w:t>
      </w:r>
      <w:r>
        <w:rPr>
          <w:rFonts w:ascii="Times New Roman" w:hAnsi="Times New Roman" w:eastAsia="Times New Roman" w:cs="Times New Roman"/>
        </w:rPr>
        <w:t xml:space="preserve"> </w:t>
      </w:r>
      <w:r>
        <w:rPr>
          <w:rFonts w:ascii="Ebrima" w:hAnsi="Ebrima" w:eastAsia="Ebrima" w:cs="Ebrima"/>
        </w:rPr>
        <w:t>የተጀመሩ</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ከፍጻሜያቸው</w:t>
      </w:r>
      <w:r>
        <w:rPr>
          <w:rFonts w:ascii="Times New Roman" w:hAnsi="Times New Roman" w:eastAsia="Times New Roman" w:cs="Times New Roman"/>
        </w:rPr>
        <w:t xml:space="preserve"> </w:t>
      </w:r>
      <w:r>
        <w:rPr>
          <w:rFonts w:ascii="Ebrima" w:hAnsi="Ebrima" w:eastAsia="Ebrima" w:cs="Ebrima"/>
        </w:rPr>
        <w:t>በኋላም</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ይከተላቸዋል።</w:t>
      </w:r>
    </w:p>
    <w:p>
      <w:pPr>
        <w:pStyle w:val="ArticleBody"/>
        <w:jc w:val="left"/>
      </w:pPr>
      <w:r>
        <w:rPr>
          <w:rFonts w:ascii="Times New Roman" w:hAnsi="Times New Roman" w:eastAsia="Times New Roman" w:cs="Times New Roman"/>
        </w:rPr>
        <w:t>Ցիաստիկ ամբողջ կառուցվածքը բնորոշում է հյուսիսի և հարավի միջև տեղի ունեցող քաղաքացիական պատերազմի մի ժամանակաշրջան, որը նշանավորում է սկիզբն ու ավարտը։ Սկզբի և ավարտի միջնամասում քաղաքացիական պատերազմի երկու հակառակորդներն էլ տարվեցին գերության, և այն վաթսունհինգ տարիների ընթացքում, որոնց մեջ նրանք իրենց փոխադարձաբար ցրված գերության վիճակից հավաքվում են մեկ ազգի մեջ, նրանք հասնում են 1863 թվին, որը Ազատագրության հռչակագրի թվականն է, որով ազատ արձակվեցին ստրուկները։ Բառացի Հուդայում քաղաքացիական պատերազմի մարգարեությունն իր ավարտին է հասնում հոգևոր Հուդայի քաղաքացիական պատերազմում, որովհետև Հիսուսը միշտ որևէ բանի վերջը պատկերում է որևէ բանի սկզբով, քանզի Նա է Ալֆան և Օմեգան։</w:t>
      </w:r>
    </w:p>
    <w:p>
      <w:pPr>
        <w:pStyle w:val="ArticleBody"/>
        <w:jc w:val="left"/>
      </w:pP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၇၄၂</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သမိုင်းအားဖြင့်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အီရှာယသည်</w:t>
      </w:r>
      <w:r>
        <w:rPr>
          <w:rFonts w:ascii="Times New Roman" w:hAnsi="Times New Roman" w:eastAsia="Times New Roman" w:cs="Times New Roman"/>
        </w:rPr>
        <w:t xml:space="preserve"> </w:t>
      </w:r>
      <w:r>
        <w:rPr>
          <w:rFonts w:ascii="Myanmar Text" w:hAnsi="Myanmar Text" w:eastAsia="Myanmar Text" w:cs="Myanmar Text"/>
        </w:rPr>
        <w:t>မိမိသားနှင့်အတူ</w:t>
      </w:r>
      <w:r>
        <w:rPr>
          <w:rFonts w:ascii="Times New Roman" w:hAnsi="Times New Roman" w:eastAsia="Times New Roman" w:cs="Times New Roman"/>
        </w:rPr>
        <w:t xml:space="preserve"> </w:t>
      </w:r>
      <w:r>
        <w:rPr>
          <w:rFonts w:ascii="Myanmar Text" w:hAnsi="Myanmar Text" w:eastAsia="Myanmar Text" w:cs="Myanmar Text"/>
        </w:rPr>
        <w:t>ယုဒရှင်ဘုရင်အဆိုး</w:t>
      </w:r>
      <w:r>
        <w:rPr>
          <w:rFonts w:ascii="Times New Roman" w:hAnsi="Times New Roman" w:eastAsia="Times New Roman" w:cs="Times New Roman"/>
        </w:rPr>
        <w:t xml:space="preserve"> </w:t>
      </w:r>
      <w:r>
        <w:rPr>
          <w:rFonts w:ascii="Myanmar Text" w:hAnsi="Myanmar Text" w:eastAsia="Myanmar Text" w:cs="Myanmar Text"/>
        </w:rPr>
        <w:t>အာဟတ်ထံ</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ပို့ဆောင်ခဲ့သည်။</w:t>
      </w:r>
      <w:r>
        <w:rPr>
          <w:rFonts w:ascii="Times New Roman" w:hAnsi="Times New Roman" w:eastAsia="Times New Roman" w:cs="Times New Roman"/>
        </w:rPr>
        <w:t xml:space="preserve"> </w:t>
      </w:r>
      <w:r>
        <w:rPr>
          <w:rFonts w:ascii="Myanmar Text" w:hAnsi="Myanmar Text" w:eastAsia="Myanmar Text" w:cs="Myanmar Text"/>
        </w:rPr>
        <w:t>ထိုစာပိုဒ်၌</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၇၄၂</w:t>
      </w:r>
      <w:r>
        <w:rPr>
          <w:rFonts w:ascii="Times New Roman" w:hAnsi="Times New Roman" w:eastAsia="Times New Roman" w:cs="Times New Roman"/>
        </w:rPr>
        <w:t xml:space="preserve"> </w:t>
      </w:r>
      <w:r>
        <w:rPr>
          <w:rFonts w:ascii="Myanmar Text" w:hAnsi="Myanmar Text" w:eastAsia="Myanmar Text" w:cs="Myanmar Text"/>
        </w:rPr>
        <w:t>ခုနှစ်ကို</w:t>
      </w:r>
      <w:r>
        <w:rPr>
          <w:rFonts w:ascii="Times New Roman" w:hAnsi="Times New Roman" w:eastAsia="Times New Roman" w:cs="Times New Roman"/>
        </w:rPr>
        <w:t xml:space="preserve"> </w:t>
      </w:r>
      <w:r>
        <w:rPr>
          <w:rFonts w:ascii="Myanmar Text" w:hAnsi="Myanmar Text" w:eastAsia="Myanmar Text" w:cs="Myanmar Text"/>
        </w:rPr>
        <w:t>ယုဒဘုရင်</w:t>
      </w:r>
      <w:r>
        <w:rPr>
          <w:rFonts w:ascii="Times New Roman" w:hAnsi="Times New Roman" w:eastAsia="Times New Roman" w:cs="Times New Roman"/>
        </w:rPr>
        <w:t xml:space="preserve"> </w:t>
      </w:r>
      <w:r>
        <w:rPr>
          <w:rFonts w:ascii="Myanmar Text" w:hAnsi="Myanmar Text" w:eastAsia="Myanmar Text" w:cs="Myanmar Text"/>
        </w:rPr>
        <w:t>အာဟတ်၏</w:t>
      </w:r>
      <w:r>
        <w:rPr>
          <w:rFonts w:ascii="Times New Roman" w:hAnsi="Times New Roman" w:eastAsia="Times New Roman" w:cs="Times New Roman"/>
        </w:rPr>
        <w:t xml:space="preserve"> </w:t>
      </w:r>
      <w:r>
        <w:rPr>
          <w:rFonts w:ascii="Myanmar Text" w:hAnsi="Myanmar Text" w:eastAsia="Myanmar Text" w:cs="Myanmar Text"/>
        </w:rPr>
        <w:t>သက်သေခံချက်အားဖြင့်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အာဟတ်သည်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ပိတ်သိမ်းခဲ့သောသူဖြစ်ပြီး၊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ယဇ်ပုရောဟိတ်မင်းအား</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အဝင်းအတွင်း၌ပင်</w:t>
      </w:r>
      <w:r>
        <w:rPr>
          <w:rFonts w:ascii="Times New Roman" w:hAnsi="Times New Roman" w:eastAsia="Times New Roman" w:cs="Times New Roman"/>
        </w:rPr>
        <w:t xml:space="preserve"> </w:t>
      </w:r>
      <w:r>
        <w:rPr>
          <w:rFonts w:ascii="Myanmar Text" w:hAnsi="Myanmar Text" w:eastAsia="Myanmar Text" w:cs="Myanmar Text"/>
        </w:rPr>
        <w:t>ဆီးရီးယား</w:t>
      </w:r>
      <w:r>
        <w:rPr>
          <w:rFonts w:ascii="Times New Roman" w:hAnsi="Times New Roman" w:eastAsia="Times New Roman" w:cs="Times New Roman"/>
        </w:rPr>
        <w:t xml:space="preserve"> </w:t>
      </w:r>
      <w:r>
        <w:rPr>
          <w:rFonts w:ascii="Myanmar Text" w:hAnsi="Myanmar Text" w:eastAsia="Myanmar Text" w:cs="Myanmar Text"/>
        </w:rPr>
        <w:t>ဘုရားကျောင်း၏</w:t>
      </w:r>
      <w:r>
        <w:rPr>
          <w:rFonts w:ascii="Times New Roman" w:hAnsi="Times New Roman" w:eastAsia="Times New Roman" w:cs="Times New Roman"/>
        </w:rPr>
        <w:t xml:space="preserve"> </w:t>
      </w:r>
      <w:r>
        <w:rPr>
          <w:rFonts w:ascii="Myanmar Text" w:hAnsi="Myanmar Text" w:eastAsia="Myanmar Text" w:cs="Myanmar Text"/>
        </w:rPr>
        <w:t>နမူနာပုံစံတစ်ရပ်ကို</w:t>
      </w:r>
      <w:r>
        <w:rPr>
          <w:rFonts w:ascii="Times New Roman" w:hAnsi="Times New Roman" w:eastAsia="Times New Roman" w:cs="Times New Roman"/>
        </w:rPr>
        <w:t xml:space="preserve"> </w:t>
      </w:r>
      <w:r>
        <w:rPr>
          <w:rFonts w:ascii="Myanmar Text" w:hAnsi="Myanmar Text" w:eastAsia="Myanmar Text" w:cs="Myanmar Text"/>
        </w:rPr>
        <w:t>ဆောက်လုပ်စေခဲ့သူလည်း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ئالم خىئه ئاھازى پادشاى خراپى يەھۇدا، کە لە پێشبینى ئیشعیاوەدا بە ساڵی 742 پ.ز. نیشان کراوە، سەرکردەى ئورشەلیم پەرستنى بەتپەرستى (کاتۆلیکى) هێنایە ناو کڵێسای خودا؛ هەروەک ئەدفێنتیزمى لاودیکەیى بۆ ئەوەى پەیامى موسا، کە لەلایەن ئیلیاوه‌وە گەیەنرابوو، فڕێ بداتەوە، بۆ ڕێبازى پرۆتستانتیزمى مرتەد گەڕایەوە. لە ساڵی 742 پ.ز.، ئیشعیا ڕوو بە ڕووى ئەو پادشاى خراپەى یەھودا بوو لە کۆتایی ڕێڕەوى حەوزى سەرەوە، لەلایەن کێڵگەى جڵشۆرەوە، و کاتێک ئەو کارەى کرد، کوڕەکەشى لەگەڵ خۆى هێنا. ناوى کوڕەکەى نیشانەیەک بوو، و کاتێک پێغەمبەرەکەى یەھوداش ڕوو بە ڕووى پادشا یەروبوعام بوو، ئەویش نیشانەیەکى پێ دا.</w:t>
      </w:r>
    </w:p>
    <w:p>
      <w:pPr>
        <w:pStyle w:val="ArticleScripture"/>
        <w:jc w:val="left"/>
      </w:pPr>
      <w:r>
        <w:rPr>
          <w:rFonts w:ascii="Times New Roman" w:hAnsi="Times New Roman" w:eastAsia="Times New Roman" w:cs="Times New Roman"/>
        </w:rPr>
        <w:t>He aquí, yo y los hijos que el Señor me ha dado somos por señales y por prodigios en Israel, de parte del Señor de los ejércitos, que mora en el monte Sion. Isaías 8:18.</w:t>
      </w:r>
    </w:p>
    <w:p>
      <w:pPr>
        <w:pStyle w:val="ArticleBody"/>
        <w:jc w:val="left"/>
      </w:pPr>
      <w:r>
        <w:rPr>
          <w:rFonts w:ascii="Times New Roman" w:hAnsi="Times New Roman" w:eastAsia="Times New Roman" w:cs="Times New Roman"/>
        </w:rPr>
        <w:t>Isaias churinpa sutin “Shearjashub” nin “puchuqkuna kutimunqaku” ninanmi. Chay “kutimuqkuna” puchuqkunata ruwankuqa, Señorpa shuyakuynin tiempollapi Payta suyaqkunam kanku.</w:t>
      </w:r>
    </w:p>
    <w:p>
      <w:pPr>
        <w:pStyle w:val="ArticleScripture"/>
        <w:jc w:val="left"/>
      </w:pPr>
      <w:r>
        <w:rPr>
          <w:rFonts w:ascii="Times New Roman" w:hAnsi="Times New Roman" w:eastAsia="Times New Roman" w:cs="Times New Roman"/>
        </w:rPr>
        <w:t>Так и я буду ожидать Господа, Который сокрыл лице Свое от дома Иакова, и буду уповать на Него. Вот я и дети, которых дал мне Господь, — как знамения и предвестия в Израиле от Господа Саваофа, обитающего на горе Сион. Исаия 8:17, 18.</w:t>
      </w:r>
    </w:p>
    <w:p>
      <w:pPr>
        <w:pStyle w:val="ArticleBody"/>
        <w:jc w:val="left"/>
      </w:pPr>
      <w:r>
        <w:rPr>
          <w:rFonts w:ascii="Times New Roman" w:hAnsi="Times New Roman" w:eastAsia="Times New Roman" w:cs="Times New Roman"/>
        </w:rPr>
        <w:t>740 tə ellərig turmiša Išaýa yaman patyşa Ahaz bilen sözleşende, ol «garaşanlary» wekilçilik edýär; çünki ähli pygamberler soňky günler barada sözleýärler, soňky günlerde «garaşýanlar» bolsa ilkinji lapykeçligi başdan geçirenlerdir. Ýeremiýa Hudaýyň ýalan aýdandygyny we ýagyşy saklandygyny pikir etdi, Işaýa bolsa Hudaýyň «Ýakubyň öýünden Öz ýüzüni gizländigini» pikir edýär; emma Işaýa garaşjakdygyny we Rebbe bakjakdygyny kesgitleýär, bu bolsa görnüşiň gijikýän döwründäki «akyllary» aňladýar. Yzyna dolanan we gymmatlyny bihaýadan aýyranlar, Hudaýyň agyz-sözçüsi bolmaly bolanlar, möhürlendiler; şonuň üçin olar wagşy haýwanyň nyşanyny kabul edýänler bilen garşylykly goýulýar.</w:t>
      </w:r>
    </w:p>
    <w:p>
      <w:pPr>
        <w:pStyle w:val="ArticleScripture"/>
        <w:jc w:val="left"/>
      </w:pPr>
      <w:r>
        <w:rPr>
          <w:rFonts w:ascii="Times New Roman" w:hAnsi="Times New Roman" w:eastAsia="Times New Roman" w:cs="Times New Roman"/>
        </w:rPr>
        <w:t>Na maadufo pii a wɔwɔ wɔn mu no besuntiw, na wɔahwe ase, na wɔabubu wɔn, na wɔayi wɔn afiri, na wɔakyere wɔn. Kyekyere adanse no, sɔw mmara no ano wɔ m’akyidifo mu. Na mɛtwɛn Awurade a ɔde n’anim ahintaw fi Yakob fie no; na mɛhwɛ no kwan. Hwɛ, me ne mma a Awurade de wɔn ama me no yɛ nsɛnkyerɛnne ne anwanwade wɔ Israel mu, efi asafo Awurade a ɔte Sion bepɔw so no. Na sɛ wɔka kyerɛ mo sɛ, Monkɔhwehwɛ wɔn a wɔn ne ahonhom a wɔfamiliar no di nkitaho, ne ntafowayifo a wɔworo na wɔkasakasaw no a: ɛnsɛ sɛ ɔman bi hwehwɛ ne Nyankopɔn anaa? Wɔrehwehwɛ awufo ama ateasefo? Monkɔ mmara no ne adanse no nkyɛn: sɛ wɔnkasa sɛnea asɛm yi te no a, ɛyɛ efisɛ hann biara nni wɔn mu. Yesaia 8:16–20.</w:t>
      </w:r>
    </w:p>
    <w:p>
      <w:pPr>
        <w:pStyle w:val="ArticleBody"/>
        <w:jc w:val="left"/>
      </w:pPr>
      <w:r>
        <w:rPr>
          <w:rFonts w:ascii="Times New Roman" w:hAnsi="Times New Roman" w:eastAsia="Times New Roman" w:cs="Times New Roman"/>
        </w:rPr>
        <w:t>Eyi ɛyɛ nkyerɛkyerɛ yi bɛtoa so wɔ asɛmti a edi hɔ no mu.</w:t>
      </w:r>
    </w:p>
    <w:p>
      <w:pPr>
        <w:pStyle w:val="ArticleScripture"/>
        <w:jc w:val="left"/>
      </w:pPr>
      <w:r>
        <w:rPr>
          <w:rFonts w:ascii="Times New Roman" w:hAnsi="Times New Roman" w:eastAsia="Times New Roman" w:cs="Times New Roman"/>
        </w:rPr>
        <w:t>“Bular Sister Uaytniń sózleri emes, al Rabbimizdiń sózleri, hám Onıń elshisi olardı maǵan, sizge beriwim úshin jetkizdi. Quday sizlerdi endi Oǵan qarsı baǵıtта islemeýge shaqıradı. Ózin xristian dep ataǵan er adamlardıń haqqında kóp túsindiriw berildi, biraq olar Şaytannıń sıpatların kórsetip, ruhında, sózinde hám is-háreketinde haqıqatтыń ilgerileýine qarsı is etip, anıq túrde Şaytan olardı bastaǵan jol menen júrip barmaqta. Jürekleriniń qattılıǵında olar ózlerine tiyesili bolmaǵan hám olar qollanbaýı kerek bolǵan bilikti qolǵa alǵan. Ulı Ustaz aytadı: ‘Men audaramın, audaramın, audaramın’. Battle Creekte adamlar aytadı: ‘Rabbiń məbädi, Rabbiń məbädi bizbiz’, biraq olar ádettegi ottı paydalanbaqta. Olarniń jürekleri Qudaydıń iltipatı menen jumbaqlandırılmaǵan hám baǵındırılmaǵan.” Manuscript Releases, 13-tom,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نىقتابى - يەتمىش تۆرتۈنچى سان</dc:title>
  <dc:subject>揭開先知性謎題：以西結所見的可憎之事、末日教會與獸的印記</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