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هشتاد و ششم</w:t>
      </w:r>
    </w:p>
    <w:p>
      <w:pPr>
        <w:pStyle w:val="ArticleSubtitle"/>
        <w:jc w:val="left"/>
      </w:pPr>
      <w:r>
        <w:rPr>
          <w:rFonts w:ascii="Ebrima" w:hAnsi="Ebrima" w:eastAsia="Ebrima" w:cs="Ebrima"/>
        </w:rPr>
        <w:t>ትንቢታዊ</w:t>
      </w:r>
      <w:r>
        <w:rPr>
          <w:rFonts w:ascii="Arial" w:hAnsi="Arial" w:eastAsia="Arial" w:cs="Arial"/>
        </w:rPr>
        <w:t xml:space="preserve"> </w:t>
      </w:r>
      <w:r>
        <w:rPr>
          <w:rFonts w:ascii="Ebrima" w:hAnsi="Ebrima" w:eastAsia="Ebrima" w:cs="Ebrima"/>
        </w:rPr>
        <w:t>መገለጥ፡</w:t>
      </w:r>
      <w:r>
        <w:rPr>
          <w:rFonts w:ascii="Arial" w:hAnsi="Arial" w:eastAsia="Arial" w:cs="Arial"/>
        </w:rPr>
        <w:t xml:space="preserve"> </w:t>
      </w:r>
      <w:r>
        <w:rPr>
          <w:rFonts w:ascii="Ebrima" w:hAnsi="Ebrima" w:eastAsia="Ebrima" w:cs="Ebrima"/>
        </w:rPr>
        <w:t>የእውቀት</w:t>
      </w:r>
      <w:r>
        <w:rPr>
          <w:rFonts w:ascii="Arial" w:hAnsi="Arial" w:eastAsia="Arial" w:cs="Arial"/>
        </w:rPr>
        <w:t xml:space="preserve"> </w:t>
      </w:r>
      <w:r>
        <w:rPr>
          <w:rFonts w:ascii="Ebrima" w:hAnsi="Ebrima" w:eastAsia="Ebrima" w:cs="Ebrima"/>
        </w:rPr>
        <w:t>መጨመርንና</w:t>
      </w:r>
      <w:r>
        <w:rPr>
          <w:rFonts w:ascii="Arial" w:hAnsi="Arial" w:eastAsia="Arial" w:cs="Arial"/>
        </w:rPr>
        <w:t xml:space="preserve"> </w:t>
      </w:r>
      <w:r>
        <w:rPr>
          <w:rFonts w:ascii="Ebrima" w:hAnsi="Ebrima" w:eastAsia="Ebrima" w:cs="Ebrima"/>
        </w:rPr>
        <w:t>የእኩለ</w:t>
      </w:r>
      <w:r>
        <w:rPr>
          <w:rFonts w:ascii="Arial" w:hAnsi="Arial" w:eastAsia="Arial" w:cs="Arial"/>
        </w:rPr>
        <w:t xml:space="preserve"> </w:t>
      </w:r>
      <w:r>
        <w:rPr>
          <w:rFonts w:ascii="Ebrima" w:hAnsi="Ebrima" w:eastAsia="Ebrima" w:cs="Ebrima"/>
        </w:rPr>
        <w:t>ሌሊት</w:t>
      </w:r>
      <w:r>
        <w:rPr>
          <w:rFonts w:ascii="Arial" w:hAnsi="Arial" w:eastAsia="Arial" w:cs="Arial"/>
        </w:rPr>
        <w:t xml:space="preserve"> </w:t>
      </w:r>
      <w:r>
        <w:rPr>
          <w:rFonts w:ascii="Ebrima" w:hAnsi="Ebrima" w:eastAsia="Ebrima" w:cs="Ebrima"/>
        </w:rPr>
        <w:t>ጩኸት</w:t>
      </w:r>
      <w:r>
        <w:rPr>
          <w:rFonts w:ascii="Arial" w:hAnsi="Arial" w:eastAsia="Arial" w:cs="Arial"/>
        </w:rPr>
        <w:t xml:space="preserve"> </w:t>
      </w:r>
      <w:r>
        <w:rPr>
          <w:rFonts w:ascii="Ebrima" w:hAnsi="Ebrima" w:eastAsia="Ebrima" w:cs="Ebrima"/>
        </w:rPr>
        <w:t>መልእክትን</w:t>
      </w:r>
      <w:r>
        <w:rPr>
          <w:rFonts w:ascii="Arial" w:hAnsi="Arial" w:eastAsia="Arial" w:cs="Arial"/>
        </w:rPr>
        <w:t xml:space="preserve"> </w:t>
      </w:r>
      <w:r>
        <w:rPr>
          <w:rFonts w:ascii="Ebrima" w:hAnsi="Ebrima" w:eastAsia="Ebrima" w:cs="Ebrima"/>
        </w:rPr>
        <w:t>መረዳት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समानता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w:t>
      </w:r>
      <w:r>
        <w:rPr>
          <w:rFonts w:ascii="Nirmala UI" w:hAnsi="Nirmala UI" w:eastAsia="Nirmala UI" w:cs="Nirmala UI"/>
        </w:rPr>
        <w:t>भाँति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उत्तरवृष्टि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चरम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उपासकों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En hij zeide: Ga heen, Daniël; want deze woorden blijven verborgen en verzegeld tot de tijd van het einde. Velen zullen gelouterd, gereinigd en beproefd worden; maar de goddelozen zullen goddeloos handelen; en geen der goddelozen zal het verstaan, maar de wijzen zullen het verstaan. Daniël 12:9, 10.</w:t>
      </w:r>
    </w:p>
    <w:p>
      <w:pPr>
        <w:pStyle w:val="ArticleBody"/>
        <w:jc w:val="left"/>
      </w:pPr>
      <w:r>
        <w:rPr>
          <w:rFonts w:ascii="Times New Roman" w:hAnsi="Times New Roman" w:eastAsia="Times New Roman" w:cs="Times New Roman"/>
        </w:rPr>
        <w:t>Nge-1989 kwavulwa “ukwanda kolwazi” okuyogcina kubonakalise izigaba ezimbili zabakhulekeli. Lezo zigaba ezimbili zifanekiselwa esimweni sokuthi zihlobene kanjani nomlayezo wemvula yangasemuva. Ababi abayiboni futhi abayemukeli imvula yangasemuva, kodwa abahlakaniphileyo bayayibona futhi bayayamukela. Ngakho-ke ababi ababoni lapho imvula yangasemuva iqala ukuwa, futhi yaqala ukuwa lapho izizwe zithukuthela ngoSepthemba 11, 2001. Besikhuluma nobuholi be-Adventism yaseLawodikeya njengoba bumelwe kuHezekeli izahluko zesishiyagalombili nesesishiyagalolunye, kanjalo naku-Isaya isahluko samashumi amabili nesishiyagalombili. Ku-Isaya “amadoda adelelayo” enza “amanga” aba “isiphephelo” sawo futhi “azifihla” “ngaphansi kwamanga.”</w:t>
      </w:r>
    </w:p>
    <w:p>
      <w:pPr>
        <w:pStyle w:val="ArticleScripture"/>
        <w:jc w:val="left"/>
      </w:pPr>
      <w:r>
        <w:rPr>
          <w:rFonts w:ascii="Times New Roman" w:hAnsi="Times New Roman" w:eastAsia="Times New Roman" w:cs="Times New Roman"/>
        </w:rPr>
        <w:t>Proin, maine un doeh “Wherefore, hear the word of the LORD, ye scornful men, that rule this people which is in Jerusalem. Because ye have said, We have made a covenant with death, and with hell are we at agreement; when the overflowing scourge shall pass through, it shall not come unto us: for we have made lies our refuge, and under falsehood have we hid ourselves.” Isaiah 28:14, 15.</w:t>
      </w:r>
    </w:p>
    <w:p>
      <w:pPr>
        <w:pStyle w:val="ArticleBody"/>
        <w:jc w:val="left"/>
      </w:pPr>
      <w:r>
        <w:rPr>
          <w:rFonts w:ascii="Times New Roman" w:hAnsi="Times New Roman" w:eastAsia="Times New Roman" w:cs="Times New Roman"/>
        </w:rPr>
        <w:t>Хӯрдомандони Ерусалими бостонӣ дар охирзамон аз озмоиши «оромӣ ва тароват», ки бо методологияи «сатр бар сатр» намояндагӣ мешавад, ноком мегарданд; ҳамин методология ба хирадмандон имкон медиҳад, ки борони охири охирзамонро тавассути намунаи таърихии борони охир дар таърихи Миллеритӣ бишносанд. Хусусияти нубувватии «мардони масхарагар», ки Ишаъё дар ин порча бар он таъкид мекунад, дурӯғ ва ботиле аст, ки зери он пинҳон шуданд ва онро паноҳгоҳи худ гардониданд. Бинобар ин, дар иртибот бо озмоиши паёми борони охир («оромӣ ва тароват», ки нахостанд онро бишнаванд), мардони бостонии Ерусалим дурӯғро пазируфтаанд.</w:t>
      </w:r>
    </w:p>
    <w:p>
      <w:pPr>
        <w:pStyle w:val="ArticleBody"/>
        <w:jc w:val="left"/>
      </w:pPr>
      <w:r>
        <w:rPr>
          <w:rFonts w:ascii="Times New Roman" w:hAnsi="Times New Roman" w:eastAsia="Times New Roman" w:cs="Times New Roman"/>
        </w:rPr>
        <w:t>Ultimul mesaj al ploii târzii sosește însoțit de o dispută, așa cum este reprezentat în Habacuc capitolul doi, când străjerul de acolo Îl întreabă pe Dumnezeu ce ar trebui să răspundă în „dezbaterea” istoriei sale, deoarece cuvântul „mustrat” din versetul unu al capitolului doi înseamnă „certat cu”.</w:t>
      </w:r>
    </w:p>
    <w:p>
      <w:pPr>
        <w:pStyle w:val="ArticleScripture"/>
        <w:jc w:val="left"/>
      </w:pPr>
      <w:r>
        <w:rPr>
          <w:rFonts w:ascii="Times New Roman" w:hAnsi="Times New Roman" w:eastAsia="Times New Roman" w:cs="Times New Roman"/>
        </w:rPr>
        <w:t>A ndzi yima eswakubukweni bya mina, ndzi tiveka exihondzweni, ndzi rindza ku vona leswi a nga ta swi vula eka mina, ni leswi ndzi nga ta swi hlamula loko ndzi tshinyiwa. Habakuki 2:1.</w:t>
      </w:r>
    </w:p>
    <w:p>
      <w:pPr>
        <w:pStyle w:val="ArticleBody"/>
        <w:jc w:val="left"/>
      </w:pPr>
      <w:r>
        <w:rPr>
          <w:rFonts w:ascii="Times New Roman" w:hAnsi="Times New Roman" w:eastAsia="Times New Roman" w:cs="Times New Roman"/>
        </w:rPr>
        <w:t>Na debate tungkol sa ulan sa huling panahon, ang marurunong ay naghaharap ng mga katotohanang inilalarawan bilang mga hiyas ni Miller, na siya ring mga saligang katotohanang kinilala, itinatag, at iniharap ng mga Millerita. Ang mga katotohanang iyon ay inilalarawan bilang si Cristo, ang Bato ng mga Panahon.</w:t>
      </w:r>
    </w:p>
    <w:p>
      <w:pPr>
        <w:pStyle w:val="ArticleScripture"/>
        <w:jc w:val="left"/>
      </w:pPr>
      <w:r>
        <w:rPr>
          <w:rFonts w:ascii="Times New Roman" w:hAnsi="Times New Roman" w:eastAsia="Times New Roman" w:cs="Times New Roman"/>
        </w:rPr>
        <w:t>“Únɨtse nā Ánáná tsʉmáamí nīré, Tsayónī́ná téka nī́naka, īnɨ́ árí tákā nʉrʉ́ dʉ́ṛaá ánáná dʉ́mɨ́, nʉrʉ́ ánáná ʉ́cáa má ánáná kúū dʉ́mɨ́,—ánáná nʉrʉ́ hɛ́rɛ́ tɨ́rʉ́ tɨ́sʉ́ nɛ́rɛ́ má tɨ́rʉ́ tɨ́sʉ́ nɛ́rɛ́-íí náárí, tɨ́rʉ́ kʉ́rʉ́ná má tɨ́rʉ́ kʉ́rʉ́ná-íí náárí dʉ́mɨ́.”</w:t>
      </w:r>
    </w:p>
    <w:p>
      <w:pPr>
        <w:pStyle w:val="ArticleScripture"/>
        <w:jc w:val="left"/>
      </w:pPr>
      <w:r>
        <w:rPr>
          <w:rFonts w:ascii="Times New Roman" w:hAnsi="Times New Roman" w:eastAsia="Times New Roman" w:cs="Times New Roman"/>
        </w:rPr>
        <w:t>“Ang pahimangno miabot na: Walay bisan unsa nga tugotan nga mosulod nga makasamok sa patukoranan sa pagtoo nga among gitukoran sukad pa sa pag-abot sa mensahe niadtong 1842, 1843, ug 1844. Anaa ako niining mensahe, ug sukad niadto nagbarug ako atubangan sa kalibotan, matinumanon sa kahayag nga gihatag kanato sa Dios. Wala kami magtinguha nga kuhaon ang among mga tiil gikan sa entablado nga ilang gitamakan sa diha nga adlaw-adlaw nangita kami sa Ginoo pinaagi sa mainiton nga pag-ampo, nga nangita ug kahayag. Naghunahuna ba kamo nga ikabiya ko ang kahayag nga gihatag sa Dios kanako? Kini mamahimong ingon sa Bato sa Kapanahonan. Kini nagmando kanako sukad pa sa paghatag niini.” Review and Herald, Abril 14, 1903.</w:t>
      </w:r>
    </w:p>
    <w:p>
      <w:pPr>
        <w:pStyle w:val="ArticleBody"/>
        <w:jc w:val="left"/>
      </w:pPr>
      <w:r>
        <w:rPr>
          <w:rFonts w:ascii="Times New Roman" w:hAnsi="Times New Roman" w:eastAsia="Times New Roman" w:cs="Times New Roman"/>
        </w:rPr>
        <w:t>لسانا قدما ایک پیغامِ بارانِ آخرِ کاذب پیش کرتے ہیں جسے یسعیاہ نے ایک “جھوٹ” اور ایک باطل امر کے طور پر پیش کیا ہے۔ حزقی ایل باب آٹھ میں وہ تاریخ بیان ہوئی ہے جو اس وقت کی نشان دہی کرتی ہے جب یروشلیم کے قدما سورج کو سجدہ کر رہے ہیں، اور اگلے باب میں اُن لوگوں کے مقابل دکھائے گئے ہیں جو خدا کی مُہر پاتے ہیں۔ تیسری مکروہ چیز (نسل) ایک کاذب پیغامِ بارانِ آخر کی نمائندگی کرتی ہے، جیسا کہ “تموز کے لیے رونا” سے ظاہر کیا گیا ہے۔ ایڈونٹ ازم کی تیسری نسل میں، جو 1919 میں شروع ہوئی، اُس جھوٹے انجیل کے ساتھ ایک “جھوٹ” متعارف کرایا گیا جسے W. W. Prescott نے 1919 کی بائبل کانفرنس میں علانیہ پیش کیا تھا۔ وہ “جھوٹ” تیسری نسل کا ایک مخصوص موضوع ہے، اور وہی “جھوٹ” اُس کاذب پیغامِ بارانِ آخر کی جھوٹی بنیاد ہے جس کی نمائندگی “تموز کے لیے رونا” کرتا ہے۔</w:t>
      </w:r>
    </w:p>
    <w:p>
      <w:pPr>
        <w:pStyle w:val="ArticleBody"/>
        <w:jc w:val="left"/>
      </w:pPr>
      <w:r>
        <w:rPr>
          <w:rFonts w:ascii="Nirmala UI" w:hAnsi="Nirmala UI" w:eastAsia="Nirmala UI" w:cs="Nirmala UI"/>
        </w:rPr>
        <w:t>ꯄ꯭ꯔꯣꯐꯦꯁꯤꯗ</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ꯄꯨꯡꯈꯤꯕ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ꯃꯔꯨꯑꯣꯏ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ꯑꯦꯗꯚꯦꯟꯇꯤꯁꯝꯅ</w:t>
      </w:r>
      <w:r>
        <w:rPr>
          <w:rFonts w:ascii="Times New Roman" w:hAnsi="Times New Roman" w:eastAsia="Times New Roman" w:cs="Times New Roman"/>
        </w:rPr>
        <w:t xml:space="preserve"> 1989</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ꯉꯝꯍꯟꯕ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“the daily”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ꯁꯟꯛꯇꯨꯋꯦꯔꯤ</w:t>
      </w:r>
      <w:r>
        <w:rPr>
          <w:rFonts w:ascii="Times New Roman" w:hAnsi="Times New Roman" w:eastAsia="Times New Roman" w:cs="Times New Roman"/>
        </w:rPr>
        <w:t xml:space="preserve"> </w:t>
      </w:r>
      <w:r>
        <w:rPr>
          <w:rFonts w:ascii="Nirmala UI" w:hAnsi="Nirmala UI" w:eastAsia="Nirmala UI" w:cs="Nirmala UI"/>
        </w:rPr>
        <w:t>ꯃꯤꯅꯤꯁ꯭ꯇ꯭ꯔꯤ</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“the daily”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ꯁꯟꯛꯇꯨꯋꯦꯔꯤ</w:t>
      </w:r>
      <w:r>
        <w:rPr>
          <w:rFonts w:ascii="Times New Roman" w:hAnsi="Times New Roman" w:eastAsia="Times New Roman" w:cs="Times New Roman"/>
        </w:rPr>
        <w:t xml:space="preserve"> </w:t>
      </w:r>
      <w:r>
        <w:rPr>
          <w:rFonts w:ascii="Nirmala UI" w:hAnsi="Nirmala UI" w:eastAsia="Nirmala UI" w:cs="Nirmala UI"/>
        </w:rPr>
        <w:t>ꯃꯤꯅꯤꯁ꯭ꯇ꯭ꯔꯤ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ꯂꯨꯟꯕ</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ꯃꯈꯛꯇ</w:t>
      </w:r>
      <w:r>
        <w:rPr>
          <w:rFonts w:ascii="Times New Roman" w:hAnsi="Times New Roman" w:eastAsia="Times New Roman" w:cs="Times New Roman"/>
        </w:rPr>
        <w:t xml:space="preserve"> “the daily”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ꯍꯦꯟꯗꯦ</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ꯋꯥꯏꯠꯅ</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ꯁꯦꯝꯁꯥꯔꯕ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ꯂꯩꯁꯤꯟꯕꯗꯥ</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ꯌꯥꯎꯔꯤ।</w:t>
      </w:r>
    </w:p>
    <w:p>
      <w:pPr>
        <w:pStyle w:val="ArticleBody"/>
        <w:jc w:val="left"/>
      </w:pPr>
      <w:r>
        <w:rPr>
          <w:rFonts w:ascii="Times New Roman" w:hAnsi="Times New Roman" w:eastAsia="Times New Roman" w:cs="Times New Roman"/>
        </w:rPr>
        <w:t>اوغه دانیال یولسم باب د وروستیو شپږو آیتونو سمه پوهه د دېرشم تر شپږدېرشم آیتونو له خوا په مثالي ډول تمثیل شوې ده، او کله چې خور وایت د دانیال د یولسم باب د بشپړ تحقق یادونه کوي، هغې وایي چې «هغو صحنو ته ورته صحنې چې بیان شوې دي» په دېرشم تر شپږدېرشم آیتونو کې «بیا به تکرار شي.»</w:t>
      </w:r>
    </w:p>
    <w:p>
      <w:pPr>
        <w:pStyle w:val="ArticleBody"/>
        <w:jc w:val="left"/>
      </w:pPr>
      <w:r>
        <w:rPr>
          <w:rFonts w:ascii="Times New Roman" w:hAnsi="Times New Roman" w:eastAsia="Times New Roman" w:cs="Times New Roman"/>
        </w:rPr>
        <w:t>“Leejjoo” jechuun hiika sobaa fayyadamuun, caasaa seenaa sobaa ni uuma. Seenaan keessatti bakka bu’ame Daani’el boqonnaa kudha tokko, lakkoofsota soddoma irraa hamma soddoma jahaatti, “leejjoo” irraa fuudhamuu isaa ni dabalata. “Leejjoo” jechuun yookaan hojii irra oolmaa Millerotaati, yookaan hojii irra oolmaa Prescott fi Daniells ti. Akka hojii irra oolmaan filatameetti, caasaaleen seenaa garaagaraa lama ni uumamu.</w:t>
      </w:r>
    </w:p>
    <w:p>
      <w:pPr>
        <w:pStyle w:val="ArticleScripture"/>
        <w:jc w:val="left"/>
      </w:pPr>
      <w:r>
        <w:rPr>
          <w:rFonts w:ascii="Times New Roman" w:hAnsi="Times New Roman" w:eastAsia="Times New Roman" w:cs="Times New Roman"/>
        </w:rPr>
        <w:t>Hisənin qüvvələri onun tərəfindən qalxacaq, qüdrət məbədini murdarlayacaq, daimi qurbanı götürüb aradan qaldıracaq və viranəlik gətirən iyrəncliyi qoyacaqlar. Daniel 11:31.</w:t>
      </w:r>
    </w:p>
    <w:p>
      <w:pPr>
        <w:pStyle w:val="ArticleBody"/>
        <w:jc w:val="left"/>
      </w:pPr>
      <w:r>
        <w:rPr>
          <w:rFonts w:ascii="Times New Roman" w:hAnsi="Times New Roman" w:eastAsia="Times New Roman" w:cs="Times New Roman"/>
        </w:rPr>
        <w:t>Ilhamga ko‘ra, ushbu oyatda tasvirlangan bashoratli tarix, hamda o'ttizinchi oyat va o'ttiz ikkinchidan o'ttiz oltinchigacha bo‘lgan oyatlarni o‘z ichiga olgan holda, Doniyor o‘n birning qirqinchi oyatidan qirq beshinchi oyatigacha yana takrorlanishi lozim.</w:t>
      </w:r>
    </w:p>
    <w:p>
      <w:pPr>
        <w:pStyle w:val="ArticleScripture"/>
        <w:jc w:val="left"/>
      </w:pPr>
      <w:r>
        <w:rPr>
          <w:rFonts w:ascii="Times New Roman" w:hAnsi="Times New Roman" w:eastAsia="Times New Roman" w:cs="Times New Roman"/>
        </w:rPr>
        <w:t>“Danielpa chunka hukniyuq capítuloq profecianqa casi hunt’asqa kachkanña llapa phuqchasqanman chayanankama. Kay profecia hunt’akusqanpi pasasqa historiapa achka rakinmi yapamanta kutimunqa. Kimsa chunka kaq versículopi rimakun huk atiyniyuqmanta, chayqa ‘llakikapunqa, [Daniel 11:30–36 quoted.]’</w:t>
      </w:r>
    </w:p>
    <w:p>
      <w:pPr>
        <w:pStyle w:val="ArticleScripture"/>
        <w:jc w:val="left"/>
      </w:pPr>
      <w:r>
        <w:rPr>
          <w:rFonts w:ascii="Times New Roman" w:hAnsi="Times New Roman" w:eastAsia="Times New Roman" w:cs="Times New Roman"/>
        </w:rPr>
        <w:t>“</w:t>
      </w:r>
      <w:r>
        <w:rPr>
          <w:rFonts w:ascii="Ebrima" w:hAnsi="Ebrima" w:eastAsia="Ebrima" w:cs="Ebrima"/>
        </w:rPr>
        <w:t>በእነዚህ</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እንደተገለጹት</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ትዕይንቶች</w:t>
      </w:r>
      <w:r>
        <w:rPr>
          <w:rFonts w:ascii="Times New Roman" w:hAnsi="Times New Roman" w:eastAsia="Times New Roman" w:cs="Times New Roman"/>
        </w:rPr>
        <w:t xml:space="preserve"> </w:t>
      </w:r>
      <w:r>
        <w:rPr>
          <w:rFonts w:ascii="Ebrima" w:hAnsi="Ebrima" w:eastAsia="Ebrima" w:cs="Ebrima"/>
        </w:rPr>
        <w:t>ይፈጸማሉ።</w:t>
      </w:r>
      <w:r>
        <w:rPr>
          <w:rFonts w:ascii="Times New Roman" w:hAnsi="Times New Roman" w:eastAsia="Times New Roman" w:cs="Times New Roman"/>
        </w:rPr>
        <w:t xml:space="preserve">” Manuscript Releases, </w:t>
      </w:r>
      <w:r>
        <w:rPr>
          <w:rFonts w:ascii="Ebrima" w:hAnsi="Ebrima" w:eastAsia="Ebrima" w:cs="Ebrima"/>
        </w:rPr>
        <w:t>ቁጥር</w:t>
      </w:r>
      <w:r>
        <w:rPr>
          <w:rFonts w:ascii="Times New Roman" w:hAnsi="Times New Roman" w:eastAsia="Times New Roman" w:cs="Times New Roman"/>
        </w:rPr>
        <w:t xml:space="preserve"> 13, 394.</w:t>
      </w:r>
    </w:p>
    <w:p>
      <w:pPr>
        <w:pStyle w:val="ArticleBody"/>
        <w:jc w:val="left"/>
      </w:pPr>
      <w:r>
        <w:rPr>
          <w:rFonts w:ascii="Times New Roman" w:hAnsi="Times New Roman" w:eastAsia="Times New Roman" w:cs="Times New Roman"/>
        </w:rPr>
        <w:t>“The daily” awuwo ɖe kpɔkplɔa si lae nye xexeame blae ɖeka.</w:t>
      </w:r>
    </w:p>
    <w:p>
      <w:pPr>
        <w:pStyle w:val="ArticleScripture"/>
        <w:jc w:val="left"/>
      </w:pPr>
      <w:r>
        <w:rPr>
          <w:rFonts w:ascii="Times New Roman" w:hAnsi="Times New Roman" w:eastAsia="Times New Roman" w:cs="Times New Roman"/>
        </w:rPr>
        <w:t>او اس جي طرفان بازو بيهندا، ۽ اُهي قوت واري مقدس جاءِ کي ناپاڪ ڪندا، ۽ دائمي قرباني کي هٽائي ڇڏيندا، ۽ اُهي اُها مڪروه شيءِ قائم ڪندا جيڪا ويراني آڻيندي آهي. دانيال 11:31.</w:t>
      </w:r>
    </w:p>
    <w:p>
      <w:pPr>
        <w:pStyle w:val="ArticleBody"/>
        <w:jc w:val="left"/>
      </w:pPr>
      <w:r>
        <w:rPr>
          <w:rFonts w:ascii="Times New Roman" w:hAnsi="Times New Roman" w:eastAsia="Times New Roman" w:cs="Times New Roman"/>
        </w:rPr>
        <w:t>«Amakonkrɔde» a wɔka ho asɛm wɔ nkyekyɛm no mu no sɔre gyina “ne fam.” “Amakonkrɔde” no yɛ tumi, sɛnea nea wɔsɔre gyina ma no nso yɛ tumi no. Ɛyɛ “amakonkrɔde” no ara na “wogyina ne fam” wɔ nkyekyɛm no mu, na “amakonkrɔde” no na “wogu ahoɔden kronkronbea no ho fi,” na “amakonkrɔde” no na “woyi daa afɔrebɔ no fi hɔ,” na ɛsan yɛ “amakonkrɔde” no na “wosi akyiwade a ɛma amamfo no.” Adiyisɛm ti dumiɛnsa mu no, ɔwɔtwe no, a ɛyɛ Roma abosonsomfo no de nneɛma abiɛsa ma papacy no.</w:t>
      </w:r>
    </w:p>
    <w:p>
      <w:pPr>
        <w:pStyle w:val="ArticleScripture"/>
        <w:jc w:val="left"/>
      </w:pPr>
      <w:r>
        <w:rPr>
          <w:rFonts w:ascii="Times New Roman" w:hAnsi="Times New Roman" w:eastAsia="Times New Roman" w:cs="Times New Roman"/>
        </w:rPr>
        <w:t>Na jume nohwɛe no te sɛ ɔsebɔ; na ne nan te sɛ sisire nan, na n’anom te sɛ gyata anom; na ɔtweaseɛ no maa no tumi ne n’ahennwa ne tumidi kɛse. Adiyisɛm 13:2.</w:t>
      </w:r>
    </w:p>
    <w:p>
      <w:pPr>
        <w:pStyle w:val="ArticleBody"/>
        <w:jc w:val="left"/>
      </w:pPr>
      <w:r>
        <w:rPr>
          <w:rFonts w:ascii="Times New Roman" w:hAnsi="Times New Roman" w:eastAsia="Times New Roman" w:cs="Times New Roman"/>
        </w:rPr>
        <w:t>Leopardo-tupura animalia, Sister White nira papa-sistema-tikmi riqsichin; chaymanta, chunka iskayniyuq capítulo-pi, Sister White nira dragónqa iskayninmanta riqsichisqa kan: Satanásmi, hinaspata pagano Roma-pas.</w:t>
      </w:r>
    </w:p>
    <w:p>
      <w:pPr>
        <w:pStyle w:val="ArticleScripture"/>
        <w:jc w:val="left"/>
      </w:pPr>
      <w:r>
        <w:rPr>
          <w:rFonts w:ascii="Times New Roman" w:hAnsi="Times New Roman" w:eastAsia="Times New Roman" w:cs="Times New Roman"/>
        </w:rPr>
        <w:t>“Jadi sementara naga itu, terutama sekali, melambangkan Iblis, dalam pengertian sekunder, ia adalah lambang Roma kafir.” The Great Controversy, 439.</w:t>
      </w:r>
    </w:p>
    <w:p>
      <w:pPr>
        <w:pStyle w:val="ArticleBody"/>
        <w:jc w:val="left"/>
      </w:pPr>
      <w:r>
        <w:rPr>
          <w:rFonts w:ascii="Times New Roman" w:hAnsi="Times New Roman" w:eastAsia="Times New Roman" w:cs="Times New Roman"/>
        </w:rPr>
        <w:t>ئاشەوەی دووەمی پەرتووکی ئاشکراکردنەوە، بەیتى سێزدە، ڕۆمای پاگان هێزی سەربازیی خۆی، «چەکەکانی خۆی»، دا بە پاپایەت، دەستپێک دەکات بە کلۆڤیس پاشای فڕانکەکان (فەڕەنسا)، لە ساڵی 496. ڕۆمای پاگان کورسیی دەسەڵاتی خۆی دا بە ڕۆمای پاپایی لە ساڵی 330، کاتێک ئیمپراتۆر قسطنطین شارەکەی ڕۆمای چۆڵ کرد و پایتەختی ڕۆمای ئیمپراتۆری گواستەوە بۆ شاری قسطنطنیە. ڕۆمای پاگان دەسەڵاتی مەدەنی دا بە پاپایەت لە ساڵی 533، کاتێک یوستی‌نیان فەرمانێک دەربڕی کە پاپایەت وەک سەری هەموو کلیساکان، و چاککەرەوەی هێرەتیکەکان ناساند.</w:t>
      </w:r>
    </w:p>
    <w:p>
      <w:pPr>
        <w:pStyle w:val="ArticleBody"/>
        <w:jc w:val="left"/>
      </w:pPr>
      <w:r>
        <w:rPr>
          <w:rFonts w:ascii="Times New Roman" w:hAnsi="Times New Roman" w:eastAsia="Times New Roman" w:cs="Times New Roman"/>
        </w:rPr>
        <w:t>Sa linyag treinta y uno, an “armas” nga maninindugan amo an mga puwersa militar han paganong Roma, nga nanindugan pabor ha pagka-papa tikang kan Clovis han tuig 496. Tungod hini nga buhat, ginngangaranan han pagka-papa an Pransya sugad han “panganay han Iglesya Katolika,” ngan usahay sugad han “tigurang nga anak nga babaye han Iglesya Katolika.” Ha linyag treinta y uno, katapos ipasa ni Constantino an usa nga balaud han Domingo han tuig 321, ngan katapos ibalhin an kapital tikang ha syudad han Roma ngadto ha syudad han Constantinople han tuig 330, an hadto diri malupig nga imperyo nagtikang pagkadunot, samtang an siyahan nga upat nga gahum han mga Trumpeta han Pahayag kapitulo otso nagtikang hin padayon nga pakiggirra kontra han imperyo Romano. An pokus han mga pag-atake nga ginpatuman han mga Barbaro ngan ni Genseric nakatutok kontra han syudad han Roma, nga antes han tuig 330 amo an “santuwaryo han kusog” para han imperyo Romano. Tikang han tuig 330 ngan padayon, an nakakaaghat nga pakiggirra han mga barbaro amo an “pagbuling han santuwaryo han kusog,” tubtob nga an “armas” han paganong Roma manindog pabor ha pagka-papa, tikang han tuig 496.</w:t>
      </w:r>
    </w:p>
    <w:p>
      <w:pPr>
        <w:pStyle w:val="ArticleBody"/>
        <w:jc w:val="left"/>
      </w:pPr>
      <w:r>
        <w:rPr>
          <w:rFonts w:ascii="Times New Roman" w:hAnsi="Times New Roman" w:eastAsia="Times New Roman" w:cs="Times New Roman"/>
        </w:rPr>
        <w:t>Їйилик Рим папилиқ һакимийәткә үч нәрсини — һәрбий күчни, пуқравий һоқуқни вә Рим шәһириниң тәхтини — бериши биләнла чәклинип қалмай, папилиқ Рим үчүн үч мүңгүзниму йоқ қилди.</w:t>
      </w:r>
    </w:p>
    <w:p>
      <w:pPr>
        <w:pStyle w:val="ArticleScripture"/>
        <w:jc w:val="left"/>
      </w:pPr>
      <w:r>
        <w:rPr>
          <w:rFonts w:ascii="Times New Roman" w:hAnsi="Times New Roman" w:eastAsia="Times New Roman" w:cs="Times New Roman"/>
        </w:rPr>
        <w:t>Хорнуудаа ажиглан харж байтал, тэдний дундаас өөр нэгэн жижиг эвэр гарч ирэв; түүний өмнө анхны эвэрнүүдээс гурав нь ёзоороороо суга татагдан унав. Харагтун, тэр эвэрт хүний нүд мэт нүднүүд, агуу үгсийг өгүүлэх ам байв. Даниел 7:8.</w:t>
      </w:r>
    </w:p>
    <w:p>
      <w:pPr>
        <w:pStyle w:val="ArticleBody"/>
        <w:jc w:val="left"/>
      </w:pPr>
      <w:r>
        <w:rPr>
          <w:rFonts w:ascii="Microsoft YaHei" w:hAnsi="Microsoft YaHei" w:eastAsia="Microsoft YaHei" w:cs="Microsoft YaHei"/>
        </w:rPr>
        <w:t>日</w:t>
      </w:r>
      <w:r>
        <w:rPr>
          <w:rFonts w:ascii="Times New Roman" w:hAnsi="Times New Roman" w:eastAsia="Times New Roman" w:cs="Times New Roman"/>
        </w:rPr>
        <w:t>انیال بابەتە حەوتدا ئەو سێ شاخەی کە دەبوو «لە بنەوە دەربکێشرێن»، نوێنەری سێ هێزی سەرەکی بوون کە لە بەرامبەر سەرهەڵدانی پاپایەتی بۆ دەسەڵات وەستابوون. دوایینەی ئەو سێ شاخە لابرا کاتێک گۆتەکان لە ساڵی 538 لە شارەکەی ڕۆما دەرکران. ئەوان بەهۆی «بازووەکان»ی ڕۆمای مەجوسییەوە لە شارەکە دەرکران، چونکە ئەو «بازووە» پێویست بوو پاپایەتی (قێزەونی وێرانکاری) لە ساڵی 538 لەسەر تەختی ئەو جیهانەی ئەوکات ناسراو دابنێنێت.</w:t>
      </w:r>
    </w:p>
    <w:p>
      <w:pPr>
        <w:pStyle w:val="ArticleBody"/>
        <w:jc w:val="left"/>
      </w:pPr>
      <w:r>
        <w:rPr>
          <w:rFonts w:ascii="Times New Roman" w:hAnsi="Times New Roman" w:eastAsia="Times New Roman" w:cs="Times New Roman"/>
        </w:rPr>
        <w:t>آية الحادية والثلاثون من دانيال الحادي عشر تحدد أربعة أمور كان على «الأذرع» (روما الوثنية) أن تفعلها. كان عليها أن «تقوم» لأجل البابوية، كما فعلت في سنة 496. وكان عليها أن تُنجِّس «مقدس القوة» كما تمثله الصراعات العسكرية التي جرت على مدينة روما لما يقرب من قرنين. وكان عليها أن «تُقيم» البابوية على عرش الأرض في سنة 538، وكان عليها أيضًا أن «تنزع الدائم».</w:t>
      </w:r>
    </w:p>
    <w:p>
      <w:pPr>
        <w:pStyle w:val="ArticleBody"/>
        <w:jc w:val="left"/>
      </w:pPr>
      <w:r>
        <w:rPr>
          <w:rFonts w:ascii="Times New Roman" w:hAnsi="Times New Roman" w:eastAsia="Times New Roman" w:cs="Times New Roman"/>
        </w:rPr>
        <w:t>“خذ بعيدًا” ترجمَتہ ڪيل عبراني لفظ آيت ۾ (sur) جو مطلب آهي “هٽائڻ”. سن 508 تائين، رومي سلطنت اندر موجود بت پرستيءَ جي اها مزاحمت، جيڪا پاپائيت جي اقتدار ڏانهن عروج کي روڪڻ لاءِ ڪم ڪري رهي هئي، مڪمل طور تابع آندي وئي هئي يا ختم ڪئي وئي هئي.</w:t>
      </w:r>
    </w:p>
    <w:p>
      <w:pPr>
        <w:pStyle w:val="ArticleBody"/>
        <w:jc w:val="left"/>
      </w:pPr>
      <w:r>
        <w:rPr>
          <w:rFonts w:ascii="Times New Roman" w:hAnsi="Times New Roman" w:eastAsia="Times New Roman" w:cs="Times New Roman"/>
        </w:rPr>
        <w:t>“dulqdul” Christal tupuy wasita santwariupi rurashqanmanta kasqanta riksichiyqa huk llulla chaskiymin; ichaqa Laodicea Adventista historiapi cheqaqta rurakushqa llank’aymi, chay llulla chaskiyta cheqaq hina reqsichirqan, huk sut’i “llulla” patapi sayarisqa karqan, chaymi Adventismopa kimsa kaq mirayninpi hunt’akushqa karqan. Sister Whitepa yachachisqanmi, kinsa chunka versiculomanta soqta chunka suqniyuqkama historiata Daniel chunka hukniyuqpa qhipa hunt’akuyninpi yapamanta rikusun, chayrayku “asiykuy runakuna” Jerusalenta kamachiqkunaqa mana atirqankuchu kinsa chunka hukniyuq versiculoman ima yuyayta churayta, mana chayllachu Profecíapa Espiritunta qichuspa.</w:t>
      </w:r>
    </w:p>
    <w:p>
      <w:pPr>
        <w:pStyle w:val="ArticleBody"/>
        <w:jc w:val="left"/>
      </w:pPr>
      <w:r>
        <w:rPr>
          <w:rFonts w:ascii="Times New Roman" w:hAnsi="Times New Roman" w:eastAsia="Times New Roman" w:cs="Times New Roman"/>
        </w:rPr>
        <w:t>«Кэлгэх хүмууд» һурганаар, папствонь Христосой арюун газарта хэжэ байһан үйлын үнэн ойлгосые үгы хэһэн, папын мессые оруулһанһаа болоно; энэ мессэ тэнгэридэхи арюун газарта Христосой ажал үйлын хуурамша дүрсэ мүн. Хэрбээ «үдэрые бүридөөхэ» гэһэнэй жэнхэнэ удха иимэ байгаа һаань, тиихэдэ гушан нэгэдэхи зүйлдэ бодожо гараһан «сэрэгүүд» гэдэгынь папствонь болохо ёһотой, юуб гэхэдэ тэрэ зүйлэй хэлэгшын байгуулга «сэрэгүүд» гээшэнь «үдэрые бүридөөхые» абажа хаядаг эрхэ мэдэлтэ хүсэ гэжэ эрилтэ табина.</w:t>
      </w:r>
    </w:p>
    <w:p>
      <w:pPr>
        <w:pStyle w:val="ArticleBody"/>
        <w:jc w:val="left"/>
      </w:pPr>
      <w:r>
        <w:rPr>
          <w:rFonts w:ascii="Times New Roman" w:hAnsi="Times New Roman" w:eastAsia="Times New Roman" w:cs="Times New Roman"/>
        </w:rPr>
        <w:t>Upang mapanatili ang kanilang pinggang katha-katha, iginigiit nila na dinungisan ng kapapahan (mga bisig) ang makalangit na santuwaryo ni Cristo. Ang salitang Hebreo na isinaling “santuwaryo (miqdash) ng kalakasan” ay maaaring tumukoy sa isang paganong santuwaryo o sa santuwaryo ng Diyos. Kung nais ipahiwatig ni Daniel na ang santuwaryo ng Diyos ay dudungisan ng kapapahan, ginamit sana niya ang salitang Hebreo na “qodesh,” na tanging makapaglalarawan lamang sa santuwaryo ng Diyos. Kaya saan nakatala sa Biblia o sa Espiritu ng Propesiya na ang makalangit na santuwaryo ay minsan nang nadungisan o madudungisan pa ng kapapahan?</w:t>
      </w:r>
    </w:p>
    <w:p>
      <w:pPr>
        <w:pStyle w:val="ArticleBody"/>
        <w:jc w:val="left"/>
      </w:pPr>
      <w:r>
        <w:rPr>
          <w:rFonts w:ascii="Leelawadee UI" w:hAnsi="Leelawadee UI" w:eastAsia="Leelawadee UI" w:cs="Leelawadee UI"/>
        </w:rPr>
        <w:t>ຢ່າງແນ່ນອນ</w:t>
      </w:r>
      <w:r>
        <w:rPr>
          <w:rFonts w:ascii="Times New Roman" w:hAnsi="Times New Roman" w:eastAsia="Times New Roman" w:cs="Times New Roman"/>
        </w:rPr>
        <w:t xml:space="preserve">, </w:t>
      </w:r>
      <w:r>
        <w:rPr>
          <w:rFonts w:ascii="Leelawadee UI" w:hAnsi="Leelawadee UI" w:eastAsia="Leelawadee UI" w:cs="Leelawadee UI"/>
        </w:rPr>
        <w:t>ບາບຂອງຄรິສຕຽນຖືກບັນທຶກໄວ້ໃນປຶ້ມຕ່າງໆແຫ່ງພຣະວິຫານສະຫວັນ</w:t>
      </w:r>
      <w:r>
        <w:rPr>
          <w:rFonts w:ascii="Times New Roman" w:hAnsi="Times New Roman" w:eastAsia="Times New Roman" w:cs="Times New Roman"/>
        </w:rPr>
        <w:t xml:space="preserve">, </w:t>
      </w:r>
      <w:r>
        <w:rPr>
          <w:rFonts w:ascii="Leelawadee UI" w:hAnsi="Leelawadee UI" w:eastAsia="Leelawadee UI" w:cs="Leelawadee UI"/>
        </w:rPr>
        <w:t>ແຕ່ການແທນຄວາມນັ້ນບໍ່ໄດ້ໝາຍຄວາມວ່າພຣະວິຫານຂອງພຣະເຈົ້າຖືກເຮັດໃຫ້ເປື້ອນມົວ</w:t>
      </w:r>
      <w:r>
        <w:rPr>
          <w:rFonts w:ascii="Times New Roman" w:hAnsi="Times New Roman" w:eastAsia="Times New Roman" w:cs="Times New Roman"/>
        </w:rPr>
        <w:t xml:space="preserve">. </w:t>
      </w:r>
      <w:r>
        <w:rPr>
          <w:rFonts w:ascii="Leelawadee UI" w:hAnsi="Leelawadee UI" w:eastAsia="Leelawadee UI" w:cs="Leelawadee UI"/>
        </w:rPr>
        <w:t>ການຊໍາລະພຣະວິຫານນັ້ນເປັນຕົວແທນຂອງການຊໍາລະປຶ້ມບັນທຶກທີ່ຕັ້ງຢູ່ໃນພຣະວິຫານ</w:t>
      </w:r>
      <w:r>
        <w:rPr>
          <w:rFonts w:ascii="Times New Roman" w:hAnsi="Times New Roman" w:eastAsia="Times New Roman" w:cs="Times New Roman"/>
        </w:rPr>
        <w:t xml:space="preserve">. </w:t>
      </w:r>
      <w:r>
        <w:rPr>
          <w:rFonts w:ascii="Leelawadee UI" w:hAnsi="Leelawadee UI" w:eastAsia="Leelawadee UI" w:cs="Leelawadee UI"/>
        </w:rPr>
        <w:t>ຍິ່ງໄປກວ່ານັ້ນ</w:t>
      </w:r>
      <w:r>
        <w:rPr>
          <w:rFonts w:ascii="Times New Roman" w:hAnsi="Times New Roman" w:eastAsia="Times New Roman" w:cs="Times New Roman"/>
        </w:rPr>
        <w:t xml:space="preserve">, </w:t>
      </w:r>
      <w:r>
        <w:rPr>
          <w:rFonts w:ascii="Leelawadee UI" w:hAnsi="Leelawadee UI" w:eastAsia="Leelawadee UI" w:cs="Leelawadee UI"/>
        </w:rPr>
        <w:t>ອໍານາດຂອງສັນຕະປາປາບໍ່ເຄີຍເປັນຄຣິສຕຽນເລີຍ</w:t>
      </w:r>
      <w:r>
        <w:rPr>
          <w:rFonts w:ascii="Times New Roman" w:hAnsi="Times New Roman" w:eastAsia="Times New Roman" w:cs="Times New Roman"/>
        </w:rPr>
        <w:t xml:space="preserve">, </w:t>
      </w:r>
      <w:r>
        <w:rPr>
          <w:rFonts w:ascii="Leelawadee UI" w:hAnsi="Leelawadee UI" w:eastAsia="Leelawadee UI" w:cs="Leelawadee UI"/>
        </w:rPr>
        <w:t>ດັ່ງນັ້ນຈຶ່ງບໍ່ເຄີຍຖືກບັນທຶກເຂົ້າໃນປຶ້ມແຫ່ງການພິພາກສາໄຕ່ສວນ</w:t>
      </w:r>
      <w:r>
        <w:rPr>
          <w:rFonts w:ascii="Times New Roman" w:hAnsi="Times New Roman" w:eastAsia="Times New Roman" w:cs="Times New Roman"/>
        </w:rPr>
        <w:t xml:space="preserve">. </w:t>
      </w:r>
      <w:r>
        <w:rPr>
          <w:rFonts w:ascii="Leelawadee UI" w:hAnsi="Leelawadee UI" w:eastAsia="Leelawadee UI" w:cs="Leelawadee UI"/>
        </w:rPr>
        <w:t>ການພິພາກສາພຽງຢ່າງດຽວທີ່ຖືກລະບຸໄວ້ສໍາລັບອໍານາດສັນຕະປາປາ</w:t>
      </w:r>
      <w:r>
        <w:rPr>
          <w:rFonts w:ascii="Times New Roman" w:hAnsi="Times New Roman" w:eastAsia="Times New Roman" w:cs="Times New Roman"/>
        </w:rPr>
        <w:t xml:space="preserve"> </w:t>
      </w:r>
      <w:r>
        <w:rPr>
          <w:rFonts w:ascii="Leelawadee UI" w:hAnsi="Leelawadee UI" w:eastAsia="Leelawadee UI" w:cs="Leelawadee UI"/>
        </w:rPr>
        <w:t>ແມ່ນການພິພາກສາແຫ່ງການປະຕິບັດໂທດຕາມພຣະພິໂລດຂອງພຣະເຈົ້າ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“Brazat” nisunakunapas “churayta tiyan karqa millay mana allinta, ch’usaqyachiqta,” ¿ima atiyniyoq karqan chayqa? ¿Ima atiyniyoqta churarqan papakuna kamachiy? Hinallataq, kimsa chunka hukniyoq versículopa qallariyninpi, ¿ima atiyniyoqpaqmi papakuna kamachiy sayarirqan?</w:t>
      </w:r>
    </w:p>
    <w:p>
      <w:pPr>
        <w:pStyle w:val="ArticleBody"/>
        <w:jc w:val="left"/>
      </w:pPr>
      <w:r>
        <w:rPr>
          <w:rFonts w:ascii="Times New Roman" w:hAnsi="Times New Roman" w:eastAsia="Times New Roman" w:cs="Times New Roman"/>
        </w:rPr>
        <w:t>لە ئادمڤەنتیزمی لائۆدیکیا، ئەوانەی نەخوێندەوارن و ژیانی هەتاهەتاييی خۆیان خستووەتە دەستی ئەو مێردانەی کە دیاریکراون و ناتوانن ئەو کتێبەی مۆرکراو بخوێنن، لەوانەیە ئاسوودە بن کە گوێی خۆشحاڵیان بەو جۆرە لە بەکارهێنانی گەندەڵکراوی کتێبی پیرۆز ئارام بکرێت؛ بەڵام هێشتا پووچترە هەوڵدان بۆ ئەوەی ئەو مێژوویەی پێویستە بناسێنن تاکو هەڵەکەیان پشتڕاست بکەن، لەگەڵ شەش ئایەتی دواوەی دانیال یازدەدا ڕیزبەندی بکرێت.</w:t>
      </w:r>
    </w:p>
    <w:p>
      <w:pPr>
        <w:pStyle w:val="ArticleBody"/>
        <w:jc w:val="left"/>
      </w:pPr>
      <w:r>
        <w:rPr>
          <w:rFonts w:ascii="Microsoft Himalaya" w:hAnsi="Microsoft Himalaya" w:eastAsia="Microsoft Himalaya" w:cs="Microsoft Himalaya"/>
        </w:rPr>
        <w:t>ཌཱན་ཨེལ་ལེའུ་བཅུ་གཅིག་པའི་ཚིགས་བཅད་བཞི་བཅུ་པར་ལྷོ་ཕྱོགས་ཀྱི་རྒྱལ་པོར་མཚོན་པར་བསྟན་ཐུབ་པ་ལྟར།</w:t>
      </w:r>
      <w:r>
        <w:rPr>
          <w:rFonts w:ascii="Times New Roman" w:hAnsi="Times New Roman" w:eastAsia="Times New Roman" w:cs="Times New Roman"/>
        </w:rPr>
        <w:t xml:space="preserve"> </w:t>
      </w:r>
      <w:r>
        <w:rPr>
          <w:rFonts w:ascii="Microsoft Himalaya" w:hAnsi="Microsoft Himalaya" w:eastAsia="Microsoft Himalaya" w:cs="Microsoft Himalaya"/>
        </w:rPr>
        <w:t>སོ་ཝིཨེཊ་ཡུ་ནིཨོན་གྱི་འཇིག་པའི་སྔ་ལོགས་ཀྱི་ལོ་རྒྱུས་ནང་།</w:t>
      </w:r>
      <w:r>
        <w:rPr>
          <w:rFonts w:ascii="Times New Roman" w:hAnsi="Times New Roman" w:eastAsia="Times New Roman" w:cs="Times New Roman"/>
        </w:rPr>
        <w:t xml:space="preserve"> </w:t>
      </w:r>
      <w:r>
        <w:rPr>
          <w:rFonts w:ascii="Microsoft Himalaya" w:hAnsi="Microsoft Himalaya" w:eastAsia="Microsoft Himalaya" w:cs="Microsoft Himalaya"/>
        </w:rPr>
        <w:t>ཨ་མེ་རི་ཀ་སྤྱི་མཐུན་རྒྱལ་ཁབ་ཀྱི་དམག་སྟོབས་ནི་པཱ་པེ་སིའི་ཕྱོགས་སུ་ལངས་ཤིང་།</w:t>
      </w:r>
      <w:r>
        <w:rPr>
          <w:rFonts w:ascii="Times New Roman" w:hAnsi="Times New Roman" w:eastAsia="Times New Roman" w:cs="Times New Roman"/>
        </w:rPr>
        <w:t xml:space="preserve"> </w:t>
      </w:r>
      <w:r>
        <w:rPr>
          <w:rFonts w:ascii="Microsoft Himalaya" w:hAnsi="Microsoft Himalaya" w:eastAsia="Microsoft Himalaya" w:cs="Microsoft Himalaya"/>
        </w:rPr>
        <w:t>རོ་ནཱལཌ་རེ་གན་གྱིས་དམ་པའི་གསུང་རབ་ཀྱི་ལུང་བསྟན་ནང་གི་འགལ་ཟླར་གསང་བའི་མཉམ་འབྲེལ་ཞིག་བཟོས་པས་ཡིན།</w:t>
      </w:r>
      <w:r>
        <w:rPr>
          <w:rFonts w:ascii="Times New Roman" w:hAnsi="Times New Roman" w:eastAsia="Times New Roman" w:cs="Times New Roman"/>
        </w:rPr>
        <w:t xml:space="preserve"> </w:t>
      </w:r>
      <w:r>
        <w:rPr>
          <w:rFonts w:ascii="Microsoft Himalaya" w:hAnsi="Microsoft Himalaya" w:eastAsia="Microsoft Himalaya" w:cs="Microsoft Himalaya"/>
        </w:rPr>
        <w:t>དེ་ལྟར་བྱས་པས།</w:t>
      </w:r>
      <w:r>
        <w:rPr>
          <w:rFonts w:ascii="Times New Roman" w:hAnsi="Times New Roman" w:eastAsia="Times New Roman" w:cs="Times New Roman"/>
        </w:rPr>
        <w:t xml:space="preserve"> </w:t>
      </w:r>
      <w:r>
        <w:rPr>
          <w:rFonts w:ascii="Microsoft Himalaya" w:hAnsi="Microsoft Himalaya" w:eastAsia="Microsoft Himalaya" w:cs="Microsoft Himalaya"/>
        </w:rPr>
        <w:t>༥༠༨</w:t>
      </w:r>
      <w:r>
        <w:rPr>
          <w:rFonts w:ascii="Times New Roman" w:hAnsi="Times New Roman" w:eastAsia="Times New Roman" w:cs="Times New Roman"/>
        </w:rPr>
        <w:t xml:space="preserve"> </w:t>
      </w:r>
      <w:r>
        <w:rPr>
          <w:rFonts w:ascii="Microsoft Himalaya" w:hAnsi="Microsoft Himalaya" w:eastAsia="Microsoft Himalaya" w:cs="Microsoft Himalaya"/>
        </w:rPr>
        <w:t>ལོར་ཕ་གན་ནི་སམ་གྱི་འགལ་བའི་སྟོབས་བསལ་བས་མཚོན་པ་ལྟར།</w:t>
      </w:r>
      <w:r>
        <w:rPr>
          <w:rFonts w:ascii="Times New Roman" w:hAnsi="Times New Roman" w:eastAsia="Times New Roman" w:cs="Times New Roman"/>
        </w:rPr>
        <w:t xml:space="preserve"> </w:t>
      </w:r>
      <w:r>
        <w:rPr>
          <w:rFonts w:ascii="Microsoft Himalaya" w:hAnsi="Microsoft Himalaya" w:eastAsia="Microsoft Himalaya" w:cs="Microsoft Himalaya"/>
        </w:rPr>
        <w:t>པཱ་པེ་སི་ཡར་འཕེལ་བའི་ཐད་ལ་ཡོད་པའི་པྲོ་ཏེས་ཏན་གྱི་འགལ་ཟླ་གང་ཡོད་པའང་ཨ་མེ་རི་ཀ་སྤྱི་མཐུན་རྒྱལ་ཁབ་ནང་ཞི་འཇམ་དུ་བཏང་ཟིན་པའི་བརྡ་མཚོན་བྱས།</w:t>
      </w:r>
      <w:r>
        <w:rPr>
          <w:rFonts w:ascii="Times New Roman" w:hAnsi="Times New Roman" w:eastAsia="Times New Roman" w:cs="Times New Roman"/>
        </w:rPr>
        <w:t xml:space="preserve"> </w:t>
      </w:r>
      <w:r>
        <w:rPr>
          <w:rFonts w:ascii="Microsoft Himalaya" w:hAnsi="Microsoft Himalaya" w:eastAsia="Microsoft Himalaya" w:cs="Microsoft Himalaya"/>
        </w:rPr>
        <w:t>ཚན་པ་དེའི་ནང་བྱང་ཕྱོགས་ཀྱི་རྒྱལ་པོ་</w:t>
      </w:r>
      <w:r>
        <w:rPr>
          <w:rFonts w:ascii="Times New Roman" w:hAnsi="Times New Roman" w:eastAsia="Times New Roman" w:cs="Times New Roman"/>
        </w:rPr>
        <w:t>(</w:t>
      </w:r>
      <w:r>
        <w:rPr>
          <w:rFonts w:ascii="Microsoft Himalaya" w:hAnsi="Microsoft Himalaya" w:eastAsia="Microsoft Himalaya" w:cs="Microsoft Himalaya"/>
        </w:rPr>
        <w:t>པཱ་པེ་སི་</w:t>
      </w:r>
      <w:r>
        <w:rPr>
          <w:rFonts w:ascii="Times New Roman" w:hAnsi="Times New Roman" w:eastAsia="Times New Roman" w:cs="Times New Roman"/>
        </w:rPr>
        <w:t>)</w:t>
      </w:r>
      <w:r>
        <w:rPr>
          <w:rFonts w:ascii="Microsoft Himalaya" w:hAnsi="Microsoft Himalaya" w:eastAsia="Microsoft Himalaya" w:cs="Microsoft Himalaya"/>
        </w:rPr>
        <w:t>ཡིས་ཐོག་མར་༡༩༨༩</w:t>
      </w:r>
      <w:r>
        <w:rPr>
          <w:rFonts w:ascii="Times New Roman" w:hAnsi="Times New Roman" w:eastAsia="Times New Roman" w:cs="Times New Roman"/>
        </w:rPr>
        <w:t xml:space="preserve"> </w:t>
      </w:r>
      <w:r>
        <w:rPr>
          <w:rFonts w:ascii="Microsoft Himalaya" w:hAnsi="Microsoft Himalaya" w:eastAsia="Microsoft Himalaya" w:cs="Microsoft Himalaya"/>
        </w:rPr>
        <w:t>ལོར་སོ་ཝིཨེཊ་ཡུ་ནིཨོན་ཕྱགས་མེད་བཏང་ཞིང་།</w:t>
      </w:r>
      <w:r>
        <w:rPr>
          <w:rFonts w:ascii="Times New Roman" w:hAnsi="Times New Roman" w:eastAsia="Times New Roman" w:cs="Times New Roman"/>
        </w:rPr>
        <w:t xml:space="preserve"> </w:t>
      </w:r>
      <w:r>
        <w:rPr>
          <w:rFonts w:ascii="Microsoft Himalaya" w:hAnsi="Microsoft Himalaya" w:eastAsia="Microsoft Himalaya" w:cs="Microsoft Himalaya"/>
        </w:rPr>
        <w:t>དེའང་</w:t>
      </w:r>
      <w:r>
        <w:rPr>
          <w:rFonts w:ascii="Times New Roman" w:hAnsi="Times New Roman" w:eastAsia="Times New Roman" w:cs="Times New Roman"/>
        </w:rPr>
        <w:t>“</w:t>
      </w:r>
      <w:r>
        <w:rPr>
          <w:rFonts w:ascii="Microsoft Himalaya" w:hAnsi="Microsoft Himalaya" w:eastAsia="Microsoft Himalaya" w:cs="Microsoft Himalaya"/>
        </w:rPr>
        <w:t>ཤིང་རྟ</w:t>
      </w:r>
      <w:r>
        <w:rPr>
          <w:rFonts w:ascii="Times New Roman" w:hAnsi="Times New Roman" w:eastAsia="Times New Roman" w:cs="Times New Roman"/>
        </w:rPr>
        <w:t>”</w:t>
      </w:r>
      <w:r>
        <w:rPr>
          <w:rFonts w:ascii="Microsoft Himalaya" w:hAnsi="Microsoft Himalaya" w:eastAsia="Microsoft Himalaya" w:cs="Microsoft Himalaya"/>
        </w:rPr>
        <w:t>དང་</w:t>
      </w:r>
      <w:r>
        <w:rPr>
          <w:rFonts w:ascii="Times New Roman" w:hAnsi="Times New Roman" w:eastAsia="Times New Roman" w:cs="Times New Roman"/>
        </w:rPr>
        <w:t>“</w:t>
      </w:r>
      <w:r>
        <w:rPr>
          <w:rFonts w:ascii="Microsoft Himalaya" w:hAnsi="Microsoft Himalaya" w:eastAsia="Microsoft Himalaya" w:cs="Microsoft Himalaya"/>
        </w:rPr>
        <w:t>རྟ་པ</w:t>
      </w:r>
      <w:r>
        <w:rPr>
          <w:rFonts w:ascii="Times New Roman" w:hAnsi="Times New Roman" w:eastAsia="Times New Roman" w:cs="Times New Roman"/>
        </w:rPr>
        <w:t>”</w:t>
      </w:r>
      <w:r>
        <w:rPr>
          <w:rFonts w:ascii="Microsoft Himalaya" w:hAnsi="Microsoft Himalaya" w:eastAsia="Microsoft Himalaya" w:cs="Microsoft Himalaya"/>
        </w:rPr>
        <w:t>ཞེས་པས་མཚོན་པའི་ཨ་མེ་རི་ཀ་སྤྱི་མཐུན་རྒྱལ་ཁབ་ཀྱི་དམག་སྟོབས་དང་མཉམ་དུ།</w:t>
      </w:r>
      <w:r>
        <w:rPr>
          <w:rFonts w:ascii="Times New Roman" w:hAnsi="Times New Roman" w:eastAsia="Times New Roman" w:cs="Times New Roman"/>
        </w:rPr>
        <w:t xml:space="preserve"> </w:t>
      </w:r>
      <w:r>
        <w:rPr>
          <w:rFonts w:ascii="Microsoft Himalaya" w:hAnsi="Microsoft Himalaya" w:eastAsia="Microsoft Himalaya" w:cs="Microsoft Himalaya"/>
        </w:rPr>
        <w:t>ད་དུང་</w:t>
      </w:r>
      <w:r>
        <w:rPr>
          <w:rFonts w:ascii="Times New Roman" w:hAnsi="Times New Roman" w:eastAsia="Times New Roman" w:cs="Times New Roman"/>
        </w:rPr>
        <w:t>“</w:t>
      </w:r>
      <w:r>
        <w:rPr>
          <w:rFonts w:ascii="Microsoft Himalaya" w:hAnsi="Microsoft Himalaya" w:eastAsia="Microsoft Himalaya" w:cs="Microsoft Himalaya"/>
        </w:rPr>
        <w:t>གྲུ</w:t>
      </w:r>
      <w:r>
        <w:rPr>
          <w:rFonts w:ascii="Times New Roman" w:hAnsi="Times New Roman" w:eastAsia="Times New Roman" w:cs="Times New Roman"/>
        </w:rPr>
        <w:t>”</w:t>
      </w:r>
      <w:r>
        <w:rPr>
          <w:rFonts w:ascii="Microsoft Himalaya" w:hAnsi="Microsoft Himalaya" w:eastAsia="Microsoft Himalaya" w:cs="Microsoft Himalaya"/>
        </w:rPr>
        <w:t>ཡིས་མཚོན་པའི་ཨ་མེ་རི་ཀ་སྤྱི་མཐུན་རྒྱལ་ཁབ་ཀྱི་དཔལ་འབྱོར་སྟོབས་དང་ཡང་ལྷན་དུ་བྱས་པ་ཡིན།</w:t>
      </w:r>
    </w:p>
    <w:p>
      <w:pPr>
        <w:pStyle w:val="ArticleBody"/>
        <w:jc w:val="left"/>
      </w:pPr>
      <w:r>
        <w:rPr>
          <w:rFonts w:ascii="Times New Roman" w:hAnsi="Times New Roman" w:eastAsia="Times New Roman" w:cs="Times New Roman"/>
        </w:rPr>
        <w:t>امریکه متحده هغه «مټې» وې چې د پاپۍ ملاتړ ته ودرېدې. پروتستانتېزم لیرې کړل شو، لکه څنګه چې د بت‌پرستۍ مقاومت تر ۵۰۸ کال پورې مات او تابع شوی و. په یوڅلوېښتم آیت کې به امریکه متحده د پاپۍ له خوا فتحه شي، او د امریکه متحده اساسي قانون، چې د امریکه متحده «د ځواک مقدس‌ځای» دی، به نسکور کړل شي، ځکه امریکه متحده د شمال پاچا (پاپي) د ځمکې پر تخت کښېنوي، لکه څنګه چې بت‌پرست روم په ۵۳۸ کال کې وکړل. که تاسو د دې وېب‌پاڼې مقالې لولئ، نو کولای شئ د The Time of the End مجله ښکته کړئ، او د دانیال یوولسم د وروستیو شپږو آیتونو لا بشپړ بیان ولولئ؛ خو موږ اوس یوازې دا په ګوته کوو چې د «دايمي» پېژندنه، د مسیح د مقدس‌ځای د خدمت په توګه، د دې نښې ناسم تطبیق دی. موږ دا ځکه کوو چې وښیو دا ناسم تطبیق پر لاودیسیایي اډوېنټیزم باندې د یوې قصدي دروغ په وسیله تپل شوی و.</w:t>
      </w:r>
    </w:p>
    <w:p>
      <w:pPr>
        <w:pStyle w:val="ArticleBody"/>
        <w:jc w:val="left"/>
      </w:pPr>
      <w:r>
        <w:rPr>
          <w:rFonts w:ascii="Times New Roman" w:hAnsi="Times New Roman" w:eastAsia="Times New Roman" w:cs="Times New Roman"/>
        </w:rPr>
        <w:t>Аўзымас уагъдарды келесі мақалада қарастыра беретін боламыз.</w:t>
      </w:r>
    </w:p>
    <w:p>
      <w:pPr>
        <w:pStyle w:val="ArticleScripture"/>
        <w:jc w:val="left"/>
      </w:pPr>
      <w:r>
        <w:rPr>
          <w:rFonts w:ascii="Times New Roman" w:hAnsi="Times New Roman" w:eastAsia="Times New Roman" w:cs="Times New Roman"/>
        </w:rPr>
        <w:t>“Ñuqanchikqa manam p’unchayta chinkachiyta atinchikchu. Sasachakuy p’unchaykunaqa ñawpaqninchikpi kachkan. Kay pachaqa maqanakuy espírituwan kuyuchisqa kachkan. Manaraq unaytaqa profecíakunapi nisqa sasachakuy rikch’akuykuna pasarán. Danielpa chunka hukniyuq kaq profecíaqa casi hunt’asqa tukuyman chayamushanña. Kay profecíapa hunt’akusqanman hina pasasqa historiapa achka chikninmi yapamanta kutin rikurinqa.”</w:t>
      </w:r>
    </w:p>
    <w:p>
      <w:pPr>
        <w:pStyle w:val="ArticleScripture"/>
        <w:jc w:val="left"/>
      </w:pPr>
      <w:r>
        <w:rPr>
          <w:rFonts w:ascii="Times New Roman" w:hAnsi="Times New Roman" w:eastAsia="Times New Roman" w:cs="Times New Roman"/>
        </w:rPr>
        <w:t>“</w:t>
      </w:r>
      <w:r>
        <w:rPr>
          <w:rFonts w:ascii="Nirmala UI" w:hAnsi="Nirmala UI" w:eastAsia="Nirmala UI" w:cs="Nirmala UI"/>
        </w:rPr>
        <w:t>सुव्यवस्थितिसिमं</w:t>
      </w:r>
      <w:r>
        <w:rPr>
          <w:rFonts w:ascii="Times New Roman" w:hAnsi="Times New Roman" w:eastAsia="Times New Roman" w:cs="Times New Roman"/>
        </w:rPr>
        <w:t xml:space="preserve"> </w:t>
      </w:r>
      <w:r>
        <w:rPr>
          <w:rFonts w:ascii="Nirmala UI" w:hAnsi="Nirmala UI" w:eastAsia="Nirmala UI" w:cs="Nirmala UI"/>
        </w:rPr>
        <w:t>श्लोके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जउ</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भएर</w:t>
      </w:r>
      <w:r>
        <w:rPr>
          <w:rFonts w:ascii="Times New Roman" w:hAnsi="Times New Roman" w:eastAsia="Times New Roman" w:cs="Times New Roman"/>
        </w:rPr>
        <w:t xml:space="preserve"> </w:t>
      </w:r>
      <w:r>
        <w:rPr>
          <w:rFonts w:ascii="Nirmala UI" w:hAnsi="Nirmala UI" w:eastAsia="Nirmala UI" w:cs="Nirmala UI"/>
        </w:rPr>
        <w:t>फर्किनेछ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फर्किनेछ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त्याग्नेहरूसित</w:t>
      </w:r>
      <w:r>
        <w:rPr>
          <w:rFonts w:ascii="Times New Roman" w:hAnsi="Times New Roman" w:eastAsia="Times New Roman" w:cs="Times New Roman"/>
        </w:rPr>
        <w:t xml:space="preserve"> </w:t>
      </w:r>
      <w:r>
        <w:rPr>
          <w:rFonts w:ascii="Nirmala UI" w:hAnsi="Nirmala UI" w:eastAsia="Nirmala UI" w:cs="Nirmala UI"/>
        </w:rPr>
        <w:t>समझदारी</w:t>
      </w:r>
      <w:r>
        <w:rPr>
          <w:rFonts w:ascii="Times New Roman" w:hAnsi="Times New Roman" w:eastAsia="Times New Roman" w:cs="Times New Roman"/>
        </w:rPr>
        <w:t xml:space="preserve"> </w:t>
      </w:r>
      <w:r>
        <w:rPr>
          <w:rFonts w:ascii="Nirmala UI" w:hAnsi="Nirmala UI" w:eastAsia="Nirmala UI" w:cs="Nirmala UI"/>
        </w:rPr>
        <w:t>राख्नेछ।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पक्षमा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पवित्रस्थानलाई</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पार्नेछन्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हटाइदिनेछन्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गर्नेहरूलाई</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चापलुसीद्वारा</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चिन्नेजनहरू</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पराक्रमका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मानिसहरूमध्ये</w:t>
      </w:r>
      <w:r>
        <w:rPr>
          <w:rFonts w:ascii="Times New Roman" w:hAnsi="Times New Roman" w:eastAsia="Times New Roman" w:cs="Times New Roman"/>
        </w:rPr>
        <w:t xml:space="preserve"> </w:t>
      </w:r>
      <w:r>
        <w:rPr>
          <w:rFonts w:ascii="Nirmala UI" w:hAnsi="Nirmala UI" w:eastAsia="Nirmala UI" w:cs="Nirmala UI"/>
        </w:rPr>
        <w:t>बुझाइ</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जनहरूले</w:t>
      </w:r>
      <w:r>
        <w:rPr>
          <w:rFonts w:ascii="Times New Roman" w:hAnsi="Times New Roman" w:eastAsia="Times New Roman" w:cs="Times New Roman"/>
        </w:rPr>
        <w:t xml:space="preserve"> </w:t>
      </w:r>
      <w:r>
        <w:rPr>
          <w:rFonts w:ascii="Nirmala UI" w:hAnsi="Nirmala UI" w:eastAsia="Nirmala UI" w:cs="Nirmala UI"/>
        </w:rPr>
        <w:t>धेरैलाई</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दिनेछन्</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तरवारद्वारा</w:t>
      </w:r>
      <w:r>
        <w:rPr>
          <w:rFonts w:ascii="Times New Roman" w:hAnsi="Times New Roman" w:eastAsia="Times New Roman" w:cs="Times New Roman"/>
        </w:rPr>
        <w:t xml:space="preserve">, </w:t>
      </w:r>
      <w:r>
        <w:rPr>
          <w:rFonts w:ascii="Nirmala UI" w:hAnsi="Nirmala UI" w:eastAsia="Nirmala UI" w:cs="Nirmala UI"/>
        </w:rPr>
        <w:t>आगोद्वारा</w:t>
      </w:r>
      <w:r>
        <w:rPr>
          <w:rFonts w:ascii="Times New Roman" w:hAnsi="Times New Roman" w:eastAsia="Times New Roman" w:cs="Times New Roman"/>
        </w:rPr>
        <w:t xml:space="preserve">, </w:t>
      </w:r>
      <w:r>
        <w:rPr>
          <w:rFonts w:ascii="Nirmala UI" w:hAnsi="Nirmala UI" w:eastAsia="Nirmala UI" w:cs="Nirmala UI"/>
        </w:rPr>
        <w:t>बन्दीगृहद्वारा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लुटद्वारा</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दिनसम्म</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दिइनेछ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धेरैजना</w:t>
      </w:r>
      <w:r>
        <w:rPr>
          <w:rFonts w:ascii="Times New Roman" w:hAnsi="Times New Roman" w:eastAsia="Times New Roman" w:cs="Times New Roman"/>
        </w:rPr>
        <w:t xml:space="preserve"> </w:t>
      </w:r>
      <w:r>
        <w:rPr>
          <w:rFonts w:ascii="Nirmala UI" w:hAnsi="Nirmala UI" w:eastAsia="Nirmala UI" w:cs="Nirmala UI"/>
        </w:rPr>
        <w:t>तिनीहरूसित</w:t>
      </w:r>
      <w:r>
        <w:rPr>
          <w:rFonts w:ascii="Times New Roman" w:hAnsi="Times New Roman" w:eastAsia="Times New Roman" w:cs="Times New Roman"/>
        </w:rPr>
        <w:t xml:space="preserve"> </w:t>
      </w:r>
      <w:r>
        <w:rPr>
          <w:rFonts w:ascii="Nirmala UI" w:hAnsi="Nirmala UI" w:eastAsia="Nirmala UI" w:cs="Nirmala UI"/>
        </w:rPr>
        <w:t>चापलुसीसाथ</w:t>
      </w:r>
      <w:r>
        <w:rPr>
          <w:rFonts w:ascii="Times New Roman" w:hAnsi="Times New Roman" w:eastAsia="Times New Roman" w:cs="Times New Roman"/>
        </w:rPr>
        <w:t xml:space="preserve"> </w:t>
      </w:r>
      <w:r>
        <w:rPr>
          <w:rFonts w:ascii="Nirmala UI" w:hAnsi="Nirmala UI" w:eastAsia="Nirmala UI" w:cs="Nirmala UI"/>
        </w:rPr>
        <w:t>मिल्नेछन्।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बुझाइ</w:t>
      </w:r>
      <w:r>
        <w:rPr>
          <w:rFonts w:ascii="Times New Roman" w:hAnsi="Times New Roman" w:eastAsia="Times New Roman" w:cs="Times New Roman"/>
        </w:rPr>
        <w:t xml:space="preserve"> </w:t>
      </w:r>
      <w:r>
        <w:rPr>
          <w:rFonts w:ascii="Nirmala UI" w:hAnsi="Nirmala UI" w:eastAsia="Nirmala UI" w:cs="Nirmala UI"/>
        </w:rPr>
        <w:t>भएकामध्ये</w:t>
      </w:r>
      <w:r>
        <w:rPr>
          <w:rFonts w:ascii="Times New Roman" w:hAnsi="Times New Roman" w:eastAsia="Times New Roman" w:cs="Times New Roman"/>
        </w:rPr>
        <w:t xml:space="preserve"> </w:t>
      </w:r>
      <w:r>
        <w:rPr>
          <w:rFonts w:ascii="Nirmala UI" w:hAnsi="Nirmala UI" w:eastAsia="Nirmala UI" w:cs="Nirmala UI"/>
        </w:rPr>
        <w:t>कतिपय</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इच्छाअनुसार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देवताभन्दा</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उचाल्नेछ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ठहराउनेछ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देवताहरूका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बोल्नेछ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नहुँदासम्म</w:t>
      </w:r>
      <w:r>
        <w:rPr>
          <w:rFonts w:ascii="Times New Roman" w:hAnsi="Times New Roman" w:eastAsia="Times New Roman" w:cs="Times New Roman"/>
        </w:rPr>
        <w:t xml:space="preserve"> </w:t>
      </w:r>
      <w:r>
        <w:rPr>
          <w:rFonts w:ascii="Nirmala UI" w:hAnsi="Nirmala UI" w:eastAsia="Nirmala UI" w:cs="Nirmala UI"/>
        </w:rPr>
        <w:t>उन्नति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ठहराइएको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11:30–36</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“Awọ̀n ìṣẹ̀lẹ̀ tí ó jọ àwọn tí a ṣàpèjúwe nínú àwọn ọ̀rọ̀ wọ̀nyí yóò ṣẹlẹ̀. A rí ẹ̀rí pé Satani ń yára gba àkóso lórí ọkàn àwọn ènìyàn tí kò ní ìbẹ̀rù Ọlọ́run níwájú wọn. Kí gbogbo ènìyàn ka, kí wọ́n sì lóye àwọn àsọtẹ́lẹ̀ inú ìwé yìí, nítorí pé a ti ń wọ àkókò ìpọ́njú tí a ti sọ̀rọ̀ rẹ̀ wọ̀lé nísinsin yìí:”</w:t>
      </w:r>
    </w:p>
    <w:p>
      <w:pPr>
        <w:pStyle w:val="ArticleScripture"/>
        <w:jc w:val="left"/>
      </w:pPr>
      <w:r>
        <w:rPr>
          <w:rFonts w:ascii="Times New Roman" w:hAnsi="Times New Roman" w:eastAsia="Times New Roman" w:cs="Times New Roman"/>
        </w:rPr>
        <w:t>«“Ya na aquel tiempo Miguel alzaráse, el gran príncipe que está por los fíos de tu puebru; y habrá tiempu de angustia, cual nunca foi dende que hubo nación fasta entós mesmu; y naquel tiempo será llibráu’l to puebru, cada ún que fuere atopáu escritu nel llibru. Y munchos de los que duermen nel polvu de la tierra espertarán, unos pa vida eterna, y otros pa vergoña y despreciu eternu. Y los sabios rellumarán como’l resplandu del firmamentu; y los que tornaren a munchos a xusticia, como les estrelles por siempres de los siempres. Mas tu, oh Daniel, zarria les pallabres y sella’l llibru fasta’l tiempu del fin; munchos correrán d’una parte a otra, y el conocimientu será aumentáu.” Daniel 12:1–4». Manuscript Releases, númberu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هشتاد و ششم</dc:title>
  <dc:subject>ትንቢታዊ መገለጥ፡ የእውቀት መጨመርንና የእኩለ ሌሊት ጩኸት መልእክትን መረዳት</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