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 Libro de Daniel - Número Ochenta y Siete</w:t>
      </w:r>
    </w:p>
    <w:p>
      <w:pPr>
        <w:pStyle w:val="ArticleSubtitle"/>
        <w:jc w:val="left"/>
      </w:pPr>
      <w:r>
        <w:rPr>
          <w:rFonts w:ascii="Arial" w:hAnsi="Arial" w:eastAsia="Arial" w:cs="Arial"/>
        </w:rPr>
        <w:t>Pagpapadayag han Sambingay han Napulo nga mga Birhen: Usa nga Hilawig ngan Hamili nga Panaw Pinaagi han Kasaysayan han mga 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La parábola de las diez vírgenes ilustra la experiencia del pueblo adventista.</w:t>
      </w:r>
    </w:p>
    <w:p>
      <w:pPr>
        <w:pStyle w:val="ArticleScripture"/>
        <w:jc w:val="left"/>
      </w:pPr>
      <w:r>
        <w:rPr>
          <w:rFonts w:ascii="Times New Roman" w:hAnsi="Times New Roman" w:eastAsia="Times New Roman" w:cs="Times New Roman"/>
        </w:rPr>
        <w:t>«Матай 25-теги он кыздын мисалы да Адвентист элинин тажрыйбасын сүрөттөйт». Улуу Күрөш, 393.</w:t>
      </w:r>
    </w:p>
    <w:p>
      <w:pPr>
        <w:pStyle w:val="ArticleBody"/>
        <w:jc w:val="left"/>
      </w:pP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एड्वेंटिस्टहरूले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दृष्टान्तलाई</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w:t>
      </w:r>
    </w:p>
    <w:p>
      <w:pPr>
        <w:pStyle w:val="ArticleScripture"/>
        <w:jc w:val="left"/>
      </w:pPr>
      <w:r>
        <w:rPr>
          <w:rFonts w:ascii="Times New Roman" w:hAnsi="Times New Roman" w:eastAsia="Times New Roman" w:cs="Times New Roman"/>
        </w:rPr>
        <w:t>“Ndzi tala ku kongomisiwa eka xifaniso xa vanhwanyana va khume, ntlhanu wa vona a va tlharihile, kasi ntlhanu a va ri swiphukuphuku. Xifaniso lexi xi hetisekile naswona xi ta hetiseka hi ku helela ka rito rin’wana ni rin’wana, hikuva xi na ku tirha loku hlawulekeke eka nkarhi lowu, naswona, ku fana ni rungula ra ntsumi ya vunharhu, xi hetisekile naswona xi ta ya emahlweni xi va ntiyiso wa nkarhi wa sweswi ku fikela eku pfaleni ka nkarhi.” Review and Herald, August 19, 1890.</w:t>
      </w:r>
    </w:p>
    <w:p>
      <w:pPr>
        <w:pStyle w:val="ArticleBody"/>
        <w:jc w:val="left"/>
      </w:pPr>
      <w:r>
        <w:rPr>
          <w:rFonts w:ascii="Times New Roman" w:hAnsi="Times New Roman" w:eastAsia="Times New Roman" w:cs="Times New Roman"/>
        </w:rPr>
        <w:t>تاریخچٔه حرکتِ فرشتۀ نخست، نمایانگرِ حرکتِ فرشتۀ سوم است، و تمرکزِ نهاییِ مَثَل بر این است که آیا باکره‌گان روغن را در اختیار دارند یا نه، که همان پیامِ بارانِ آخر است.</w:t>
      </w:r>
    </w:p>
    <w:p>
      <w:pPr>
        <w:pStyle w:val="ArticleScripture"/>
        <w:jc w:val="left"/>
      </w:pPr>
      <w:r>
        <w:rPr>
          <w:rFonts w:ascii="Times New Roman" w:hAnsi="Times New Roman" w:eastAsia="Times New Roman" w:cs="Times New Roman"/>
        </w:rPr>
        <w:t>«</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सोई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दीपकों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हस्तांतरणीय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हस्तांतरणीय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Bible Echo, May 4, 1896.</w:t>
      </w:r>
    </w:p>
    <w:p>
      <w:pPr>
        <w:pStyle w:val="ArticleBody"/>
        <w:jc w:val="left"/>
      </w:pPr>
      <w:r>
        <w:rPr>
          <w:rFonts w:ascii="Times New Roman" w:hAnsi="Times New Roman" w:eastAsia="Times New Roman" w:cs="Times New Roman"/>
        </w:rPr>
        <w:t>Պատմվածքի մեջ «յուղը» ներկայացնում է «բնավորությունը», ինչպես նաև «Քրիստոսի արդարությունը»։ Սրբագործված բնավորություն ունենում են միայն նրանք, ովքեր ճաշակում են Աստծո Խոսքը։</w:t>
      </w:r>
    </w:p>
    <w:p>
      <w:pPr>
        <w:pStyle w:val="ArticleScripture"/>
        <w:jc w:val="left"/>
      </w:pPr>
      <w:r>
        <w:rPr>
          <w:rFonts w:ascii="Times New Roman" w:hAnsi="Times New Roman" w:eastAsia="Times New Roman" w:cs="Times New Roman"/>
        </w:rPr>
        <w:t>Amitambatrao amin’ny fahamarinanao izy; ny teninao no fahamarinana. Jaona 17:17.</w:t>
      </w:r>
    </w:p>
    <w:p>
      <w:pPr>
        <w:pStyle w:val="ArticleBody"/>
        <w:jc w:val="left"/>
      </w:pPr>
      <w:r>
        <w:rPr>
          <w:rFonts w:ascii="Times New Roman" w:hAnsi="Times New Roman" w:eastAsia="Times New Roman" w:cs="Times New Roman"/>
        </w:rPr>
        <w:t>“El aceite” es también los mensajes del Espíritu de Dios.</w:t>
      </w:r>
    </w:p>
    <w:p>
      <w:pPr>
        <w:pStyle w:val="ArticleScripture"/>
        <w:jc w:val="left"/>
      </w:pPr>
      <w:r>
        <w:rPr>
          <w:rFonts w:ascii="Times New Roman" w:hAnsi="Times New Roman" w:eastAsia="Times New Roman" w:cs="Times New Roman"/>
        </w:rPr>
        <w:t>«Anay Dios mi nasisirib no saon a daton so irrasngat toiya a kayat na a ipaabot a daton. Kanya, pilit tayo a ibabael so balitok ya lana a kayat na a ibukel ed saray kalalawa tayo pian maipaarap ed saramay adda ed kalingkingan.» Review and Herald, July 20, 1897.</w:t>
      </w:r>
    </w:p>
    <w:p>
      <w:pPr>
        <w:pStyle w:val="ArticleBody"/>
        <w:jc w:val="left"/>
      </w:pPr>
      <w:r>
        <w:rPr>
          <w:rFonts w:ascii="Times New Roman" w:hAnsi="Times New Roman" w:eastAsia="Times New Roman" w:cs="Times New Roman"/>
        </w:rPr>
        <w:t>“</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ᎠᏥᏅᏙᏗ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ᎤᏂᏧᏝ</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ᎦᏬᎳᏍᏗ</w:t>
      </w:r>
      <w:r>
        <w:rPr>
          <w:rFonts w:ascii="Times New Roman" w:hAnsi="Times New Roman" w:eastAsia="Times New Roman" w:cs="Times New Roman"/>
        </w:rPr>
        <w:t xml:space="preserve"> </w:t>
      </w:r>
      <w:r>
        <w:rPr>
          <w:rFonts w:ascii="Gadugi" w:hAnsi="Gadugi" w:eastAsia="Gadugi" w:cs="Gadugi"/>
        </w:rPr>
        <w:t>ᎭᏓᎷᎸᎢ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ᎻᏆᎫ</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ᏒᎯ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ᏗᏂᏯᎵᏍᎬ</w:t>
      </w:r>
      <w:r>
        <w:rPr>
          <w:rFonts w:ascii="Times New Roman" w:hAnsi="Times New Roman" w:eastAsia="Times New Roman" w:cs="Times New Roman"/>
        </w:rPr>
        <w:t xml:space="preserve"> </w:t>
      </w:r>
      <w:r>
        <w:rPr>
          <w:rFonts w:ascii="Gadugi" w:hAnsi="Gadugi" w:eastAsia="Gadugi" w:cs="Gadugi"/>
        </w:rPr>
        <w:t>ᎤᏃᎩᏒ</w:t>
      </w:r>
      <w:r>
        <w:rPr>
          <w:rFonts w:ascii="Times New Roman" w:hAnsi="Times New Roman" w:eastAsia="Times New Roman" w:cs="Times New Roman"/>
        </w:rPr>
        <w:t xml:space="preserve"> </w:t>
      </w:r>
      <w:r>
        <w:rPr>
          <w:rFonts w:ascii="Gadugi" w:hAnsi="Gadugi" w:eastAsia="Gadugi" w:cs="Gadugi"/>
        </w:rPr>
        <w:t>ᎠᏴᏛ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ᎤᏪᏥᏙᏗ</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ᏆᎦ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ᏩᎫᎾ</w:t>
      </w:r>
      <w:r>
        <w:rPr>
          <w:rFonts w:ascii="Times New Roman" w:hAnsi="Times New Roman" w:eastAsia="Times New Roman" w:cs="Times New Roman"/>
        </w:rPr>
        <w:t xml:space="preserve"> </w:t>
      </w:r>
      <w:r>
        <w:rPr>
          <w:rFonts w:ascii="Gadugi" w:hAnsi="Gadugi" w:eastAsia="Gadugi" w:cs="Gadugi"/>
        </w:rPr>
        <w:t>ᎤᏂᏃᎮᎸᎢ</w:t>
      </w:r>
      <w:r>
        <w:rPr>
          <w:rFonts w:ascii="Times New Roman" w:hAnsi="Times New Roman" w:eastAsia="Times New Roman" w:cs="Times New Roman"/>
        </w:rPr>
        <w:t xml:space="preserve"> 1888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«Жаратқан Ие Өзінің ұлы мейірімімен халқына ақсақалдар Уаггонер мен Джоунс арқылы аса қымбат хабар жіберді. Бұл хабар дүниенің алдына асқақтатылған Құтқарушыны, бүкіл әлемнің күнәлары үшін берілген құрбандықты, неғұрлым айқын түрде қою үшін берілді. Ол Кепіл болушы арқылы сеніммен ақталуды көрсетті; ол халықты Құдайдың барлық өсиеттеріне мойынсұну арқылы көрінетін Мәсіхтің әділдігін қабылдауға шақырды. Көптеген адамдар Исаны назардан шығарып алған еді. Олардың көздері Оның құдайлық тұлғасына, Оның еңбегіне және адамзат әулетіне деген өзгермес сүйіспеншілігіне бағытталуы қажет еді. Барлық билік Оның қолына берілген, сондықтан Ол адамдарға мол тартулар таратып, дәрменсіз адам баласына Өзінің әділдігінің баға жетпес сыйын дарыта алады. Бұл — Құдай дүниеге берілсін деп бұйырған хабар. Бұл — қатты дауыспен жариялануға және Оның Рухының мол мөлшерде төгілуімен ілесе жүруге тиіс үшінші періштенің хабары». Testimonies to Ministers, 91.</w:t>
      </w:r>
    </w:p>
    <w:p>
      <w:pPr>
        <w:pStyle w:val="ArticleBody"/>
        <w:jc w:val="left"/>
      </w:pPr>
      <w:r>
        <w:rPr>
          <w:rFonts w:ascii="Times New Roman" w:hAnsi="Times New Roman" w:eastAsia="Times New Roman" w:cs="Times New Roman"/>
        </w:rPr>
        <w:t>El mensaje es el mensaje de la lluvia tardía.</w:t>
      </w:r>
    </w:p>
    <w:p>
      <w:pPr>
        <w:pStyle w:val="ArticleScripture"/>
        <w:jc w:val="left"/>
      </w:pPr>
      <w:r>
        <w:rPr>
          <w:rFonts w:ascii="Times New Roman" w:hAnsi="Times New Roman" w:eastAsia="Times New Roman" w:cs="Times New Roman"/>
        </w:rPr>
        <w:t>«</w:t>
      </w:r>
      <w:r>
        <w:rPr>
          <w:rFonts w:ascii="Nirmala UI" w:hAnsi="Nirmala UI" w:eastAsia="Nirmala UI" w:cs="Nirmala UI"/>
        </w:rPr>
        <w:t>ಉತ್ತರಕಾಲದ</w:t>
      </w:r>
      <w:r>
        <w:rPr>
          <w:rFonts w:ascii="Times New Roman" w:hAnsi="Times New Roman" w:eastAsia="Times New Roman" w:cs="Times New Roman"/>
        </w:rPr>
        <w:t xml:space="preserve"> </w:t>
      </w:r>
      <w:r>
        <w:rPr>
          <w:rFonts w:ascii="Nirmala UI" w:hAnsi="Nirmala UI" w:eastAsia="Nirmala UI" w:cs="Nirmala UI"/>
        </w:rPr>
        <w:t>ಮಳೆ</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ಸುರಿಯಲಿದೆ</w:t>
      </w:r>
      <w:r>
        <w:rPr>
          <w:rFonts w:ascii="Times New Roman" w:hAnsi="Times New Roman" w:eastAsia="Times New Roman" w:cs="Times New Roman"/>
        </w:rPr>
        <w:t xml:space="preserve">. </w:t>
      </w:r>
      <w:r>
        <w:rPr>
          <w:rFonts w:ascii="Nirmala UI" w:hAnsi="Nirmala UI" w:eastAsia="Nirmala UI" w:cs="Nirmala UI"/>
        </w:rPr>
        <w:t>ಪರಲೋಕದಿಂದ</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ಮಹಾಬಲಶಾಲಿ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ಇಳಿದು</w:t>
      </w:r>
      <w:r>
        <w:rPr>
          <w:rFonts w:ascii="Times New Roman" w:hAnsi="Times New Roman" w:eastAsia="Times New Roman" w:cs="Times New Roman"/>
        </w:rPr>
        <w:t xml:space="preserve"> </w:t>
      </w:r>
      <w:r>
        <w:rPr>
          <w:rFonts w:ascii="Nirmala UI" w:hAnsi="Nirmala UI" w:eastAsia="Nirmala UI" w:cs="Nirmala UI"/>
        </w:rPr>
        <w:t>ಬರಲಿದ್ದಾನೆ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ಸಮಸ್ತ</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ಮಹಿಮೆಯಿಂದ</w:t>
      </w:r>
      <w:r>
        <w:rPr>
          <w:rFonts w:ascii="Times New Roman" w:hAnsi="Times New Roman" w:eastAsia="Times New Roman" w:cs="Times New Roman"/>
        </w:rPr>
        <w:t xml:space="preserve"> </w:t>
      </w:r>
      <w:r>
        <w:rPr>
          <w:rFonts w:ascii="Nirmala UI" w:hAnsi="Nirmala UI" w:eastAsia="Nirmala UI" w:cs="Nirmala UI"/>
        </w:rPr>
        <w:t>ಪ್ರಕಾಶಮಾನವಾಗಲಿದೆ</w:t>
      </w:r>
      <w:r>
        <w:rPr>
          <w:rFonts w:ascii="Times New Roman" w:hAnsi="Times New Roman" w:eastAsia="Times New Roman" w:cs="Times New Roman"/>
        </w:rPr>
        <w:t>.» Review and Herald, April 21, 1891.</w:t>
      </w:r>
    </w:p>
    <w:p>
      <w:pPr>
        <w:pStyle w:val="ArticleBody"/>
        <w:jc w:val="left"/>
      </w:pPr>
      <w:r>
        <w:rPr>
          <w:rFonts w:ascii="Nirmala UI" w:hAnsi="Nirmala UI" w:eastAsia="Nirmala UI" w:cs="Nirmala UI"/>
        </w:rPr>
        <w:t>ꯃꯍꯥꯟ</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11, 2001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ꯃꯥꯛꯇ</w:t>
      </w:r>
      <w:r>
        <w:rPr>
          <w:rFonts w:ascii="Times New Roman" w:hAnsi="Times New Roman" w:eastAsia="Times New Roman" w:cs="Times New Roman"/>
        </w:rPr>
        <w:t xml:space="preserve"> </w:t>
      </w:r>
      <w:r>
        <w:rPr>
          <w:rFonts w:ascii="Nirmala UI" w:hAnsi="Nirmala UI" w:eastAsia="Nirmala UI" w:cs="Nirmala UI"/>
        </w:rPr>
        <w:t>ꯂꯥꯛꯄꯁꯤꯗ</w:t>
      </w:r>
      <w:r>
        <w:rPr>
          <w:rFonts w:ascii="Times New Roman" w:hAnsi="Times New Roman" w:eastAsia="Times New Roman" w:cs="Times New Roman"/>
        </w:rPr>
        <w:t xml:space="preserve">, </w:t>
      </w:r>
      <w:r>
        <w:rPr>
          <w:rFonts w:ascii="Nirmala UI" w:hAnsi="Nirmala UI" w:eastAsia="Nirmala UI" w:cs="Nirmala UI"/>
        </w:rPr>
        <w:t>ꯂꯥꯇꯇꯥ</w:t>
      </w:r>
      <w:r>
        <w:rPr>
          <w:rFonts w:ascii="Times New Roman" w:hAnsi="Times New Roman" w:eastAsia="Times New Roman" w:cs="Times New Roman"/>
        </w:rPr>
        <w:t xml:space="preserve"> </w:t>
      </w:r>
      <w:r>
        <w:rPr>
          <w:rFonts w:ascii="Nirmala UI" w:hAnsi="Nirmala UI" w:eastAsia="Nirmala UI" w:cs="Nirmala UI"/>
        </w:rPr>
        <w:t>ꯅꯣꯡꯆꯨꯞ</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ꯅꯨꯡꯁꯤꯜꯂꯛꯄ</w:t>
      </w:r>
      <w:r>
        <w:rPr>
          <w:rFonts w:ascii="Times New Roman" w:hAnsi="Times New Roman" w:eastAsia="Times New Roman" w:cs="Times New Roman"/>
        </w:rPr>
        <w:t xml:space="preserve"> </w:t>
      </w:r>
      <w:r>
        <w:rPr>
          <w:rFonts w:ascii="Nirmala UI" w:hAnsi="Nirmala UI" w:eastAsia="Nirmala UI" w:cs="Nirmala UI"/>
        </w:rPr>
        <w:t>ꯍꯧꯈꯤ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ꯃꯤꯂꯂꯔꯥꯏꯠꯁꯀꯤ</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ꯇꯔꯥꯡꯀꯤ</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ꯍꯕꯛꯀꯨꯛ</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ꯃꯤꯑꯣꯏꯔꯤꯕ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ꯍꯧꯈꯤ꯫</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ꯅꯣংꯃꯩꯒꯤ</w:t>
      </w:r>
      <w:r>
        <w:rPr>
          <w:rFonts w:ascii="Times New Roman" w:hAnsi="Times New Roman" w:eastAsia="Times New Roman" w:cs="Times New Roman"/>
        </w:rPr>
        <w:t xml:space="preserve"> </w:t>
      </w:r>
      <w:r>
        <w:rPr>
          <w:rFonts w:ascii="Nirmala UI" w:hAnsi="Nirmala UI" w:eastAsia="Nirmala UI" w:cs="Nirmala UI"/>
        </w:rPr>
        <w:t>ꯍꯥꯛꯆꯥꯡ</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ꯈꯨꯠꯇ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ꯇꯧꯕꯁꯤꯡꯒꯤ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ꯌꯦꯔꯦꯃꯥꯏꯌꯥꯒꯤ</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ꯆꯦꯛꯁꯤꯟ</w:t>
      </w:r>
      <w:r>
        <w:rPr>
          <w:rFonts w:ascii="Times New Roman" w:hAnsi="Times New Roman" w:eastAsia="Times New Roman" w:cs="Times New Roman"/>
        </w:rPr>
        <w:t xml:space="preserve"> </w:t>
      </w:r>
      <w:r>
        <w:rPr>
          <w:rFonts w:ascii="Nirmala UI" w:hAnsi="Nirmala UI" w:eastAsia="Nirmala UI" w:cs="Nirmala UI"/>
        </w:rPr>
        <w:t>ꯕꯥꯍꯟꯕꯤꯕ</w:t>
      </w:r>
      <w:r>
        <w:rPr>
          <w:rFonts w:ascii="Times New Roman" w:hAnsi="Times New Roman" w:eastAsia="Times New Roman" w:cs="Times New Roman"/>
        </w:rPr>
        <w:t xml:space="preserve"> </w:t>
      </w:r>
      <w:r>
        <w:rPr>
          <w:rFonts w:ascii="Nirmala UI" w:hAnsi="Nirmala UI" w:eastAsia="Nirmala UI" w:cs="Nirmala UI"/>
        </w:rPr>
        <w:t>ꯃꯤꯍꯨꯟꯁꯤꯡ</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ꯄꯦꯟꯅꯥ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ꯆꯦꯛꯁꯤꯟ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ꯂꯥꯑꯣꯗꯤꯁꯤꯌꯥꯒꯤ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ꯏꯁꯥꯏꯌꯥꯅ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ꯀꯥꯎꯔꯤ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ꯃꯤꯑꯣꯏꯔꯦ꯫</w:t>
      </w:r>
    </w:p>
    <w:p>
      <w:pPr>
        <w:pStyle w:val="ArticleScripture"/>
        <w:jc w:val="left"/>
      </w:pPr>
      <w:r>
        <w:rPr>
          <w:rFonts w:ascii="Times New Roman" w:hAnsi="Times New Roman" w:eastAsia="Times New Roman" w:cs="Times New Roman"/>
        </w:rPr>
        <w:t>Rimaykita qaparichiy, ama qispichiychu; kunkaykita trompetahinata hoqarichiy, hinaspa llaqtayman huchankuta rikuchiy, Jacobpa wasinmanpas huchankunata. Isaías 58:1.</w:t>
      </w:r>
    </w:p>
    <w:p>
      <w:pPr>
        <w:pStyle w:val="ArticleBody"/>
        <w:jc w:val="left"/>
      </w:pPr>
      <w:r>
        <w:rPr>
          <w:rFonts w:ascii="Times New Roman" w:hAnsi="Times New Roman" w:eastAsia="Times New Roman" w:cs="Times New Roman"/>
        </w:rPr>
        <w:t>ꞌAzaꞌi dzootsʼį́į́ʼígíí dóó maḯ dzootsʼį́į́ʼígíí biniiyé bee haneʼígíí “áádóó nihá shikaadééł” jínígíí bikááʼgi naashá. Díí bikʼijįʼ, “bitsʼį́ʼ bee hazʼą́ągi binahjįʼ haneʼ” doo shił bééhózin da, ádinííłígíí éí tʼáá ajiłiiʼígíí dineʼé naashááhígíí nidaalnishgo baa hólǫ́, tʼáá shikaadééł nitsáhákees bee naaltsoosí biyiʼ chʼį́į́diiłgo bee haneʼígíí nisinígíí yiiʼaahgo ádinííłígíí. Áádóó tʼáá ajiłiiʼígíí bee haneʼígíí “yił naashá doo shił bééhózin da” ájíłtsoh, dóó yił naashá doo shił bééhózin da ájíłtsohígíí éí angel yáʼátʼééhígíí adahwiilʼaahgo bee naanishgo bééhózin. Angel adahwiilʼaahígíí éí Habakkuk biniiyé hadííłnééhígíí yikáʼadoolkił, dóó tʼáá łáʼí átʼéego bee haneʼígíí, áko tʼáá yáʼátʼééhígíí kéyahdę́ę́ʼ naashááhígíí nitsáhákees yáʼátʼéego doo shił bééhózin da, dóó tʼáá doo yáʼátʼééh daígíí éí náhástʼéí łeetsʼáadah biyiʼ naaltsoosí bee haneʼígíí nitsáhákees bee hodíílnih. Áádóó tʼáá yáʼátʼééh naashááhígíí éí Diyin God bichʼįʼ naatʼáanii haneʼígíí ninááłgo, bee hadítʼį́ʼį́ʼígíí tsin sǫʼ bee haneʼígíí ájítsohgo hadoolnih.</w:t>
      </w:r>
    </w:p>
    <w:p>
      <w:pPr>
        <w:pStyle w:val="ArticleBody"/>
        <w:jc w:val="left"/>
      </w:pPr>
      <w:r>
        <w:rPr>
          <w:rFonts w:ascii="Times New Roman" w:hAnsi="Times New Roman" w:eastAsia="Times New Roman" w:cs="Times New Roman"/>
        </w:rPr>
        <w:t>Hesabol trompetpa mesej i bin stanap long lait we i soim antap long tupela tebol bilong Habakuk. Em i tok lukaut long Laodisia, na em i tok lukaut tu we i makim ol sin bilong ol manmeri bilong God. Dispela tok pait i go antap moa inap long namba wan bel hevi, taim wanpela lain i kamap “bung bilong ol man bilong tok bilas,” na ol tru wasman i kisim kol long go bek long dispela strongpela bel bilong mesej we bipo ol i bin soim paslain long bel hevi. Taim ol wasman i go bek, ol i luksave olsem ol i stap long “taim bilong wet”, na olsem dispela mesej we i bin luk olsem em i no inap pinis, tru tumas bai i kamap olsem i mas kamap, tasol long oda bilong God. Dispela mesej i bin kamap gutpela moa insait long sotpela haptaim (tasol em yet i wanpela haptaim), na taim dispela mesej i kamap, em i soim olsem mesej bilong “Biknait Krai”, we em tasol wanpela moa strong bilong dispela mesej we i kirap long kisim pawa taim ensel i bin daun kam.</w:t>
      </w:r>
    </w:p>
    <w:p>
      <w:pPr>
        <w:pStyle w:val="ArticleBody"/>
        <w:jc w:val="left"/>
      </w:pPr>
      <w:r>
        <w:rPr>
          <w:rFonts w:ascii="Times New Roman" w:hAnsi="Times New Roman" w:eastAsia="Times New Roman" w:cs="Times New Roman"/>
        </w:rPr>
        <w:t>Sa panaw sa mensahe, bug-os nga natuman an pagbuwag han mga nakarawat han katungdanan sugad nga mga magbarantay ha paglugsad han anghel, ngan han mga umurik; ini nga pagbuwag amo an nagpapakita han punto diin iginpapadapat an selyo ha usa ka gatos ngan kap-atan ngan upat ka yukot, antes han pagbubo han urhi nga uran nga waray adto nga “pagsukol” nga iginbutang ha urhi nga uran nga tinikang han paglugsad han anghel.</w:t>
      </w:r>
    </w:p>
    <w:p>
      <w:pPr>
        <w:pStyle w:val="ArticleBody"/>
        <w:jc w:val="left"/>
      </w:pPr>
      <w:r>
        <w:rPr>
          <w:rFonts w:ascii="Times New Roman" w:hAnsi="Times New Roman" w:eastAsia="Times New Roman" w:cs="Times New Roman"/>
        </w:rPr>
        <w:t>Stori yé Millerites ku ta ilustra e yobi tardío durante e sellamentu di e cien i kuarenta i kuater mil. Den e stori ei e debate di Habakkuk tabata basa riba un mensahe verdadero i un mensahe falso di yobi tardío. Pablo ta identifica un klas komo esnan ku tin un amor pa e bèrdat, i e otro klas komo esnan ku ta risibí un engaño fuerte pasobra nan no tin un amor pa e bèrdat, i pasobra nan a kre den un “mentira.”</w:t>
      </w:r>
    </w:p>
    <w:p>
      <w:pPr>
        <w:pStyle w:val="ArticleBody"/>
        <w:jc w:val="left"/>
      </w:pPr>
      <w:r>
        <w:rPr>
          <w:rFonts w:ascii="Microsoft Himalaya" w:hAnsi="Microsoft Himalaya" w:eastAsia="Microsoft Himalaya" w:cs="Microsoft Himalaya"/>
        </w:rPr>
        <w:t>སྨན་ལེར་རྒྱུད་པའི་འགུལ་སྐྱོད་ནི་</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མཐའ་མའི་དུས</w:t>
      </w:r>
      <w:r>
        <w:rPr>
          <w:rFonts w:ascii="Times New Roman" w:hAnsi="Times New Roman" w:eastAsia="Times New Roman" w:cs="Times New Roman"/>
        </w:rPr>
        <w:t xml:space="preserve">” </w:t>
      </w:r>
      <w:r>
        <w:rPr>
          <w:rFonts w:ascii="Microsoft Himalaya" w:hAnsi="Microsoft Himalaya" w:eastAsia="Microsoft Himalaya" w:cs="Microsoft Himalaya"/>
        </w:rPr>
        <w:t>ནས་བཟུང་</w:t>
      </w:r>
      <w:r>
        <w:rPr>
          <w:rFonts w:ascii="Times New Roman" w:hAnsi="Times New Roman" w:eastAsia="Times New Roman" w:cs="Times New Roman"/>
        </w:rPr>
        <w:t xml:space="preserve"> </w:t>
      </w:r>
      <w:r>
        <w:rPr>
          <w:rFonts w:ascii="Microsoft Himalaya" w:hAnsi="Microsoft Himalaya" w:eastAsia="Microsoft Himalaya" w:cs="Microsoft Himalaya"/>
        </w:rPr>
        <w:t>ཤེས་རིག་དང་ནུས་པ་ཇེ་མང་ཇེ་ཆེར་འཕེལ་བའི་བདེན་པའི་གོང་འཕེལ་ཞིག་ཡིན་ཞིང་།</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མཚན་མོའི་འབོད་སྒྲ</w:t>
      </w:r>
      <w:r>
        <w:rPr>
          <w:rFonts w:ascii="Times New Roman" w:hAnsi="Times New Roman" w:eastAsia="Times New Roman" w:cs="Times New Roman"/>
        </w:rPr>
        <w:t xml:space="preserve">” </w:t>
      </w:r>
      <w:r>
        <w:rPr>
          <w:rFonts w:ascii="Microsoft Himalaya" w:hAnsi="Microsoft Himalaya" w:eastAsia="Microsoft Himalaya" w:cs="Microsoft Himalaya"/>
        </w:rPr>
        <w:t>སྐབས་སུ་དམ་པའི་ངག་གི་བླུགས་པ་བར་དུ་མུ་མཐུད་དེ་འགྲོ་བ་ཡིན།</w:t>
      </w:r>
      <w:r>
        <w:rPr>
          <w:rFonts w:ascii="Times New Roman" w:hAnsi="Times New Roman" w:eastAsia="Times New Roman" w:cs="Times New Roman"/>
        </w:rPr>
        <w:t xml:space="preserve"> </w:t>
      </w:r>
      <w:r>
        <w:rPr>
          <w:rFonts w:ascii="Microsoft Himalaya" w:hAnsi="Microsoft Himalaya" w:eastAsia="Microsoft Himalaya" w:cs="Microsoft Himalaya"/>
        </w:rPr>
        <w:t>སྨན་ལེར་རྒྱུད་པའི་འགུལ་སྐྱོད་ཀྱིས་</w:t>
      </w:r>
      <w:r>
        <w:rPr>
          <w:rFonts w:ascii="Times New Roman" w:hAnsi="Times New Roman" w:eastAsia="Times New Roman" w:cs="Times New Roman"/>
        </w:rPr>
        <w:t xml:space="preserve"> </w:t>
      </w:r>
      <w:r>
        <w:rPr>
          <w:rFonts w:ascii="Microsoft Himalaya" w:hAnsi="Microsoft Himalaya" w:eastAsia="Microsoft Himalaya" w:cs="Microsoft Himalaya"/>
        </w:rPr>
        <w:t>མཉམ་བསྡུར་དུ་སྣང་བའི་དམིགས་བསལ་གྱི་རྟགས་མཚན་འགའ་ཞིག་ངོས་འཛིན་བྱས་པ་སྟེ།</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མཐའ་མའི་དུས</w:t>
      </w:r>
      <w:r>
        <w:rPr>
          <w:rFonts w:ascii="Times New Roman" w:hAnsi="Times New Roman" w:eastAsia="Times New Roman" w:cs="Times New Roman"/>
        </w:rPr>
        <w:t xml:space="preserve">” </w:t>
      </w:r>
      <w:r>
        <w:rPr>
          <w:rFonts w:ascii="Microsoft Himalaya" w:hAnsi="Microsoft Himalaya" w:eastAsia="Microsoft Himalaya" w:cs="Microsoft Himalaya"/>
        </w:rPr>
        <w:t>ཤིག་དང་།</w:t>
      </w:r>
      <w:r>
        <w:rPr>
          <w:rFonts w:ascii="Times New Roman" w:hAnsi="Times New Roman" w:eastAsia="Times New Roman" w:cs="Times New Roman"/>
        </w:rPr>
        <w:t xml:space="preserve"> “</w:t>
      </w:r>
      <w:r>
        <w:rPr>
          <w:rFonts w:ascii="Microsoft Himalaya" w:hAnsi="Microsoft Himalaya" w:eastAsia="Microsoft Himalaya" w:cs="Microsoft Himalaya"/>
        </w:rPr>
        <w:t>ཤེས་རིག་འཕེལ་བ</w:t>
      </w:r>
      <w:r>
        <w:rPr>
          <w:rFonts w:ascii="Times New Roman" w:hAnsi="Times New Roman" w:eastAsia="Times New Roman" w:cs="Times New Roman"/>
        </w:rPr>
        <w:t xml:space="preserve">” </w:t>
      </w:r>
      <w:r>
        <w:rPr>
          <w:rFonts w:ascii="Microsoft Himalaya" w:hAnsi="Microsoft Himalaya" w:eastAsia="Microsoft Himalaya" w:cs="Microsoft Himalaya"/>
        </w:rPr>
        <w:t>ཡིས་མཚོན་པའི་འཕྲིན་བཟང་དེའི</w:t>
      </w:r>
      <w:r>
        <w:rPr>
          <w:rFonts w:ascii="Times New Roman" w:hAnsi="Times New Roman" w:eastAsia="Times New Roman" w:cs="Times New Roman"/>
        </w:rPr>
        <w:t xml:space="preserve"> “</w:t>
      </w:r>
      <w:r>
        <w:rPr>
          <w:rFonts w:ascii="Microsoft Himalaya" w:hAnsi="Microsoft Himalaya" w:eastAsia="Microsoft Himalaya" w:cs="Microsoft Himalaya"/>
        </w:rPr>
        <w:t>རྣམ་པར་གཏན་འབེབས</w:t>
      </w:r>
      <w:r>
        <w:rPr>
          <w:rFonts w:ascii="Times New Roman" w:hAnsi="Times New Roman" w:eastAsia="Times New Roman" w:cs="Times New Roman"/>
        </w:rPr>
        <w:t xml:space="preserve">” </w:t>
      </w:r>
      <w:r>
        <w:rPr>
          <w:rFonts w:ascii="Microsoft Himalaya" w:hAnsi="Microsoft Himalaya" w:eastAsia="Microsoft Himalaya" w:cs="Microsoft Himalaya"/>
        </w:rPr>
        <w:t>ཤིག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ཕོ་ཉ་ཞིག་མར་འབབ་པ</w:t>
      </w:r>
      <w:r>
        <w:rPr>
          <w:rFonts w:ascii="Times New Roman" w:hAnsi="Times New Roman" w:eastAsia="Times New Roman" w:cs="Times New Roman"/>
        </w:rPr>
        <w:t xml:space="preserve">” </w:t>
      </w:r>
      <w:r>
        <w:rPr>
          <w:rFonts w:ascii="Microsoft Himalaya" w:hAnsi="Microsoft Himalaya" w:eastAsia="Microsoft Himalaya" w:cs="Microsoft Himalaya"/>
        </w:rPr>
        <w:t>ཡིས་མཚོན་པའི་འཕྲིན་བཟང་དེའི</w:t>
      </w:r>
      <w:r>
        <w:rPr>
          <w:rFonts w:ascii="Times New Roman" w:hAnsi="Times New Roman" w:eastAsia="Times New Roman" w:cs="Times New Roman"/>
        </w:rPr>
        <w:t xml:space="preserve"> “</w:t>
      </w:r>
      <w:r>
        <w:rPr>
          <w:rFonts w:ascii="Microsoft Himalaya" w:hAnsi="Microsoft Himalaya" w:eastAsia="Microsoft Himalaya" w:cs="Microsoft Himalaya"/>
        </w:rPr>
        <w:t>ནུས་ཤུགས་སྤེལ་བ</w:t>
      </w:r>
      <w:r>
        <w:rPr>
          <w:rFonts w:ascii="Times New Roman" w:hAnsi="Times New Roman" w:eastAsia="Times New Roman" w:cs="Times New Roman"/>
        </w:rPr>
        <w:t xml:space="preserve">” </w:t>
      </w:r>
      <w:r>
        <w:rPr>
          <w:rFonts w:ascii="Microsoft Himalaya" w:hAnsi="Microsoft Himalaya" w:eastAsia="Microsoft Himalaya" w:cs="Microsoft Himalaya"/>
        </w:rPr>
        <w:t>ཞིག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བུ་མོ་བཅུའི་དཔེ་བརྗོད་དེ་ངོ་སྤྲོད་བྱེད་པའི</w:t>
      </w:r>
      <w:r>
        <w:rPr>
          <w:rFonts w:ascii="Times New Roman" w:hAnsi="Times New Roman" w:eastAsia="Times New Roman" w:cs="Times New Roman"/>
        </w:rPr>
        <w:t xml:space="preserve"> “</w:t>
      </w:r>
      <w:r>
        <w:rPr>
          <w:rFonts w:ascii="Microsoft Himalaya" w:hAnsi="Microsoft Himalaya" w:eastAsia="Microsoft Himalaya" w:cs="Microsoft Himalaya"/>
        </w:rPr>
        <w:t>སྐྱོ་སྣང་ཐེངས་དང་པོ</w:t>
      </w:r>
      <w:r>
        <w:rPr>
          <w:rFonts w:ascii="Times New Roman" w:hAnsi="Times New Roman" w:eastAsia="Times New Roman" w:cs="Times New Roman"/>
        </w:rPr>
        <w:t xml:space="preserve">” </w:t>
      </w:r>
      <w:r>
        <w:rPr>
          <w:rFonts w:ascii="Microsoft Himalaya" w:hAnsi="Microsoft Himalaya" w:eastAsia="Microsoft Himalaya" w:cs="Microsoft Himalaya"/>
        </w:rPr>
        <w:t>ཞིག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མཚན་མོའི་འབོད་སྒྲ</w:t>
      </w:r>
      <w:r>
        <w:rPr>
          <w:rFonts w:ascii="Times New Roman" w:hAnsi="Times New Roman" w:eastAsia="Times New Roman" w:cs="Times New Roman"/>
        </w:rPr>
        <w:t xml:space="preserve">” </w:t>
      </w:r>
      <w:r>
        <w:rPr>
          <w:rFonts w:ascii="Microsoft Himalaya" w:hAnsi="Microsoft Himalaya" w:eastAsia="Microsoft Himalaya" w:cs="Microsoft Himalaya"/>
        </w:rPr>
        <w:t>ཞེས་མཚོན་པའི་དམ་པའི་ངག་གི་བླུགས་པ་ཞིག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དེ་ནས་མཐར</w:t>
      </w:r>
      <w:r>
        <w:rPr>
          <w:rFonts w:ascii="Times New Roman" w:hAnsi="Times New Roman" w:eastAsia="Times New Roman" w:cs="Times New Roman"/>
        </w:rPr>
        <w:t xml:space="preserve"> “</w:t>
      </w:r>
      <w:r>
        <w:rPr>
          <w:rFonts w:ascii="Microsoft Himalaya" w:hAnsi="Microsoft Himalaya" w:eastAsia="Microsoft Himalaya" w:cs="Microsoft Himalaya"/>
        </w:rPr>
        <w:t>སྐྱོ་སྣང་ཐེངས་གཉིས་པ</w:t>
      </w:r>
      <w:r>
        <w:rPr>
          <w:rFonts w:ascii="Times New Roman" w:hAnsi="Times New Roman" w:eastAsia="Times New Roman" w:cs="Times New Roman"/>
        </w:rPr>
        <w:t xml:space="preserve">” </w:t>
      </w:r>
      <w:r>
        <w:rPr>
          <w:rFonts w:ascii="Microsoft Himalaya" w:hAnsi="Microsoft Himalaya" w:eastAsia="Microsoft Himalaya" w:cs="Microsoft Himalaya"/>
        </w:rPr>
        <w:t>ཞིག་སྟེ།</w:t>
      </w:r>
      <w:r>
        <w:rPr>
          <w:rFonts w:ascii="Times New Roman" w:hAnsi="Times New Roman" w:eastAsia="Times New Roman" w:cs="Times New Roman"/>
        </w:rPr>
        <w:t xml:space="preserve"> </w:t>
      </w:r>
      <w:r>
        <w:rPr>
          <w:rFonts w:ascii="Microsoft Himalaya" w:hAnsi="Microsoft Himalaya" w:eastAsia="Microsoft Himalaya" w:cs="Microsoft Himalaya"/>
        </w:rPr>
        <w:t>དེར་དུས་རབས་ཀྱི་སྒོ་ཞིག</w:t>
      </w:r>
      <w:r>
        <w:rPr>
          <w:rFonts w:ascii="Times New Roman" w:hAnsi="Times New Roman" w:eastAsia="Times New Roman" w:cs="Times New Roman"/>
        </w:rPr>
        <w:t xml:space="preserve"> “</w:t>
      </w:r>
      <w:r>
        <w:rPr>
          <w:rFonts w:ascii="Microsoft Himalaya" w:hAnsi="Microsoft Himalaya" w:eastAsia="Microsoft Himalaya" w:cs="Microsoft Himalaya"/>
        </w:rPr>
        <w:t>བརྒྱབ་པ</w:t>
      </w:r>
      <w:r>
        <w:rPr>
          <w:rFonts w:ascii="Times New Roman" w:hAnsi="Times New Roman" w:eastAsia="Times New Roman" w:cs="Times New Roman"/>
        </w:rPr>
        <w:t xml:space="preserve">” </w:t>
      </w:r>
      <w:r>
        <w:rPr>
          <w:rFonts w:ascii="Microsoft Himalaya" w:hAnsi="Microsoft Himalaya" w:eastAsia="Microsoft Himalaya" w:cs="Microsoft Himalaya"/>
        </w:rPr>
        <w:t>དང་</w:t>
      </w:r>
      <w:r>
        <w:rPr>
          <w:rFonts w:ascii="Times New Roman" w:hAnsi="Times New Roman" w:eastAsia="Times New Roman" w:cs="Times New Roman"/>
        </w:rPr>
        <w:t xml:space="preserve"> </w:t>
      </w:r>
      <w:r>
        <w:rPr>
          <w:rFonts w:ascii="Microsoft Himalaya" w:hAnsi="Microsoft Himalaya" w:eastAsia="Microsoft Himalaya" w:cs="Microsoft Himalaya"/>
        </w:rPr>
        <w:t>དུས་རབས་ཀྱི་སྒོ་གཞན་ཞིག</w:t>
      </w:r>
      <w:r>
        <w:rPr>
          <w:rFonts w:ascii="Times New Roman" w:hAnsi="Times New Roman" w:eastAsia="Times New Roman" w:cs="Times New Roman"/>
        </w:rPr>
        <w:t xml:space="preserve"> “</w:t>
      </w:r>
      <w:r>
        <w:rPr>
          <w:rFonts w:ascii="Microsoft Himalaya" w:hAnsi="Microsoft Himalaya" w:eastAsia="Microsoft Himalaya" w:cs="Microsoft Himalaya"/>
        </w:rPr>
        <w:t>ཕྱེ་བ</w:t>
      </w:r>
      <w:r>
        <w:rPr>
          <w:rFonts w:ascii="Times New Roman" w:hAnsi="Times New Roman" w:eastAsia="Times New Roman" w:cs="Times New Roman"/>
        </w:rPr>
        <w:t xml:space="preserve">” </w:t>
      </w:r>
      <w:r>
        <w:rPr>
          <w:rFonts w:ascii="Microsoft Himalaya" w:hAnsi="Microsoft Himalaya" w:eastAsia="Microsoft Himalaya" w:cs="Microsoft Himalaya"/>
        </w:rPr>
        <w:t>ཡིན།</w:t>
      </w:r>
    </w:p>
    <w:p>
      <w:pPr>
        <w:pStyle w:val="ArticleScripture"/>
        <w:jc w:val="left"/>
      </w:pPr>
      <w:r>
        <w:rPr>
          <w:rFonts w:ascii="Times New Roman" w:hAnsi="Times New Roman" w:eastAsia="Times New Roman" w:cs="Times New Roman"/>
        </w:rPr>
        <w:t>“Elohim winaquš n nniʕmat n Uẓẓnawen 14 amkan-nsent deg izri n t-idweln, yerna twuri-nsent ur tettwakkes ara alamma d taggara n umazray n tmurt-a. Izenzan n lmalayk amezwaru d wis sin mazal d tideṭ i wakud-a, yerna ilaq ad azzlen s umgired akked wa i d-iteddun deffir-nsen. Amalayk wis kraḍ yettwali d ttɛeya-s s taɣect tameqqrant. ‘Deffir waya,’ inna Yuḥenna, ‘walaɣ lmalayk niḍen yeṭṭf-d seg igenni, yesɛa tazmert tameqqrant, yerna tamurt teččur d tafat s lǧal-is.’ Deg usfaylu-ya, tafat n kraḍ n yizenzen akk tettwaǧmaɛ.” The 1888 Materials, 804.</w:t>
      </w:r>
    </w:p>
    <w:p>
      <w:pPr>
        <w:pStyle w:val="ArticleBody"/>
        <w:jc w:val="left"/>
      </w:pPr>
      <w:r>
        <w:rPr>
          <w:rFonts w:ascii="Times New Roman" w:hAnsi="Times New Roman" w:eastAsia="Times New Roman" w:cs="Times New Roman"/>
        </w:rPr>
        <w:t>Miqopäsi masïrïwi, kunatï qhananchki pataka pusi tunka pusini waranqanakan saräwinakapa uñt’ayaski, Daniel qillqatan pusaqïri jaljan kimsa waranqa pä patak maranaka, ukhamaraki pä waranqa phisqa patak pä tunk maranakan qillqatanakamp chint’ataw utjäna, tunca kimsaqallqu ukhamaraki tunca pusïri aytanakanxa. “Tukuy pacha”x purïnwa Diosan colerasipan “paqallqu pachanakapa” tukuskanxata, Israel markan alaya reino contra. Milleran yatiyäwipan formalizaciónapa 1831 maran luraskäna, ukax Rey Jacobo Biblian lurasiwipat pä patak pä tunk maranakat qhiparuw purïna.</w:t>
      </w:r>
    </w:p>
    <w:p>
      <w:pPr>
        <w:pStyle w:val="ArticleScripture"/>
        <w:jc w:val="left"/>
      </w:pPr>
      <w:r>
        <w:rPr>
          <w:rFonts w:ascii="Times New Roman" w:hAnsi="Times New Roman" w:eastAsia="Times New Roman" w:cs="Times New Roman"/>
        </w:rPr>
        <w:t>“</w:t>
      </w:r>
      <w:r>
        <w:rPr>
          <w:rFonts w:ascii="MV Boli" w:hAnsi="MV Boli" w:eastAsia="MV Boli" w:cs="MV Boli"/>
        </w:rPr>
        <w:t>މިސްޓަރ</w:t>
      </w:r>
      <w:r>
        <w:rPr>
          <w:rFonts w:ascii="Times New Roman" w:hAnsi="Times New Roman" w:eastAsia="Times New Roman" w:cs="Times New Roman"/>
        </w:rPr>
        <w:t xml:space="preserve"> </w:t>
      </w:r>
      <w:r>
        <w:rPr>
          <w:rFonts w:ascii="MV Boli" w:hAnsi="MV Boli" w:eastAsia="MV Boli" w:cs="MV Boli"/>
        </w:rPr>
        <w:t>މިލަރ</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ޤައުމްތަކުގައި</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މެސެޖުން</w:t>
      </w:r>
      <w:r>
        <w:rPr>
          <w:rFonts w:ascii="Times New Roman" w:hAnsi="Times New Roman" w:eastAsia="Times New Roman" w:cs="Times New Roman"/>
        </w:rPr>
        <w:t xml:space="preserve"> </w:t>
      </w:r>
      <w:r>
        <w:rPr>
          <w:rFonts w:ascii="MV Boli" w:hAnsi="MV Boli" w:eastAsia="MV Boli" w:cs="MV Boli"/>
        </w:rPr>
        <w:t>ނެރެވުނު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ފުރަތަމައި</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ކަމާބެހޭ</w:t>
      </w:r>
      <w:r>
        <w:rPr>
          <w:rFonts w:ascii="Times New Roman" w:hAnsi="Times New Roman" w:eastAsia="Times New Roman" w:cs="Times New Roman"/>
        </w:rPr>
        <w:t xml:space="preserve"> </w:t>
      </w:r>
      <w:r>
        <w:rPr>
          <w:rFonts w:ascii="MV Boli" w:hAnsi="MV Boli" w:eastAsia="MV Boli" w:cs="MV Boli"/>
        </w:rPr>
        <w:t>އަމުރު</w:t>
      </w:r>
      <w:r>
        <w:rPr>
          <w:rFonts w:ascii="Times New Roman" w:hAnsi="Times New Roman" w:eastAsia="Times New Roman" w:cs="Times New Roman"/>
        </w:rPr>
        <w:t xml:space="preserve"> </w:t>
      </w:r>
      <w:r>
        <w:rPr>
          <w:rFonts w:ascii="MV Boli" w:hAnsi="MV Boli" w:eastAsia="MV Boli" w:cs="MV Boli"/>
        </w:rPr>
        <w:t>ފުއްދުމަށް</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ޖަރީދާތަކާއި</w:t>
      </w:r>
      <w:r>
        <w:rPr>
          <w:rFonts w:ascii="Times New Roman" w:hAnsi="Times New Roman" w:eastAsia="Times New Roman" w:cs="Times New Roman"/>
        </w:rPr>
        <w:t xml:space="preserve"> </w:t>
      </w:r>
      <w:r>
        <w:rPr>
          <w:rFonts w:ascii="MV Boli" w:hAnsi="MV Boli" w:eastAsia="MV Boli" w:cs="MV Boli"/>
        </w:rPr>
        <w:t>ޕެމްފްލެޓުތަކުގައި</w:t>
      </w:r>
      <w:r>
        <w:rPr>
          <w:rFonts w:ascii="Times New Roman" w:hAnsi="Times New Roman" w:eastAsia="Times New Roman" w:cs="Times New Roman"/>
        </w:rPr>
        <w:t xml:space="preserve"> </w:t>
      </w:r>
      <w:r>
        <w:rPr>
          <w:rFonts w:ascii="MV Boli" w:hAnsi="MV Boli" w:eastAsia="MV Boli" w:cs="MV Boli"/>
        </w:rPr>
        <w:t>ލިޔުމުންނާއި</w:t>
      </w:r>
      <w:r>
        <w:rPr>
          <w:rFonts w:ascii="Times New Roman" w:hAnsi="Times New Roman" w:eastAsia="Times New Roman" w:cs="Times New Roman"/>
        </w:rPr>
        <w:t xml:space="preserve"> </w:t>
      </w:r>
      <w:r>
        <w:rPr>
          <w:rFonts w:ascii="MV Boli" w:hAnsi="MV Boli" w:eastAsia="MV Boli" w:cs="MV Boli"/>
        </w:rPr>
        <w:t>ޝާއިޢުކުރުމުން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ހިތްކުރިއެވެ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ދެކުންތައް</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ޝާއިޢުކުރީ</w:t>
      </w:r>
      <w:r>
        <w:rPr>
          <w:rFonts w:ascii="Times New Roman" w:hAnsi="Times New Roman" w:eastAsia="Times New Roman" w:cs="Times New Roman"/>
        </w:rPr>
        <w:t xml:space="preserve"> </w:t>
      </w:r>
      <w:r>
        <w:rPr>
          <w:rFonts w:ascii="MV Boli" w:hAnsi="MV Boli" w:eastAsia="MV Boli" w:cs="MV Boli"/>
        </w:rPr>
        <w:t>ވާމޮންޓް</w:t>
      </w:r>
      <w:r>
        <w:rPr>
          <w:rFonts w:ascii="Times New Roman" w:hAnsi="Times New Roman" w:eastAsia="Times New Roman" w:cs="Times New Roman"/>
        </w:rPr>
        <w:t xml:space="preserve"> </w:t>
      </w:r>
      <w:r>
        <w:rPr>
          <w:rFonts w:ascii="MV Boli" w:hAnsi="MV Boli" w:eastAsia="MV Boli" w:cs="MV Boli"/>
        </w:rPr>
        <w:t>ޓެލެގްރާފް</w:t>
      </w:r>
      <w:r>
        <w:rPr>
          <w:rFonts w:ascii="Times New Roman" w:hAnsi="Times New Roman" w:eastAsia="Times New Roman" w:cs="Times New Roman"/>
        </w:rPr>
        <w:t xml:space="preserve"> </w:t>
      </w:r>
      <w:r>
        <w:rPr>
          <w:rFonts w:ascii="MV Boli" w:hAnsi="MV Boli" w:eastAsia="MV Boli" w:cs="MV Boli"/>
        </w:rPr>
        <w:t>ގައެވެ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ވާމޮންޓް</w:t>
      </w:r>
      <w:r>
        <w:rPr>
          <w:rFonts w:ascii="Times New Roman" w:hAnsi="Times New Roman" w:eastAsia="Times New Roman" w:cs="Times New Roman"/>
        </w:rPr>
        <w:t xml:space="preserve">، </w:t>
      </w:r>
      <w:r>
        <w:rPr>
          <w:rFonts w:ascii="MV Boli" w:hAnsi="MV Boli" w:eastAsia="MV Boli" w:cs="MV Boli"/>
        </w:rPr>
        <w:t>ބްރޭންޑަންގައި</w:t>
      </w:r>
      <w:r>
        <w:rPr>
          <w:rFonts w:ascii="Times New Roman" w:hAnsi="Times New Roman" w:eastAsia="Times New Roman" w:cs="Times New Roman"/>
        </w:rPr>
        <w:t xml:space="preserve"> </w:t>
      </w:r>
      <w:r>
        <w:rPr>
          <w:rFonts w:ascii="MV Boli" w:hAnsi="MV Boli" w:eastAsia="MV Boli" w:cs="MV Boli"/>
        </w:rPr>
        <w:t>ޗާޕުކުރެވޭ</w:t>
      </w:r>
      <w:r>
        <w:rPr>
          <w:rFonts w:ascii="Times New Roman" w:hAnsi="Times New Roman" w:eastAsia="Times New Roman" w:cs="Times New Roman"/>
        </w:rPr>
        <w:t xml:space="preserve"> </w:t>
      </w:r>
      <w:r>
        <w:rPr>
          <w:rFonts w:ascii="MV Boli" w:hAnsi="MV Boli" w:eastAsia="MV Boli" w:cs="MV Boli"/>
        </w:rPr>
        <w:t>ބެޕްޓިސްޓް</w:t>
      </w:r>
      <w:r>
        <w:rPr>
          <w:rFonts w:ascii="Times New Roman" w:hAnsi="Times New Roman" w:eastAsia="Times New Roman" w:cs="Times New Roman"/>
        </w:rPr>
        <w:t xml:space="preserve"> </w:t>
      </w:r>
      <w:r>
        <w:rPr>
          <w:rFonts w:ascii="MV Boli" w:hAnsi="MV Boli" w:eastAsia="MV Boli" w:cs="MV Boli"/>
        </w:rPr>
        <w:t>ޖަރީދާއެކެވެ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1831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އަހަރުގައެވެ</w:t>
      </w:r>
      <w:r>
        <w:rPr>
          <w:rFonts w:ascii="Times New Roman" w:hAnsi="Times New Roman" w:eastAsia="Times New Roman" w:cs="Times New Roman"/>
        </w:rPr>
        <w:t>.” John Loughborough, The Great Second Advent Movement, 120.</w:t>
      </w:r>
    </w:p>
    <w:p>
      <w:pPr>
        <w:pStyle w:val="ArticleBody"/>
        <w:jc w:val="left"/>
      </w:pPr>
      <w:r>
        <w:rPr>
          <w:rFonts w:ascii="Times New Roman" w:hAnsi="Times New Roman" w:eastAsia="Times New Roman" w:cs="Times New Roman"/>
        </w:rPr>
        <w:t>حركة «زمن النهاية» للملاك الثالث وصلت في سنة 1989، عند انقضاء مئةٍ وستةٍ وعشرين عامًا من تمرّد سنة 1863. و«مئة وستة وعشرون» رمزٌ لـ«السبعة الأزمنة». وقد بدأت كلتا الحركتين بتحقّقٍ لـ«السبعة الأزمنة».</w:t>
      </w:r>
    </w:p>
    <w:p>
      <w:pPr>
        <w:pStyle w:val="ArticleBody"/>
        <w:jc w:val="left"/>
      </w:pPr>
      <w:r>
        <w:rPr>
          <w:rFonts w:ascii="Times New Roman" w:hAnsi="Times New Roman" w:eastAsia="Times New Roman" w:cs="Times New Roman"/>
        </w:rPr>
        <w:t>پَیغامِ تِسرے فِرِشتے کی تحریک کو 1996 میں باضابطہ صورت دی گئی، جب مضامین کے ایک سلسلے کی تیاری ہوئی جس کا عنوان تھا، The Time of the End، جو ایک رسالے میں شائع ہوئے تھے جس کا نام تھا، Our Firm Foundation۔ یہ مضامین 1776 میں اعلانِ آزادی کے دو سو بیس سال بعد شائع ہوئے۔ دونوں تحریکوں کے پیغام کو ایک ایسی تاریخ کے دو سو بیس سال بعد باضابطہ صورت دی گئی جو براہِ راست اُس پیغام سے مربوط تھی جو ان دو سو بیس سال کے اختتام پر پہنچا۔</w:t>
      </w:r>
    </w:p>
    <w:p>
      <w:pPr>
        <w:pStyle w:val="ArticleBody"/>
        <w:jc w:val="left"/>
      </w:pPr>
      <w:r>
        <w:rPr>
          <w:rFonts w:ascii="Times New Roman" w:hAnsi="Times New Roman" w:eastAsia="Times New Roman" w:cs="Times New Roman"/>
        </w:rPr>
        <w:t>Osɔfó “ahannan ne aduonu” no gyina hɔ ma nkitahodi (nkabom) a ɛda “mmere ason” a Onyankopɔn abufuw de tiaa Yuda ahenni a ɛwɔ anafo fam, a efii ase wɔ 677 BC no, ne mfe mpem abien ahasa no mfiase a ɛwɔ Daniel ti 8, nkyekyɛm 14 mu, wɔ 457 BC no ntam. Osɔfó ahannan ne aduonu no de nkɔmhyɛ abien no bɔ mu, na wɔde nkɔmhyɛ abien no too gua bom wɔ Adventism nnyinaso nkyekyɛm mu, a ɛne Daniel ti 8, nkyekyɛm 13 ne 14 no. Wɔ saa nkyekyɛm no mu no, Kristo de nkɔmhyɛ kwan so daa ne ho adi sɛ “kronkronni bi a ɔwɔ hɔ,” a ɛno ne nkyerɛase a efi Hebri asɛmfua “Palmoni” mu, a asekyerɛ ne “Ɔka Nnipa Nwonwa no Akontaabufo.”</w:t>
      </w:r>
    </w:p>
    <w:p>
      <w:pPr>
        <w:pStyle w:val="ArticleBody"/>
        <w:jc w:val="left"/>
      </w:pPr>
      <w:r>
        <w:rPr>
          <w:rFonts w:ascii="Times New Roman" w:hAnsi="Times New Roman" w:eastAsia="Times New Roman" w:cs="Times New Roman"/>
        </w:rPr>
        <w:t>Номерлеуде Ғажайып болған Тұлға пайғамбарлықтың екі желісін бейнелейтін екі көріністі дәл сол екі аятта таныстырады; оларды Уайт ханым Адвентизмнің негізгі тірегі деп анықтайды. Басталу нүктесі олардың 1844 жылы орындалатын уақытымен екі жүз жиырма жылдық рәміздік байланыс арқылы ұштасады. Хабаққұқ кітабының екінші тарауы жиырмасыншы аятпен аяқталады; осылайша, Номерлеуде Ғажайып болған Тұлға “екі жүз жиырма” санын өзге бір өрнекпен белгілейді, өйткені сол аят аталған күні басталған ақиқат Күнәкешіліктен Тазару күнінің негізгі сипаттарының бірін айқындайды.</w:t>
      </w:r>
    </w:p>
    <w:p>
      <w:pPr>
        <w:pStyle w:val="ArticleScripture"/>
        <w:jc w:val="left"/>
      </w:pPr>
      <w:r>
        <w:rPr>
          <w:rFonts w:ascii="Times New Roman" w:hAnsi="Times New Roman" w:eastAsia="Times New Roman" w:cs="Times New Roman"/>
        </w:rPr>
        <w:t>بەڵام یەزدان لە پەرستگای پیرۆزی خۆیدایە؛ با هەموو زەوی لەبەردەمیدا بێدەنگ بێت. حەبەقوق 2:20.</w:t>
      </w:r>
    </w:p>
    <w:p>
      <w:pPr>
        <w:pStyle w:val="ArticleBody"/>
        <w:jc w:val="left"/>
      </w:pPr>
      <w:r>
        <w:rPr>
          <w:rFonts w:ascii="Ebrima" w:hAnsi="Ebrima" w:eastAsia="Ebrima" w:cs="Ebrima"/>
        </w:rPr>
        <w:t>ꕉꕜꔤꕯꕉꔳꔫ</w:t>
      </w:r>
      <w:r>
        <w:rPr>
          <w:rFonts w:ascii="Times New Roman" w:hAnsi="Times New Roman" w:eastAsia="Times New Roman" w:cs="Times New Roman"/>
        </w:rPr>
        <w:t xml:space="preserve"> </w:t>
      </w:r>
      <w:r>
        <w:rPr>
          <w:rFonts w:ascii="Ebrima" w:hAnsi="Ebrima" w:eastAsia="Ebrima" w:cs="Ebrima"/>
        </w:rPr>
        <w:t>ꕉꕝꔬꔒꕞꕭ</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ꕕꔤꕯꕉꔳꔫ</w:t>
      </w:r>
      <w:r>
        <w:rPr>
          <w:rFonts w:ascii="Times New Roman" w:hAnsi="Times New Roman" w:eastAsia="Times New Roman" w:cs="Times New Roman"/>
        </w:rPr>
        <w:t xml:space="preserve"> </w:t>
      </w:r>
      <w:r>
        <w:rPr>
          <w:rFonts w:ascii="Ebrima" w:hAnsi="Ebrima" w:eastAsia="Ebrima" w:cs="Ebrima"/>
        </w:rPr>
        <w:t>ꕉꕈꔤꕞꕭ</w:t>
      </w:r>
      <w:r>
        <w:rPr>
          <w:rFonts w:ascii="Times New Roman" w:hAnsi="Times New Roman" w:eastAsia="Times New Roman" w:cs="Times New Roman"/>
        </w:rPr>
        <w:t xml:space="preserve"> </w:t>
      </w:r>
      <w:r>
        <w:rPr>
          <w:rFonts w:ascii="Ebrima" w:hAnsi="Ebrima" w:eastAsia="Ebrima" w:cs="Ebrima"/>
        </w:rPr>
        <w:t>ꕉꕞꕉ</w:t>
      </w:r>
      <w:r>
        <w:rPr>
          <w:rFonts w:ascii="Times New Roman" w:hAnsi="Times New Roman" w:eastAsia="Times New Roman" w:cs="Times New Roman"/>
        </w:rPr>
        <w:t xml:space="preserve"> </w:t>
      </w:r>
      <w:r>
        <w:rPr>
          <w:rFonts w:ascii="Ebrima" w:hAnsi="Ebrima" w:eastAsia="Ebrima" w:cs="Ebrima"/>
        </w:rPr>
        <w:t>ꕉꕜꔤꕯꕉꔳꔫ</w:t>
      </w:r>
      <w:r>
        <w:rPr>
          <w:rFonts w:ascii="Times New Roman" w:hAnsi="Times New Roman" w:eastAsia="Times New Roman" w:cs="Times New Roman"/>
        </w:rPr>
        <w:t xml:space="preserve"> </w:t>
      </w:r>
      <w:r>
        <w:rPr>
          <w:rFonts w:ascii="Ebrima" w:hAnsi="Ebrima" w:eastAsia="Ebrima" w:cs="Ebrima"/>
        </w:rPr>
        <w:t>ꕕꔵ</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ꕉꔳꕯꕊꕩ</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ꕪꕒꔵ</w:t>
      </w:r>
      <w:r>
        <w:rPr>
          <w:rFonts w:ascii="Times New Roman" w:hAnsi="Times New Roman" w:eastAsia="Times New Roman" w:cs="Times New Roman"/>
        </w:rPr>
        <w:t xml:space="preserve"> </w:t>
      </w:r>
      <w:r>
        <w:rPr>
          <w:rFonts w:ascii="Ebrima" w:hAnsi="Ebrima" w:eastAsia="Ebrima" w:cs="Ebrima"/>
        </w:rPr>
        <w:t>ꔫꕩꕮ</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ꔱꕒꕮ</w:t>
      </w:r>
      <w:r>
        <w:rPr>
          <w:rFonts w:ascii="Times New Roman" w:hAnsi="Times New Roman" w:eastAsia="Times New Roman" w:cs="Times New Roman"/>
        </w:rPr>
        <w:t xml:space="preserve"> </w:t>
      </w:r>
      <w:r>
        <w:rPr>
          <w:rFonts w:ascii="Ebrima" w:hAnsi="Ebrima" w:eastAsia="Ebrima" w:cs="Ebrima"/>
        </w:rPr>
        <w:t>ꔫꕩꕮ</w:t>
      </w:r>
      <w:r>
        <w:rPr>
          <w:rFonts w:ascii="Times New Roman" w:hAnsi="Times New Roman" w:eastAsia="Times New Roman" w:cs="Times New Roman"/>
        </w:rPr>
        <w:t xml:space="preserve"> </w:t>
      </w:r>
      <w:r>
        <w:rPr>
          <w:rFonts w:ascii="Ebrima" w:hAnsi="Ebrima" w:eastAsia="Ebrima" w:cs="Ebrima"/>
        </w:rPr>
        <w:t>ꕉꕈꔤꕞꕭ</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ꕪꕒꔵ</w:t>
      </w:r>
      <w:r>
        <w:rPr>
          <w:rFonts w:ascii="Times New Roman" w:hAnsi="Times New Roman" w:eastAsia="Times New Roman" w:cs="Times New Roman"/>
        </w:rPr>
        <w:t xml:space="preserve"> </w:t>
      </w:r>
      <w:r>
        <w:rPr>
          <w:rFonts w:ascii="Ebrima" w:hAnsi="Ebrima" w:eastAsia="Ebrima" w:cs="Ebrima"/>
        </w:rPr>
        <w:t>ꕞꕪꕐꔤ</w:t>
      </w:r>
      <w:r>
        <w:rPr>
          <w:rFonts w:ascii="Times New Roman" w:hAnsi="Times New Roman" w:eastAsia="Times New Roman" w:cs="Times New Roman"/>
        </w:rPr>
        <w:t xml:space="preserve"> </w:t>
      </w:r>
      <w:r>
        <w:rPr>
          <w:rFonts w:ascii="Ebrima" w:hAnsi="Ebrima" w:eastAsia="Ebrima" w:cs="Ebrima"/>
        </w:rPr>
        <w:t>ꕑꕍꔵ</w:t>
      </w:r>
      <w:r>
        <w:rPr>
          <w:rFonts w:ascii="Times New Roman" w:hAnsi="Times New Roman" w:eastAsia="Times New Roman" w:cs="Times New Roman"/>
        </w:rPr>
        <w:t xml:space="preserve"> </w:t>
      </w:r>
      <w:r>
        <w:rPr>
          <w:rFonts w:ascii="Ebrima" w:hAnsi="Ebrima" w:eastAsia="Ebrima" w:cs="Ebrima"/>
        </w:rPr>
        <w:t>ꕞꕪꕐꔤ</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ꕉꔳꕯꕊꕩ</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ꕕꔵ</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ꕉꕈꔤꕞꕭ</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ꕋꔳꔀꔻ</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ꔱꕒꕮ</w:t>
      </w:r>
      <w:r>
        <w:rPr>
          <w:rFonts w:ascii="Times New Roman" w:hAnsi="Times New Roman" w:eastAsia="Times New Roman" w:cs="Times New Roman"/>
        </w:rPr>
        <w:t xml:space="preserve"> </w:t>
      </w:r>
      <w:r>
        <w:rPr>
          <w:rFonts w:ascii="Ebrima" w:hAnsi="Ebrima" w:eastAsia="Ebrima" w:cs="Ebrima"/>
        </w:rPr>
        <w:t>ꔫꕩꕮ</w:t>
      </w:r>
      <w:r>
        <w:rPr>
          <w:rFonts w:ascii="Times New Roman" w:hAnsi="Times New Roman" w:eastAsia="Times New Roman" w:cs="Times New Roman"/>
        </w:rPr>
        <w:t xml:space="preserve">), </w:t>
      </w:r>
      <w:r>
        <w:rPr>
          <w:rFonts w:ascii="Ebrima" w:hAnsi="Ebrima" w:eastAsia="Ebrima" w:cs="Ebrima"/>
        </w:rPr>
        <w:t>ꔀꔎꔒ</w:t>
      </w:r>
      <w:r>
        <w:rPr>
          <w:rFonts w:ascii="Times New Roman" w:hAnsi="Times New Roman" w:eastAsia="Times New Roman" w:cs="Times New Roman"/>
        </w:rPr>
        <w:t xml:space="preserve"> </w:t>
      </w:r>
      <w:r>
        <w:rPr>
          <w:rFonts w:ascii="Ebrima" w:hAnsi="Ebrima" w:eastAsia="Ebrima" w:cs="Ebrima"/>
        </w:rPr>
        <w:t>ꕉꕪ</w:t>
      </w:r>
      <w:r>
        <w:rPr>
          <w:rFonts w:ascii="Times New Roman" w:hAnsi="Times New Roman" w:eastAsia="Times New Roman" w:cs="Times New Roman"/>
        </w:rPr>
        <w:t xml:space="preserve"> </w:t>
      </w:r>
      <w:r>
        <w:rPr>
          <w:rFonts w:ascii="Ebrima" w:hAnsi="Ebrima" w:eastAsia="Ebrima" w:cs="Ebrima"/>
        </w:rPr>
        <w:t>ꕞꔍ</w:t>
      </w:r>
      <w:r>
        <w:rPr>
          <w:rFonts w:ascii="Times New Roman" w:hAnsi="Times New Roman" w:eastAsia="Times New Roman" w:cs="Times New Roman"/>
        </w:rPr>
        <w:t xml:space="preserve"> </w:t>
      </w:r>
      <w:r>
        <w:rPr>
          <w:rFonts w:ascii="Ebrima" w:hAnsi="Ebrima" w:eastAsia="Ebrima" w:cs="Ebrima"/>
        </w:rPr>
        <w:t>ꕪꔤꔒ</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ꕞꔍ</w:t>
      </w:r>
      <w:r>
        <w:rPr>
          <w:rFonts w:ascii="Times New Roman" w:hAnsi="Times New Roman" w:eastAsia="Times New Roman" w:cs="Times New Roman"/>
        </w:rPr>
        <w:t xml:space="preserve"> </w:t>
      </w:r>
      <w:r>
        <w:rPr>
          <w:rFonts w:ascii="Ebrima" w:hAnsi="Ebrima" w:eastAsia="Ebrima" w:cs="Ebrima"/>
        </w:rPr>
        <w:t>ꕪꔤꔒ</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ꕪꔱꕞꔊ</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ꔆꕭ</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ꕉꔤꔀꕞ</w:t>
      </w:r>
      <w:r>
        <w:rPr>
          <w:rFonts w:ascii="Times New Roman" w:hAnsi="Times New Roman" w:eastAsia="Times New Roman" w:cs="Times New Roman"/>
        </w:rPr>
        <w:t xml:space="preserve"> 22, 1844 </w:t>
      </w:r>
      <w:r>
        <w:rPr>
          <w:rFonts w:ascii="Ebrima" w:hAnsi="Ebrima" w:eastAsia="Ebrima" w:cs="Ebrima"/>
        </w:rPr>
        <w:t>ꕞꔍ</w:t>
      </w:r>
      <w:r>
        <w:rPr>
          <w:rFonts w:ascii="Times New Roman" w:hAnsi="Times New Roman" w:eastAsia="Times New Roman" w:cs="Times New Roman"/>
        </w:rPr>
        <w:t xml:space="preserve">, </w:t>
      </w:r>
      <w:r>
        <w:rPr>
          <w:rFonts w:ascii="Ebrima" w:hAnsi="Ebrima" w:eastAsia="Ebrima" w:cs="Ebrima"/>
        </w:rPr>
        <w:t>ꕑꕍꔵ</w:t>
      </w:r>
      <w:r>
        <w:rPr>
          <w:rFonts w:ascii="Times New Roman" w:hAnsi="Times New Roman" w:eastAsia="Times New Roman" w:cs="Times New Roman"/>
        </w:rPr>
        <w:t xml:space="preserve"> </w:t>
      </w:r>
      <w:r>
        <w:rPr>
          <w:rFonts w:ascii="Ebrima" w:hAnsi="Ebrima" w:eastAsia="Ebrima" w:cs="Ebrima"/>
        </w:rPr>
        <w:t>ꕞꕪꕐꔤ</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ꕪꕒꔵ</w:t>
      </w:r>
      <w:r>
        <w:rPr>
          <w:rFonts w:ascii="Times New Roman" w:hAnsi="Times New Roman" w:eastAsia="Times New Roman" w:cs="Times New Roman"/>
        </w:rPr>
        <w:t xml:space="preserve"> </w:t>
      </w:r>
      <w:r>
        <w:rPr>
          <w:rFonts w:ascii="Ebrima" w:hAnsi="Ebrima" w:eastAsia="Ebrima" w:cs="Ebrima"/>
        </w:rPr>
        <w:t>ꕞꕪꕐꔤ</w:t>
      </w:r>
      <w:r>
        <w:rPr>
          <w:rFonts w:ascii="Times New Roman" w:hAnsi="Times New Roman" w:eastAsia="Times New Roman" w:cs="Times New Roman"/>
        </w:rPr>
        <w:t xml:space="preserve"> </w:t>
      </w:r>
      <w:r>
        <w:rPr>
          <w:rFonts w:ascii="Ebrima" w:hAnsi="Ebrima" w:eastAsia="Ebrima" w:cs="Ebrima"/>
        </w:rPr>
        <w:t>ꕑꕮꕪꔳ</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ꕪꕒꔵ</w:t>
      </w:r>
      <w:r>
        <w:rPr>
          <w:rFonts w:ascii="Times New Roman" w:hAnsi="Times New Roman" w:eastAsia="Times New Roman" w:cs="Times New Roman"/>
        </w:rPr>
        <w:t xml:space="preserve"> </w:t>
      </w:r>
      <w:r>
        <w:rPr>
          <w:rFonts w:ascii="Ebrima" w:hAnsi="Ebrima" w:eastAsia="Ebrima" w:cs="Ebrima"/>
        </w:rPr>
        <w:t>ꕞꕪꕐꔤ</w:t>
      </w:r>
      <w:r>
        <w:rPr>
          <w:rFonts w:ascii="Times New Roman" w:hAnsi="Times New Roman" w:eastAsia="Times New Roman" w:cs="Times New Roman"/>
        </w:rPr>
        <w:t xml:space="preserve"> </w:t>
      </w:r>
      <w:r>
        <w:rPr>
          <w:rFonts w:ascii="Ebrima" w:hAnsi="Ebrima" w:eastAsia="Ebrima" w:cs="Ebrima"/>
        </w:rPr>
        <w:t>ꕑꕮꕪꔳ</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ꔤꔀꕆꕮ</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 xml:space="preserve"> </w:t>
      </w:r>
      <w:r>
        <w:rPr>
          <w:rFonts w:ascii="Ebrima" w:hAnsi="Ebrima" w:eastAsia="Ebrima" w:cs="Ebrima"/>
        </w:rPr>
        <w:t>ꕉꔳꕯꕊꕩ</w:t>
      </w:r>
      <w:r>
        <w:rPr>
          <w:rFonts w:ascii="Times New Roman" w:hAnsi="Times New Roman" w:eastAsia="Times New Roman" w:cs="Times New Roman"/>
        </w:rPr>
        <w:t xml:space="preserve"> </w:t>
      </w:r>
      <w:r>
        <w:rPr>
          <w:rFonts w:ascii="Ebrima" w:hAnsi="Ebrima" w:eastAsia="Ebrima" w:cs="Ebrima"/>
        </w:rPr>
        <w:t>ꕉꕞ</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Okutambula kwa malaika owekusooka, nga bwe kwali n’okutambula kwa malaika ow’okusatu, kwatandika mu “biseera eby’enkomerero” (1798 ne 1989 mu ngeri yazo), nga awo “ebirowoozo musanvu” eby’omu Abaleevi amakumi abiri mu mukaaga bibeerawo nga byogerwako. Akabonero akaddako mu byafaayo byombi kalambikiddwa n’okutuukirira kw’emyaka ebikumi bibiri mu amakumi abiri, era kino nakyo kye kiraga ekya nnabbi eky’“ebirowoozo musanvu”; kubanga entandikwa z’ebiwonvu byombi (chazon ne mareh) zikiikirira ebbanga ery’emyaka ebikumi bibiri mu amakumi abiri erizigatta wamu.</w:t>
      </w:r>
    </w:p>
    <w:p>
      <w:pPr>
        <w:pStyle w:val="ArticleBody"/>
        <w:jc w:val="left"/>
      </w:pPr>
      <w:r>
        <w:rPr>
          <w:rFonts w:ascii="Times New Roman" w:hAnsi="Times New Roman" w:eastAsia="Times New Roman" w:cs="Times New Roman"/>
        </w:rPr>
        <w:t>A 1611-ben kiadott King James Biblia létrejötte, Miller üzenetének hivatalos megfogalmazása a Vermont Telegraph című újságban való megjelenésekor, a Függetlenségi Nyilatkozat kibocsátása, valamint Az idők vége megjelentetése az Our Firm Foundation folyóiratban egyaránt publikációk voltak. Mindkét kétszázhúsz éves időszak kezdete és vége egyaránt egy-egy publikációt jelöl mint történelmi útjelzőt. A „kétszázhúsz” szám egy prófétai kapcsolat jelképe, és mind a négy publikáció egymáshoz kapcsolódik azáltal, hogy publikációk, továbbá azon üzenet által is, amelyet saját történeteikben az „ismeret megnövekedéseként” képviselnek.</w:t>
      </w:r>
    </w:p>
    <w:p>
      <w:pPr>
        <w:pStyle w:val="ArticleBody"/>
        <w:jc w:val="left"/>
      </w:pPr>
      <w:r>
        <w:rPr>
          <w:rFonts w:ascii="Times New Roman" w:hAnsi="Times New Roman" w:eastAsia="Times New Roman" w:cs="Times New Roman"/>
        </w:rPr>
        <w:t>1611-amut Bibliam, sielon kourt kana manuñot ja gospel a yaar ñeel nit ñi. Baatu Miller bi, dañu ko teg ci biir yeneeni waxtu-yoon, te ñaari sart yu sell yi ci Habakkuk dañuy wone bu baax ne bataaxalu Miller bi dañu ko nataal ci melokaan, jaarale ko ci rëddooy taarix. “Vermont” tekki na “tundu gu wër”, te ni waxu yoon bi ko waxe, “wër” mooy màndargu ngëm.</w:t>
      </w:r>
    </w:p>
    <w:p>
      <w:pPr>
        <w:pStyle w:val="ArticleScripture"/>
        <w:jc w:val="left"/>
      </w:pPr>
      <w:r>
        <w:rPr>
          <w:rFonts w:ascii="Times New Roman" w:hAnsi="Times New Roman" w:eastAsia="Times New Roman" w:cs="Times New Roman"/>
        </w:rPr>
        <w:t>“Tapisa yango epesaki ngai elikya. Motole ya mobesu ezalaki komonisa kondima na makanisi na ngai, mpe kitoko mpe bopete ya kotiela Nzambe motema ebandaki kongenga na molimo na ngai.” Christian Experience and Teachings, 28.</w:t>
      </w:r>
    </w:p>
    <w:p>
      <w:pPr>
        <w:pStyle w:val="ArticleBody"/>
        <w:jc w:val="left"/>
      </w:pPr>
      <w:r>
        <w:rPr>
          <w:rFonts w:ascii="Times New Roman" w:hAnsi="Times New Roman" w:eastAsia="Times New Roman" w:cs="Times New Roman"/>
        </w:rPr>
        <w:t>Tѐm du Millѐr yəŋ-bən kərye biniŋa tɛ, a tɛm nà wuriŋ tɛn kəŋ i wən nà kɔkɔr yəŋ dze kəŋ mɔ, yà “muntàŋ” nà yiŋa mɛ dze kəŋ a “church”.</w:t>
      </w:r>
    </w:p>
    <w:p>
      <w:pPr>
        <w:pStyle w:val="ArticleScripture"/>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ᱥᱮᱥ</w:t>
      </w:r>
      <w:r>
        <w:rPr>
          <w:rFonts w:ascii="Times New Roman" w:hAnsi="Times New Roman" w:eastAsia="Times New Roman" w:cs="Times New Roman"/>
        </w:rPr>
        <w:t xml:space="preserve"> </w:t>
      </w:r>
      <w:r>
        <w:rPr>
          <w:rFonts w:ascii="Nirmala UI" w:hAnsi="Nirmala UI" w:eastAsia="Nirmala UI" w:cs="Nirmala UI"/>
        </w:rPr>
        <w:t>ᱢᱟᱦᱟ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ᱦᱚᱵᱚ</w:t>
      </w:r>
      <w:r>
        <w:rPr>
          <w:rFonts w:ascii="Times New Roman" w:hAnsi="Times New Roman" w:eastAsia="Times New Roman" w:cs="Times New Roman"/>
        </w:rPr>
        <w:t xml:space="preserve"> </w:t>
      </w:r>
      <w:r>
        <w:rPr>
          <w:rFonts w:ascii="Nirmala UI" w:hAnsi="Nirmala UI" w:eastAsia="Nirmala UI" w:cs="Nirmala UI"/>
        </w:rPr>
        <w:t>ᱭᱮ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ᱡᱟᱦᱮᱨ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ᱚᱲᱟᱜ</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ᱵᱩᱨᱩ</w:t>
      </w:r>
      <w:r>
        <w:rPr>
          <w:rFonts w:ascii="Times New Roman" w:hAnsi="Times New Roman" w:eastAsia="Times New Roman" w:cs="Times New Roman"/>
        </w:rPr>
        <w:t xml:space="preserve"> </w:t>
      </w:r>
      <w:r>
        <w:rPr>
          <w:rFonts w:ascii="Nirmala UI" w:hAnsi="Nirmala UI" w:eastAsia="Nirmala UI" w:cs="Nirmala UI"/>
        </w:rPr>
        <w:t>ᱵᱩᱨᱩᱠᱚ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ᱪᱚᱴ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ᱛᱷᱟᱯᱚᱱ</w:t>
      </w:r>
      <w:r>
        <w:rPr>
          <w:rFonts w:ascii="Times New Roman" w:hAnsi="Times New Roman" w:eastAsia="Times New Roman" w:cs="Times New Roman"/>
        </w:rPr>
        <w:t xml:space="preserve"> </w:t>
      </w:r>
      <w:r>
        <w:rPr>
          <w:rFonts w:ascii="Nirmala UI" w:hAnsi="Nirmala UI" w:eastAsia="Nirmala UI" w:cs="Nirmala UI"/>
        </w:rPr>
        <w:t>ᱦᱚᱵᱚᱜᱼᱟ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ᱦᱚᱭᱚᱱ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ᱩᱪᱷᱤᱡ</w:t>
      </w:r>
      <w:r>
        <w:rPr>
          <w:rFonts w:ascii="Times New Roman" w:hAnsi="Times New Roman" w:eastAsia="Times New Roman" w:cs="Times New Roman"/>
        </w:rPr>
        <w:t xml:space="preserve"> </w:t>
      </w:r>
      <w:r>
        <w:rPr>
          <w:rFonts w:ascii="Nirmala UI" w:hAnsi="Nirmala UI" w:eastAsia="Nirmala UI" w:cs="Nirmala UI"/>
        </w:rPr>
        <w:t>ᱦᱚᱵᱚᱜᱼᱟ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ᱡᱟᱛ</w:t>
      </w:r>
      <w:r>
        <w:rPr>
          <w:rFonts w:ascii="Times New Roman" w:hAnsi="Times New Roman" w:eastAsia="Times New Roman" w:cs="Times New Roman"/>
        </w:rPr>
        <w:t xml:space="preserve"> </w:t>
      </w:r>
      <w:r>
        <w:rPr>
          <w:rFonts w:ascii="Nirmala UI" w:hAnsi="Nirmala UI" w:eastAsia="Nirmala UI" w:cs="Nirmala UI"/>
        </w:rPr>
        <w:t>ᱛᱮᱱ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ᱦᱚᱨᱛᱮ</w:t>
      </w:r>
      <w:r>
        <w:rPr>
          <w:rFonts w:ascii="Times New Roman" w:hAnsi="Times New Roman" w:eastAsia="Times New Roman" w:cs="Times New Roman"/>
        </w:rPr>
        <w:t xml:space="preserve"> </w:t>
      </w:r>
      <w:r>
        <w:rPr>
          <w:rFonts w:ascii="Nirmala UI" w:hAnsi="Nirmala UI" w:eastAsia="Nirmala UI" w:cs="Nirmala UI"/>
        </w:rPr>
        <w:t>ᱦᱤᱡᱩᱜᱼᱟ।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ᱦᱤᱡᱩᱜ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ᱠᱟᱛᱟ</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ᱦᱤᱡᱩᱜᱽ</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ᱟᱵᱚ</w:t>
      </w:r>
      <w:r>
        <w:rPr>
          <w:rFonts w:ascii="Times New Roman" w:hAnsi="Times New Roman" w:eastAsia="Times New Roman" w:cs="Times New Roman"/>
        </w:rPr>
        <w:t xml:space="preserve"> </w:t>
      </w:r>
      <w:r>
        <w:rPr>
          <w:rFonts w:ascii="Nirmala UI" w:hAnsi="Nirmala UI" w:eastAsia="Nirmala UI" w:cs="Nirmala UI"/>
        </w:rPr>
        <w:t>ᱡᱟᱦᱮᱨ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ᱵᱩᱨᱩ</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ᱡᱟᱠᱚᱵ</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ᱚᱲᱟᱜ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ᱫᱚᱧ</w:t>
      </w:r>
      <w:r>
        <w:rPr>
          <w:rFonts w:ascii="Times New Roman" w:hAnsi="Times New Roman" w:eastAsia="Times New Roman" w:cs="Times New Roman"/>
        </w:rPr>
        <w:t xml:space="preserve"> </w:t>
      </w:r>
      <w:r>
        <w:rPr>
          <w:rFonts w:ascii="Nirmala UI" w:hAnsi="Nirmala UI" w:eastAsia="Nirmala UI" w:cs="Nirmala UI"/>
        </w:rPr>
        <w:t>ᱨᱟᱠᱟᱵᱟ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ᱟᱢᱠᱩ</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ᱦᱚᱨᱟᱠᱚ</w:t>
      </w:r>
      <w:r>
        <w:rPr>
          <w:rFonts w:ascii="Times New Roman" w:hAnsi="Times New Roman" w:eastAsia="Times New Roman" w:cs="Times New Roman"/>
        </w:rPr>
        <w:t xml:space="preserve"> </w:t>
      </w:r>
      <w:r>
        <w:rPr>
          <w:rFonts w:ascii="Nirmala UI" w:hAnsi="Nirmala UI" w:eastAsia="Nirmala UI" w:cs="Nirmala UI"/>
        </w:rPr>
        <w:t>ᱥᱤᱠᱷᱟᱹᱣ</w:t>
      </w:r>
      <w:r>
        <w:rPr>
          <w:rFonts w:ascii="Times New Roman" w:hAnsi="Times New Roman" w:eastAsia="Times New Roman" w:cs="Times New Roman"/>
        </w:rPr>
        <w:t xml:space="preserve"> </w:t>
      </w:r>
      <w:r>
        <w:rPr>
          <w:rFonts w:ascii="Nirmala UI" w:hAnsi="Nirmala UI" w:eastAsia="Nirmala UI" w:cs="Nirmala UI"/>
        </w:rPr>
        <w:t>ᱟᱢᱟ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ᱟᱵᱚ</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ᱦᱚᱨᱟᱠᱚ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ᱥᱮᱱᱚᱜᱼᱟ</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ᱥᱤᱭᱚᱱ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ᱵᱟᱹᱭᱨ</w:t>
      </w:r>
      <w:r>
        <w:rPr>
          <w:rFonts w:ascii="Times New Roman" w:hAnsi="Times New Roman" w:eastAsia="Times New Roman" w:cs="Times New Roman"/>
        </w:rPr>
        <w:t xml:space="preserve"> </w:t>
      </w:r>
      <w:r>
        <w:rPr>
          <w:rFonts w:ascii="Nirmala UI" w:hAnsi="Nirmala UI" w:eastAsia="Nirmala UI" w:cs="Nirmala UI"/>
        </w:rPr>
        <w:t>ᱚᱰᱚᱜᱼᱟ</w:t>
      </w:r>
      <w:r>
        <w:rPr>
          <w:rFonts w:ascii="Times New Roman" w:hAnsi="Times New Roman" w:eastAsia="Times New Roman" w:cs="Times New Roman"/>
        </w:rPr>
        <w:t xml:space="preserve"> </w:t>
      </w:r>
      <w:r>
        <w:rPr>
          <w:rFonts w:ascii="Nirmala UI" w:hAnsi="Nirmala UI" w:eastAsia="Nirmala UI" w:cs="Nirmala UI"/>
        </w:rPr>
        <w:t>ᱤᱱᱟᱹᱜ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ᱡᱟᱦᱮᱨ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ᱠᱟᱛᱷᱟ।</w:t>
      </w:r>
      <w:r>
        <w:rPr>
          <w:rFonts w:ascii="Times New Roman" w:hAnsi="Times New Roman" w:eastAsia="Times New Roman" w:cs="Times New Roman"/>
        </w:rPr>
        <w:t xml:space="preserve"> </w:t>
      </w:r>
      <w:r>
        <w:rPr>
          <w:rFonts w:ascii="Nirmala UI" w:hAnsi="Nirmala UI" w:eastAsia="Nirmala UI" w:cs="Nirmala UI"/>
        </w:rPr>
        <w:t>ᱤᱥᱟᱭᱟ</w:t>
      </w:r>
      <w:r>
        <w:rPr>
          <w:rFonts w:ascii="Times New Roman" w:hAnsi="Times New Roman" w:eastAsia="Times New Roman" w:cs="Times New Roman"/>
        </w:rPr>
        <w:t xml:space="preserve"> 2:2, 3.</w:t>
      </w:r>
    </w:p>
    <w:p>
      <w:pPr>
        <w:pStyle w:val="ArticleBody"/>
        <w:jc w:val="left"/>
      </w:pPr>
      <w:r>
        <w:rPr>
          <w:rFonts w:ascii="Times New Roman" w:hAnsi="Times New Roman" w:eastAsia="Times New Roman" w:cs="Times New Roman"/>
        </w:rPr>
        <w:t>پیامِ آزمونِ صورت‌بندی‌شدهٔ میلر از کلیسای امین برخاست، و نشریه‌ای که «The Telegraph» نام داشت، همان‌گونه که ترجمهٔ King James Bible چنین بود، نمایانگرِ پیامی از آسمان است؛ زیرا واژهٔ «telegraph» که از دو واژهٔ یونانی ساخته شده است، به معنای پیامی از دوردست می‌باشد. واژهٔ نخست (tele) به معنای «دور یا دوردست» است، و واژهٔ دوم (grapho) به معنای «نوشتن یا ثبت کردن». این دو با هم به معنای «نوشتن یا انتقال دادن از فاصله‌ای دور» هستند. در سال 1611، خدا از طریق انتشارِ ترجمهٔ King James Bible پیام خود را از آسمان منتقل کرد، و در پایانِ دویست و بیست سال، پیام میلر که نخستین‌بار در سال 1831 در Vermont Telegraph صورت‌بندی شد، نیز پیام خدا را از آسمان منتقل نمود. آن پیام همان «increase of knowledge» بود که در «the time of the end» در سال 1798 گشوده شد، و سپس برای آن نسل فرآیندی سه‌مرحله‌ای از آزمون پدید آورد. آن تاریخ، تاریخِ Future for America را به‌طور نمادین پیش‌نمایی می‌کرد.</w:t>
      </w:r>
    </w:p>
    <w:p>
      <w:pPr>
        <w:pStyle w:val="ArticleBody"/>
        <w:jc w:val="left"/>
      </w:pPr>
      <w:r>
        <w:rPr>
          <w:rFonts w:ascii="Times New Roman" w:hAnsi="Times New Roman" w:eastAsia="Times New Roman" w:cs="Times New Roman"/>
        </w:rPr>
        <w:t>1776-</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স্বাধীনতার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সূচনাকেও</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অন্তিমকালে</w:t>
      </w:r>
      <w:r>
        <w:rPr>
          <w:rFonts w:ascii="Times New Roman" w:hAnsi="Times New Roman" w:eastAsia="Times New Roman" w:cs="Times New Roman"/>
        </w:rPr>
        <w:t xml:space="preserve"> </w:t>
      </w:r>
      <w:r>
        <w:rPr>
          <w:rFonts w:ascii="Nirmala UI" w:hAnsi="Nirmala UI" w:eastAsia="Nirmala UI" w:cs="Nirmala UI"/>
        </w:rPr>
        <w:t>স্বাধীনতার</w:t>
      </w:r>
      <w:r>
        <w:rPr>
          <w:rFonts w:ascii="Times New Roman" w:hAnsi="Times New Roman" w:eastAsia="Times New Roman" w:cs="Times New Roman"/>
        </w:rPr>
        <w:t xml:space="preserve"> </w:t>
      </w:r>
      <w:r>
        <w:rPr>
          <w:rFonts w:ascii="Nirmala UI" w:hAnsi="Nirmala UI" w:eastAsia="Nirmala UI" w:cs="Nirmala UI"/>
        </w:rPr>
        <w:t>সীমাবদ্ধতাকেও</w:t>
      </w:r>
      <w:r>
        <w:rPr>
          <w:rFonts w:ascii="Times New Roman" w:hAnsi="Times New Roman" w:eastAsia="Times New Roman" w:cs="Times New Roman"/>
        </w:rPr>
        <w:t xml:space="preserve"> </w:t>
      </w:r>
      <w:r>
        <w:rPr>
          <w:rFonts w:ascii="Nirmala UI" w:hAnsi="Nirmala UI" w:eastAsia="Nirmala UI" w:cs="Nirmala UI"/>
        </w:rPr>
        <w:t>সনাক্ত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Future for America-</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ইঙ্গিত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স্বাধীনতার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প্রকাশের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চিত্ররূপে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সমাপ্তিকে</w:t>
      </w:r>
      <w:r>
        <w:rPr>
          <w:rFonts w:ascii="Times New Roman" w:hAnsi="Times New Roman" w:eastAsia="Times New Roman" w:cs="Times New Roman"/>
        </w:rPr>
        <w:t xml:space="preserve"> </w:t>
      </w:r>
      <w:r>
        <w:rPr>
          <w:rFonts w:ascii="Nirmala UI" w:hAnsi="Nirmala UI" w:eastAsia="Nirmala UI" w:cs="Nirmala UI"/>
        </w:rPr>
        <w:t>সনাক্ত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1996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সেবাকর্ম</w:t>
      </w:r>
      <w:r>
        <w:rPr>
          <w:rFonts w:ascii="Times New Roman" w:hAnsi="Times New Roman" w:eastAsia="Times New Roman" w:cs="Times New Roman"/>
        </w:rPr>
        <w:t xml:space="preserve"> The Time of the End </w:t>
      </w:r>
      <w:r>
        <w:rPr>
          <w:rFonts w:ascii="Nirmala UI" w:hAnsi="Nirmala UI" w:eastAsia="Nirmala UI" w:cs="Nirmala UI"/>
        </w:rPr>
        <w:t>পত্রিকাটি</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Future for America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পরিচিত</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সত্তাটি</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The Time of the End </w:t>
      </w:r>
      <w:r>
        <w:rPr>
          <w:rFonts w:ascii="Nirmala UI" w:hAnsi="Nirmala UI" w:eastAsia="Nirmala UI" w:cs="Nirmala UI"/>
        </w:rPr>
        <w:t>পত্রিকাটি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Our Firm Foundation </w:t>
      </w:r>
      <w:r>
        <w:rPr>
          <w:rFonts w:ascii="Nirmala UI" w:hAnsi="Nirmala UI" w:eastAsia="Nirmala UI" w:cs="Nirmala UI"/>
        </w:rPr>
        <w:t>নামক</w:t>
      </w:r>
      <w:r>
        <w:rPr>
          <w:rFonts w:ascii="Times New Roman" w:hAnsi="Times New Roman" w:eastAsia="Times New Roman" w:cs="Times New Roman"/>
        </w:rPr>
        <w:t xml:space="preserve"> </w:t>
      </w:r>
      <w:r>
        <w:rPr>
          <w:rFonts w:ascii="Nirmala UI" w:hAnsi="Nirmala UI" w:eastAsia="Nirmala UI" w:cs="Nirmala UI"/>
        </w:rPr>
        <w:t>প্রকাশনায়</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প্রবন্ধসমূহ</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Microsoft YaHei" w:hAnsi="Microsoft YaHei" w:eastAsia="Microsoft YaHei" w:cs="Microsoft YaHei"/>
        </w:rPr>
        <w:t>稣務之名「</w:t>
      </w:r>
      <w:r>
        <w:rPr>
          <w:rFonts w:ascii="Times New Roman" w:hAnsi="Times New Roman" w:eastAsia="Times New Roman" w:cs="Times New Roman"/>
        </w:rPr>
        <w:t>Future for America</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乃關乎</w:t>
      </w:r>
      <w:r>
        <w:rPr>
          <w:rFonts w:ascii="Times New Roman" w:hAnsi="Times New Roman" w:eastAsia="Times New Roman" w:cs="Times New Roman"/>
        </w:rPr>
        <w:t>«</w:t>
      </w:r>
      <w:r>
        <w:rPr>
          <w:rFonts w:ascii="Microsoft YaHei" w:hAnsi="Microsoft YaHei" w:eastAsia="Microsoft YaHei" w:cs="Microsoft YaHei"/>
        </w:rPr>
        <w:t>獨立宣言</w:t>
      </w:r>
      <w:r>
        <w:rPr>
          <w:rFonts w:ascii="Times New Roman" w:hAnsi="Times New Roman" w:eastAsia="Times New Roman" w:cs="Times New Roman"/>
        </w:rPr>
        <w:t>»</w:t>
      </w:r>
      <w:r>
        <w:rPr>
          <w:rFonts w:ascii="Microsoft YaHei" w:hAnsi="Microsoft YaHei" w:eastAsia="Microsoft YaHei" w:cs="Microsoft YaHei"/>
        </w:rPr>
        <w:t>之歷史</w:t>
      </w:r>
      <w:r>
        <w:rPr>
          <w:rFonts w:ascii="Times New Roman" w:hAnsi="Times New Roman" w:eastAsia="Times New Roman" w:cs="Times New Roman"/>
        </w:rPr>
        <w:t>,</w:t>
      </w:r>
      <w:r>
        <w:rPr>
          <w:rFonts w:ascii="Microsoft YaHei" w:hAnsi="Microsoft YaHei" w:eastAsia="Microsoft YaHei" w:cs="Microsoft YaHei"/>
        </w:rPr>
        <w:t>蓋該文獻標誌著美利堅合眾國之開端</w:t>
      </w:r>
      <w:r>
        <w:rPr>
          <w:rFonts w:ascii="Times New Roman" w:hAnsi="Times New Roman" w:eastAsia="Times New Roman" w:cs="Times New Roman"/>
        </w:rPr>
        <w:t>;</w:t>
      </w:r>
      <w:r>
        <w:rPr>
          <w:rFonts w:ascii="Microsoft YaHei" w:hAnsi="Microsoft YaHei" w:eastAsia="Microsoft YaHei" w:cs="Microsoft YaHei"/>
        </w:rPr>
        <w:t>而耶穌常以起初表明末後</w:t>
      </w:r>
      <w:r>
        <w:rPr>
          <w:rFonts w:ascii="Times New Roman" w:hAnsi="Times New Roman" w:eastAsia="Times New Roman" w:cs="Times New Roman"/>
        </w:rPr>
        <w:t>.</w:t>
      </w:r>
      <w:r>
        <w:rPr>
          <w:rFonts w:ascii="Microsoft YaHei" w:hAnsi="Microsoft YaHei" w:eastAsia="Microsoft YaHei" w:cs="Microsoft YaHei"/>
        </w:rPr>
        <w:t>該出版物之題名為</w:t>
      </w:r>
      <w:r>
        <w:rPr>
          <w:rFonts w:ascii="Times New Roman" w:hAnsi="Times New Roman" w:eastAsia="Times New Roman" w:cs="Times New Roman"/>
        </w:rPr>
        <w:t>«The Time of the End»,</w:t>
      </w:r>
      <w:r>
        <w:rPr>
          <w:rFonts w:ascii="Microsoft YaHei" w:hAnsi="Microsoft YaHei" w:eastAsia="Microsoft YaHei" w:cs="Microsoft YaHei"/>
        </w:rPr>
        <w:t>所指既包括一九八九年的「末時」</w:t>
      </w:r>
      <w:r>
        <w:rPr>
          <w:rFonts w:ascii="Times New Roman" w:hAnsi="Times New Roman" w:eastAsia="Times New Roman" w:cs="Times New Roman"/>
        </w:rPr>
        <w:t>,</w:t>
      </w:r>
      <w:r>
        <w:rPr>
          <w:rFonts w:ascii="Microsoft YaHei" w:hAnsi="Microsoft YaHei" w:eastAsia="Microsoft YaHei" w:cs="Microsoft YaHei"/>
        </w:rPr>
        <w:t>亦包括當米迦勒興起之時恩典時期的終結</w:t>
      </w:r>
      <w:r>
        <w:rPr>
          <w:rFonts w:ascii="Times New Roman" w:hAnsi="Times New Roman" w:eastAsia="Times New Roman" w:cs="Times New Roman"/>
        </w:rPr>
        <w:t>.</w:t>
      </w:r>
      <w:r>
        <w:rPr>
          <w:rFonts w:ascii="Microsoft YaHei" w:hAnsi="Microsoft YaHei" w:eastAsia="Microsoft YaHei" w:cs="Microsoft YaHei"/>
        </w:rPr>
        <w:t>該出版物中所正式確立的信息（但以理書十一章四十節至四十五節）</w:t>
      </w:r>
      <w:r>
        <w:rPr>
          <w:rFonts w:ascii="Times New Roman" w:hAnsi="Times New Roman" w:eastAsia="Times New Roman" w:cs="Times New Roman"/>
        </w:rPr>
        <w:t>,</w:t>
      </w:r>
      <w:r>
        <w:rPr>
          <w:rFonts w:ascii="Microsoft YaHei" w:hAnsi="Microsoft YaHei" w:eastAsia="Microsoft YaHei" w:cs="Microsoft YaHei"/>
        </w:rPr>
        <w:t>於一九八九年蘇聯解體之時</w:t>
      </w:r>
      <w:r>
        <w:rPr>
          <w:rFonts w:ascii="Times New Roman" w:hAnsi="Times New Roman" w:eastAsia="Times New Roman" w:cs="Times New Roman"/>
        </w:rPr>
        <w:t>——</w:t>
      </w:r>
      <w:r>
        <w:rPr>
          <w:rFonts w:ascii="Microsoft YaHei" w:hAnsi="Microsoft YaHei" w:eastAsia="Microsoft YaHei" w:cs="Microsoft YaHei"/>
        </w:rPr>
        <w:t>即「末時」</w:t>
      </w:r>
      <w:r>
        <w:rPr>
          <w:rFonts w:ascii="Times New Roman" w:hAnsi="Times New Roman" w:eastAsia="Times New Roman" w:cs="Times New Roman"/>
        </w:rPr>
        <w:t>——</w:t>
      </w:r>
      <w:r>
        <w:rPr>
          <w:rFonts w:ascii="Microsoft YaHei" w:hAnsi="Microsoft YaHei" w:eastAsia="Microsoft YaHei" w:cs="Microsoft YaHei"/>
        </w:rPr>
        <w:t>被開啟</w:t>
      </w:r>
      <w:r>
        <w:rPr>
          <w:rFonts w:ascii="Times New Roman" w:hAnsi="Times New Roman" w:eastAsia="Times New Roman" w:cs="Times New Roman"/>
        </w:rPr>
        <w:t>;</w:t>
      </w:r>
      <w:r>
        <w:rPr>
          <w:rFonts w:ascii="Microsoft YaHei" w:hAnsi="Microsoft YaHei" w:eastAsia="Microsoft YaHei" w:cs="Microsoft YaHei"/>
        </w:rPr>
        <w:t>而那被開啟的經文呈現出一段歷史次序</w:t>
      </w:r>
      <w:r>
        <w:rPr>
          <w:rFonts w:ascii="Times New Roman" w:hAnsi="Times New Roman" w:eastAsia="Times New Roman" w:cs="Times New Roman"/>
        </w:rPr>
        <w:t>,</w:t>
      </w:r>
      <w:r>
        <w:rPr>
          <w:rFonts w:ascii="Microsoft YaHei" w:hAnsi="Microsoft YaHei" w:eastAsia="Microsoft YaHei" w:cs="Microsoft YaHei"/>
        </w:rPr>
        <w:t>自一九八九年向前推進</w:t>
      </w:r>
      <w:r>
        <w:rPr>
          <w:rFonts w:ascii="Times New Roman" w:hAnsi="Times New Roman" w:eastAsia="Times New Roman" w:cs="Times New Roman"/>
        </w:rPr>
        <w:t>,</w:t>
      </w:r>
      <w:r>
        <w:rPr>
          <w:rFonts w:ascii="Microsoft YaHei" w:hAnsi="Microsoft YaHei" w:eastAsia="Microsoft YaHei" w:cs="Microsoft YaHei"/>
        </w:rPr>
        <w:t>直到第十二章第一節</w:t>
      </w:r>
      <w:r>
        <w:rPr>
          <w:rFonts w:ascii="Times New Roman" w:hAnsi="Times New Roman" w:eastAsia="Times New Roman" w:cs="Times New Roman"/>
        </w:rPr>
        <w:t>,</w:t>
      </w:r>
      <w:r>
        <w:rPr>
          <w:rFonts w:ascii="Microsoft YaHei" w:hAnsi="Microsoft YaHei" w:eastAsia="Microsoft YaHei" w:cs="Microsoft YaHei"/>
        </w:rPr>
        <w:t>指出米迦勒興起</w:t>
      </w:r>
      <w:r>
        <w:rPr>
          <w:rFonts w:ascii="Times New Roman" w:hAnsi="Times New Roman" w:eastAsia="Times New Roman" w:cs="Times New Roman"/>
        </w:rPr>
        <w:t>,</w:t>
      </w:r>
      <w:r>
        <w:rPr>
          <w:rFonts w:ascii="Microsoft YaHei" w:hAnsi="Microsoft YaHei" w:eastAsia="Microsoft YaHei" w:cs="Microsoft YaHei"/>
        </w:rPr>
        <w:t>並且人類恩典時期結束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لە بڵاوکردنەوەی Declaration of Independence لە ساڵی 1776ەوە، هەتا بڵاوکردنەوەی گۆڤاری The Time of the End، دوو سەد و بیست ساڵ دەگرێتەوە، و سەرەتا و کۆتایی هەردووکیان باس لە هەمان بابەتە پێغەمبەرانەکان دەکەن. بڵاوکراوەی The Time of the End، لە چەپتەرەکان پێکهاتبوو کە یەکەمجار وەک وتار لە بڵاوکراوەی Our Firm Foundation بڵاوکرابوونەوە، و نوێنەرایەتیی ئەو ڕاستییە پێغەمبەرانەیی دەکات کە بەبێ پابەندبوون بە ڕاستییە بنەڕەتییەکانی بزووتنەوەی Millerite (کە “our firm foundation”ە)، تێگەیشتن لە “زیادبوونی زانیاری” لە “کاتی کۆتایی”دا لە ساڵی 1989دا مەحاڵە.</w:t>
      </w:r>
    </w:p>
    <w:p>
      <w:pPr>
        <w:pStyle w:val="ArticleBody"/>
        <w:jc w:val="left"/>
      </w:pPr>
      <w:r>
        <w:rPr>
          <w:rFonts w:ascii="Nirmala UI" w:hAnsi="Nirmala UI" w:eastAsia="Nirmala UI" w:cs="Nirmala UI"/>
        </w:rPr>
        <w:t>ਢੰਗ</w:t>
      </w:r>
      <w:r>
        <w:rPr>
          <w:rFonts w:ascii="Times New Roman" w:hAnsi="Times New Roman" w:eastAsia="Times New Roman" w:cs="Times New Roman"/>
        </w:rPr>
        <w:t>-</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ਚਲਹਾਟਾਂ</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ਸਮਾਂਤਰ</w:t>
      </w:r>
      <w:r>
        <w:rPr>
          <w:rFonts w:ascii="Times New Roman" w:hAnsi="Times New Roman" w:eastAsia="Times New Roman" w:cs="Times New Roman"/>
        </w:rPr>
        <w:t xml:space="preserve"> </w:t>
      </w:r>
      <w:r>
        <w:rPr>
          <w:rFonts w:ascii="Nirmala UI" w:hAnsi="Nirmala UI" w:eastAsia="Nirmala UI" w:cs="Nirmala UI"/>
        </w:rPr>
        <w:t>ਇਤਿਹਾਸਿਕ</w:t>
      </w:r>
      <w:r>
        <w:rPr>
          <w:rFonts w:ascii="Times New Roman" w:hAnsi="Times New Roman" w:eastAsia="Times New Roman" w:cs="Times New Roman"/>
        </w:rPr>
        <w:t xml:space="preserve"> </w:t>
      </w:r>
      <w:r>
        <w:rPr>
          <w:rFonts w:ascii="Nirmala UI" w:hAnsi="Nirmala UI" w:eastAsia="Nirmala UI" w:cs="Nirmala UI"/>
        </w:rPr>
        <w:t>ਲੜੀਆਂ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ਧਾਰਨ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ਤੱਤ</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ਸਮਾਂਤਰ</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11 </w:t>
      </w:r>
      <w:r>
        <w:rPr>
          <w:rFonts w:ascii="Nirmala UI" w:hAnsi="Nirmala UI" w:eastAsia="Nirmala UI" w:cs="Nirmala UI"/>
        </w:rPr>
        <w:t>ਅਗਸਤ</w:t>
      </w:r>
      <w:r>
        <w:rPr>
          <w:rFonts w:ascii="Times New Roman" w:hAnsi="Times New Roman" w:eastAsia="Times New Roman" w:cs="Times New Roman"/>
        </w:rPr>
        <w:t xml:space="preserve">, 1840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ਅਠਾਰਾਂ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ਚਿੰਨ੍ਹਿਆ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ਲਿਆਇਆ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ਅਠਾਰਾਂ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ਲਿਆਇਆ।</w:t>
      </w:r>
    </w:p>
    <w:p>
      <w:pPr>
        <w:pStyle w:val="ArticleBody"/>
        <w:jc w:val="left"/>
      </w:pPr>
      <w:r>
        <w:rPr>
          <w:rFonts w:ascii="Times New Roman" w:hAnsi="Times New Roman" w:eastAsia="Times New Roman" w:cs="Times New Roman"/>
        </w:rPr>
        <w:t>تەواوێتی بەرواری هاوتاكاندا، بارانی دواتر لەو خاڵەدا دەست بە “پرشاندن” دەكات كە فریشتە دابەزێت. لەو خاڵەدا، پەیامەكە بە پشتڕاستكردنەوەی ڕووداوە پێشبینی‌كراوەكە “هێزدار” دەكرێت. بۆ میلەرییەكان، ئەوە كۆتایی‌هاتنی سەروەری عوسمانی بوو لە تەواوبوونی پێشبینیی كاتەوەی ئیسلامی ئاڵۆزی دووەم لە ئاشكرابوون، بەشی نۆ، ئایەتی پازدە. بۆ بزووتنەوەی سەد و چل و چوار هەزارەكەش، ئەوە “تووڕەبوونی نەتەوەكان” بوو، پێشبینییەكی ئیسلامی ئاڵۆزی سێیەم كە لە كاتی كارە زەنگی حەوتەمدا لە ئاشكرابوون ١٠:٧ هەیە، كە تەواو بوو كاتێك بینا گەورەكانی شاری نیویۆرك خسترانە خوارەوە.</w:t>
      </w:r>
    </w:p>
    <w:p>
      <w:pPr>
        <w:pStyle w:val="ArticleBody"/>
        <w:jc w:val="left"/>
      </w:pPr>
      <w:r>
        <w:rPr>
          <w:rFonts w:ascii="Times New Roman" w:hAnsi="Times New Roman" w:eastAsia="Times New Roman" w:cs="Times New Roman"/>
        </w:rPr>
        <w:t>Parallel histories-yn major waymark-ira sakuññataj direct links utji Wonderful Numberer-an luräwipampixa, jupaw Firmañapa uchasi, pä visiónanak taypin utjki uka mayacht’äwinaru, uka visiónanakaruw kimsa pataka pä tunka maranaka ukhamaraki pä waranqa phisqa pataka pä tunka maranak uñacht’ayi. Profético watchmenanakax angelan saraqäwipan sartayatäpxi, jupanakax mä amuyt’ayañ trompeta phust’apxi, ukax Laodicear yatiyäwimp chikaw utji; uka yatiyäwix 1856 maranxa, “paqallqu kutinaka” jach’a qhanan unsealing ukampiw chiqak mayachata. Habacucan pä mesanakapan waymark-apa, 1843 ukat 1850 maranakan pionero charts ukanakamp uñacht’ayata, uka panpachaniw gráficamente “paqallqu kutinaka” uñacht’ayi, angelan saraqäwipampi sapa parallel history-n “nayrïr disappointed” ukar puriñkamaw purini.</w:t>
      </w:r>
    </w:p>
    <w:p>
      <w:pPr>
        <w:pStyle w:val="ArticleBody"/>
        <w:jc w:val="left"/>
      </w:pPr>
      <w:r>
        <w:rPr>
          <w:rFonts w:ascii="Times New Roman" w:hAnsi="Times New Roman" w:eastAsia="Times New Roman" w:cs="Times New Roman"/>
        </w:rPr>
        <w:t>څرګند نښه د «ځنډېدنې د وخت» په نېغه توګه د ۱۸۴۳م کال له ناکامې وړاندوینې سره تړلې ده، هغه وړاندوینه چې هم د دوه زره او درې سوه کلونو، او هم د دوه زره او پنځه سوه او شلو کلونو د پوره کېدو په اړه وه. د نیمې شپې د فریاد پیغام د نبوي وخت د دغو دوو دورو د نژدې پوره کېدو پېژندنه وه. په وروستۍ څرګندې نښې کې تړل شوې تدبیري «دروازه» د دغو دوو نبوي دورو پوره کېدل څرګندوي، او هغه ځای په نښه کوي چېرې چې اوومه، یا د یوبیل شپېلۍ، غږېدل پیلوي. په هر تاریخ کې هره څرګنده نښه په نېغه توګه له «اوو وختونو» سره تړلې ده، او «اووه وختونه» هغه تار استازیتوب کوي چې دواړه تاریخونه سره تړي، او دواړه تاریخونه د وروستي باران د پیغام استازیتوب کوي.</w:t>
      </w:r>
    </w:p>
    <w:p>
      <w:pPr>
        <w:pStyle w:val="ArticleBody"/>
        <w:jc w:val="left"/>
      </w:pPr>
      <w:r>
        <w:rPr>
          <w:rFonts w:ascii="Times New Roman" w:hAnsi="Times New Roman" w:eastAsia="Times New Roman" w:cs="Times New Roman"/>
        </w:rPr>
        <w:t>Juqʼan qillqatan yachayta qhipa qillqapi rikhurichisunchik.</w:t>
      </w:r>
    </w:p>
    <w:p>
      <w:pPr>
        <w:pStyle w:val="ArticleScripture"/>
        <w:jc w:val="left"/>
      </w:pPr>
      <w:r>
        <w:rPr>
          <w:rFonts w:ascii="Times New Roman" w:hAnsi="Times New Roman" w:eastAsia="Times New Roman" w:cs="Times New Roman"/>
        </w:rPr>
        <w:t>“‘Сөзгә абынып, итагатьһеҙ булғандар өсөн,’ Мәсих — абыныу ҡаяһы. Әммә ‘төҙөүселәр кире ҡаҡҡан таш — шул уҡ мөйөш башы булды.’ Кире ҡағылған таш кеүек, Мәсих тә Үҙенең ерҙәге хеҙмәтендә һанға һуғылмауҙы һәм мыҫҡылланыуҙы күтәрҙе. Ул ‘кешеләр тарафынан хурланған һәм кире ҡағылған, ҡайғылар кешеһе һәм хәсрәткә таныш ине: ... Ул хурланды, һәм беҙ Уны һанға һуҡманыҡ.’ Ишағыя 53:3. Әммә Уның данланасаҡ ваҡыты яҡын ине. Үлеләрҙән терелеүе аша Ул ‘ҡөҙрәт менән Алланың Улы’ тип иғлан ителер ине. Римдарға 1:4. Үҙенең икенсе килеүендә Ул күк менән ерҙең Хужаһы булып асылыр ине. Хәҙер Уны тәрегә ҡаҙаҡларға йыйынғандар Уның бөйөклөгөн танырҙар ине. Бөтә ғаләм алдында кире ҡағылған таш мөйөш башы булып китер ине.”</w:t>
      </w:r>
    </w:p>
    <w:p>
      <w:pPr>
        <w:pStyle w:val="ArticleScripture"/>
        <w:jc w:val="left"/>
      </w:pPr>
      <w:r>
        <w:rPr>
          <w:rFonts w:ascii="Times New Roman" w:hAnsi="Times New Roman" w:eastAsia="Times New Roman" w:cs="Times New Roman"/>
        </w:rPr>
        <w:t>“Шающыр къаухара дыракӀызар, уый йыжьыкӀэхьын.” Христос къареджагъэхэм къырыкӀожьыр зи лъэпкъымрэ зи къэралымрэ къыдэкӀуэну къагъэщӀагъэу къыщагъэщт. Я щхьэщытныгъэ къыбжьыну, ащ арыжьыбжьэу щӀыбжьым ибжьанэм къыщызэригъэпсэу къызэрыбжьыну. Арауэу, а йэудхэм ар къыщызэгъэкӀуатыр сыт щыт? Ауэ мыщ — ахэм ащыбжьэу къагъэтӀысхьэу щытэмэ, я бжьыкӀэныгъэм щытыкӀащэтыну къыщызыхэт хъумэщ. Алыхьым ижьыгъэфӀыгъэ ахэм къащтэм, и тхьэусыхьэу пэжыгъэ къащыбжьэм, и шъуагъэ къагъэнэхъэм. ЦӀыхухэр Алыхьым епэщытныгъэу къазыгъэтӀысхьэм, я псалъэщхьэу щытыкӀатыр псэуныгъэу къыщыщыт хъуауэ, я къэкӀуэныгъэу къыхъуащ. Алыхьым псэуныгъэу къыщигъэувэтыр ахэм я хъыбарым уӀэныгъэу къыщагъуэтыжащ. Йэудхэм Христосыр къаригъэпцӀыжьыным къыдэлъэфакӀуэу Иерусалимым и къэкӀуэныгъэ къыбжьащ. Кальварие щӀыӀум къыщагъэджэр ылъэсыр абыщъу ящхьэщытныгъэм къащӀыхьэжу, мы дунеймрэ къэкӀуэ дунеймрэ япэщ япсэу къагъэкӀуэну къызэригъэувэжащ. Аращыщ хъунущ Алыхьым и шъуагъэм къареджагъэхэм щыкӀэ зэхуаку иужьрей махуэшхуэм, тхьэщӀыным къыхыхьэхэмэ. Христос, я епэщӀэ хъумэщыр, абы махуэм ахэм къахэгъэщынущ къэгъэзэншэу щыбжьэ хъуащхьэу. И напэ и къуэпсэлъыджэу щхьэщытныгъэр, пэжхэм япэщ псэуныгъэу щытщ, ауэ мыжэ-мыфӀхэм япэщ псыбжьэгъу хэлъ хъуауэ хъунущ. Сэбэпыр — къареджагъэ лъюбэ, къащтэжагъэ шъуагъэ; абы щхьэкӀэ, гъащӀэм ибжьыхьэр къэкӀуэнущ.</w:t>
      </w:r>
    </w:p>
    <w:p>
      <w:pPr>
        <w:pStyle w:val="ArticleScripture"/>
        <w:jc w:val="left"/>
      </w:pPr>
      <w:r>
        <w:rPr>
          <w:rFonts w:ascii="Times New Roman" w:hAnsi="Times New Roman" w:eastAsia="Times New Roman" w:cs="Times New Roman"/>
        </w:rPr>
        <w:t>«Sa pamagpinaagi hin damu nga mga ilustrasyon ngan ginbalik-balik nga mga pahimangno, iginpakita ni Jesus kon ano an magigin resulta para han mga Judio han ira pagsalikway han Anak han Dios. Ha hini nga mga pulong, ginyayakan Niya an ngatanan ha tagsa nga kapanahonan nga nasalikway pagkarawat ha Iya sugad nga ira Manunubos. An tagsa nga pahimangno para ha ira. An nahugawan nga templo, an diri-masinugtanon nga anak, an buwa nga mga mangunguma, an mapinanamayon nga mga magtirindog, may ira kapariho ha eksperyensya han tagsa nga makasasala. Kon diri hiya maghinulsol, an kapahamakan nga ira iginpaabrihan amo an maiaato ha iya.»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Libro de Daniel - Número Ochenta y Siete</dc:title>
  <dc:subject>Pagpapadayag han Sambingay han Napulo nga mga Birhen: Usa nga Hilawig ngan Hamili nga Panaw Pinaagi han Kasaysayan han mga Adventista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