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Ƴeere Daniyel — Lamba Tamanin da Takwas</w:t>
      </w:r>
    </w:p>
    <w:p>
      <w:pPr>
        <w:pStyle w:val="ArticleSubtitle"/>
        <w:jc w:val="left"/>
      </w:pPr>
      <w:r>
        <w:rPr>
          <w:rFonts w:ascii="Arial" w:hAnsi="Arial" w:eastAsia="Arial" w:cs="Arial"/>
        </w:rPr>
        <w:t>K’ari qhipa para q’añuchawi: Profético saräwi 11 uru sata qollan mara t’aqa phaxsit 2001 marata qalltata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Aŋasɛw tɔg nɔɔrɔ ŋmɛrɛ kɛ ŋwà kàŋgʉʉr bɛrɛ sɔ, a dɛrɛ kɛ nàŋg lòòr nà ì bààrɛ kʉmùŋ ŋwà kàŋgʉʉr sʉʉŋ nà kʉ dɩ. Bà nɔɔ kɛ bà yààrɛ dɩrɛ tɛrɛsɛ bàà tɔrɔ kɛ bà nà kàpàkà, kà bà kɛɛrɛ nɔɔ kɛ bà yààrɛ dɩrɛ nà sɔɔr tɔrɔ kɛ bɛɛ bà dɩrɛ kʉ tɔ́ɔrɔ. Lòòr kùtùkù kɛ nà dɩrɛ a dɛrɛ “sɔŋg nà bɛrɛ” sʉʉŋ nà sààŋ nɔɔ kɛ tɔɔr kɛ bɛrɛ nà “wàkàtɩ nà kɛrɛŋ” nɔɔ, nà 1798 mà 1989, kà nà yààbɛrɛ kùrùŋg dɛrɛ sààŋ nɔɔ kɛ nà gʉrʉm kɛɛrɛ tɛrɛ nɔɔ sʉʉŋ nà bɛrɛ kɛ tɔrɔ kɛ bɛrɛ nà kʉrɛ gʉs nà bɛrɛ sɔŋg. Nà tɔrɔ tɛrɛsɛ, kɛrɛ kɛɛrɛ nà Islam tɔrɔ kɛ sààŋ nɔɔ dɛrɛ kʉmùŋ ŋwà kàŋgʉʉr sʉʉŋ nà dɩrɛ tɔɔr mà kà tɔɔr kɛɛrɛ. Tɛrɛ kɛ sààŋ nɔɔ kɛ dɛrɛ kʉmùŋ lòòr a tɔɔr kɛɛrɛ, bà kɛ tɔɔr kɛɛrɛ sɔ, kà bà kʉrɛ kɛ bà yààrɛ sɔŋg nà dɛrɛ kɛ bà nɔɔ kɛɛrɛ bàà tɔ́ɔr tɛrɛsɛ nà Mʉŋ, bà gʉrʉmɛ kɛ bà pɔrɛ sààŋ nà pɩɩlɛ lɔrɔr nà latter rain.</w:t>
      </w:r>
    </w:p>
    <w:p>
      <w:pPr>
        <w:pStyle w:val="ArticleBody"/>
        <w:jc w:val="left"/>
      </w:pPr>
      <w:r>
        <w:rPr>
          <w:rFonts w:ascii="Times New Roman" w:hAnsi="Times New Roman" w:eastAsia="Times New Roman" w:cs="Times New Roman"/>
        </w:rPr>
        <w:t>No 11 di Septemba, 2001, e rebellions pasado di e generacionnan di Adventismo a bira atrobe puntonan di prueba. Habakuk kapítulo dos ta identifiká un debate ku ta sosodé den e historia profétiko representá aden, ku ta un línea profétiko paralelo ku e parábola di e dies birgennan. Ora e atalaya a puntra kiko el a mester kontestá den e historia di e parábola di e dies birgennan, a duna’é e mandato pa “skirbi e visión, i hasi’é kla riba tablannan.” E atalayanan di e historia Millerita a produsí e kart di 1843 na 1842, i su produkshon a bira un waymark. Tabata e “visión” di Habakuk dos, ku a wordu hasí kla riba tablannan, ku mester a papia na e fin.</w:t>
      </w:r>
    </w:p>
    <w:p>
      <w:pPr>
        <w:pStyle w:val="ArticleBody"/>
        <w:jc w:val="left"/>
      </w:pPr>
      <w:r>
        <w:rPr>
          <w:rFonts w:ascii="MV Boli" w:hAnsi="MV Boli" w:eastAsia="MV Boli" w:cs="MV Boli"/>
        </w:rPr>
        <w:t>ސެޕްޓެމްބަރ</w:t>
      </w:r>
      <w:r>
        <w:rPr>
          <w:rFonts w:ascii="Times New Roman" w:hAnsi="Times New Roman" w:eastAsia="Times New Roman" w:cs="Times New Roman"/>
        </w:rPr>
        <w:t xml:space="preserve"> 11، 2001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ކުޑަ</w:t>
      </w:r>
      <w:r>
        <w:rPr>
          <w:rFonts w:ascii="Times New Roman" w:hAnsi="Times New Roman" w:eastAsia="Times New Roman" w:cs="Times New Roman"/>
        </w:rPr>
        <w:t xml:space="preserve"> </w:t>
      </w:r>
      <w:r>
        <w:rPr>
          <w:rFonts w:ascii="MV Boli" w:hAnsi="MV Boli" w:eastAsia="MV Boli" w:cs="MV Boli"/>
        </w:rPr>
        <w:t>ވަގުތެއް</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ވޯގެ</w:t>
      </w:r>
      <w:r>
        <w:rPr>
          <w:rFonts w:ascii="Times New Roman" w:hAnsi="Times New Roman" w:eastAsia="Times New Roman" w:cs="Times New Roman"/>
        </w:rPr>
        <w:t xml:space="preserve"> </w:t>
      </w:r>
      <w:r>
        <w:rPr>
          <w:rFonts w:ascii="MV Boli" w:hAnsi="MV Boli" w:eastAsia="MV Boli" w:cs="MV Boli"/>
        </w:rPr>
        <w:t>އިސްލާމްގެ</w:t>
      </w:r>
      <w:r>
        <w:rPr>
          <w:rFonts w:ascii="Times New Roman" w:hAnsi="Times New Roman" w:eastAsia="Times New Roman" w:cs="Times New Roman"/>
        </w:rPr>
        <w:t xml:space="preserve"> </w:t>
      </w:r>
      <w:r>
        <w:rPr>
          <w:rFonts w:ascii="MV Boli" w:hAnsi="MV Boli" w:eastAsia="MV Boli" w:cs="MV Boli"/>
        </w:rPr>
        <w:t>ހަރަކާތް</w:t>
      </w:r>
      <w:r>
        <w:rPr>
          <w:rFonts w:ascii="Times New Roman" w:hAnsi="Times New Roman" w:eastAsia="Times New Roman" w:cs="Times New Roman"/>
        </w:rPr>
        <w:t xml:space="preserve"> </w:t>
      </w:r>
      <w:r>
        <w:rPr>
          <w:rFonts w:ascii="MV Boli" w:hAnsi="MV Boli" w:eastAsia="MV Boli" w:cs="MV Boli"/>
        </w:rPr>
        <w:t>ދެނެގަތް</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އިރުމިޔާގެ</w:t>
      </w:r>
      <w:r>
        <w:rPr>
          <w:rFonts w:ascii="Times New Roman" w:hAnsi="Times New Roman" w:eastAsia="Times New Roman" w:cs="Times New Roman"/>
        </w:rPr>
        <w:t xml:space="preserve"> “</w:t>
      </w:r>
      <w:r>
        <w:rPr>
          <w:rFonts w:ascii="MV Boli" w:hAnsi="MV Boli" w:eastAsia="MV Boli" w:cs="MV Boli"/>
        </w:rPr>
        <w:t>ގަދީމީ</w:t>
      </w:r>
      <w:r>
        <w:rPr>
          <w:rFonts w:ascii="Times New Roman" w:hAnsi="Times New Roman" w:eastAsia="Times New Roman" w:cs="Times New Roman"/>
        </w:rPr>
        <w:t xml:space="preserve"> </w:t>
      </w:r>
      <w:r>
        <w:rPr>
          <w:rFonts w:ascii="MV Boli" w:hAnsi="MV Boli" w:eastAsia="MV Boli" w:cs="MV Boli"/>
        </w:rPr>
        <w:t>މަގުތައް</w:t>
      </w:r>
      <w:r>
        <w:rPr>
          <w:rFonts w:ascii="Times New Roman" w:hAnsi="Times New Roman" w:eastAsia="Times New Roman" w:cs="Times New Roman"/>
        </w:rPr>
        <w:t xml:space="preserve">”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ރުޖޫޢަ</w:t>
      </w:r>
      <w:r>
        <w:rPr>
          <w:rFonts w:ascii="Times New Roman" w:hAnsi="Times New Roman" w:eastAsia="Times New Roman" w:cs="Times New Roman"/>
        </w:rPr>
        <w:t xml:space="preserve"> </w:t>
      </w:r>
      <w:r>
        <w:rPr>
          <w:rFonts w:ascii="MV Boli" w:hAnsi="MV Boli" w:eastAsia="MV Boli" w:cs="MV Boli"/>
        </w:rPr>
        <w:t>ކުރުމަށާއި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މަގުތަކުގައި</w:t>
      </w:r>
      <w:r>
        <w:rPr>
          <w:rFonts w:ascii="Times New Roman" w:hAnsi="Times New Roman" w:eastAsia="Times New Roman" w:cs="Times New Roman"/>
        </w:rPr>
        <w:t xml:space="preserve"> </w:t>
      </w:r>
      <w:r>
        <w:rPr>
          <w:rFonts w:ascii="MV Boli" w:hAnsi="MV Boli" w:eastAsia="MV Boli" w:cs="MV Boli"/>
        </w:rPr>
        <w:t>ހިނގުމަށް</w:t>
      </w:r>
      <w:r>
        <w:rPr>
          <w:rFonts w:ascii="Times New Roman" w:hAnsi="Times New Roman" w:eastAsia="Times New Roman" w:cs="Times New Roman"/>
        </w:rPr>
        <w:t xml:space="preserve"> </w:t>
      </w:r>
      <w:r>
        <w:rPr>
          <w:rFonts w:ascii="MV Boli" w:hAnsi="MV Boli" w:eastAsia="MV Boli" w:cs="MV Boli"/>
        </w:rPr>
        <w:t>މަގުދައްކާލެވުނެވެ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ގަދީމީ</w:t>
      </w:r>
      <w:r>
        <w:rPr>
          <w:rFonts w:ascii="Times New Roman" w:hAnsi="Times New Roman" w:eastAsia="Times New Roman" w:cs="Times New Roman"/>
        </w:rPr>
        <w:t xml:space="preserve"> </w:t>
      </w:r>
      <w:r>
        <w:rPr>
          <w:rFonts w:ascii="MV Boli" w:hAnsi="MV Boli" w:eastAsia="MV Boli" w:cs="MV Boli"/>
        </w:rPr>
        <w:t>މަގުތައް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މުކާޝަފާގެ</w:t>
      </w:r>
      <w:r>
        <w:rPr>
          <w:rFonts w:ascii="Times New Roman" w:hAnsi="Times New Roman" w:eastAsia="Times New Roman" w:cs="Times New Roman"/>
        </w:rPr>
        <w:t xml:space="preserve"> </w:t>
      </w:r>
      <w:r>
        <w:rPr>
          <w:rFonts w:ascii="MV Boli" w:hAnsi="MV Boli" w:eastAsia="MV Boli" w:cs="MV Boli"/>
        </w:rPr>
        <w:t>އަށްވަނަ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ތޭރަވަނަ</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އިސްލާމްގެ</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ދާއިރާ</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ދެނެގަތެވެ</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ތަކުރީބަން</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Future for America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ހަބައްކޫޤްގެ</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ޗާޓު</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ޗާޕު</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މިލަރައިޓުންގެ</w:t>
      </w:r>
      <w:r>
        <w:rPr>
          <w:rFonts w:ascii="Times New Roman" w:hAnsi="Times New Roman" w:eastAsia="Times New Roman" w:cs="Times New Roman"/>
        </w:rPr>
        <w:t xml:space="preserve"> </w:t>
      </w:r>
      <w:r>
        <w:rPr>
          <w:rFonts w:ascii="MV Boli" w:hAnsi="MV Boli" w:eastAsia="MV Boli" w:cs="MV Boli"/>
        </w:rPr>
        <w:t>ސާމާންޔު</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ތަރުތީބުގައި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ނުކުތާގައި</w:t>
      </w:r>
      <w:r>
        <w:rPr>
          <w:rFonts w:ascii="Times New Roman" w:hAnsi="Times New Roman" w:eastAsia="Times New Roman" w:cs="Times New Roman"/>
        </w:rPr>
        <w:t xml:space="preserve">، 1842 </w:t>
      </w:r>
      <w:r>
        <w:rPr>
          <w:rFonts w:ascii="MV Boli" w:hAnsi="MV Boli" w:eastAsia="MV Boli" w:cs="MV Boli"/>
        </w:rPr>
        <w:t>ގައި</w:t>
      </w:r>
      <w:r>
        <w:rPr>
          <w:rFonts w:ascii="Times New Roman" w:hAnsi="Times New Roman" w:eastAsia="Times New Roman" w:cs="Times New Roman"/>
        </w:rPr>
        <w:t xml:space="preserve"> 1843 </w:t>
      </w:r>
      <w:r>
        <w:rPr>
          <w:rFonts w:ascii="MV Boli" w:hAnsi="MV Boli" w:eastAsia="MV Boli" w:cs="MV Boli"/>
        </w:rPr>
        <w:t>ޗާޓު</w:t>
      </w:r>
      <w:r>
        <w:rPr>
          <w:rFonts w:ascii="Times New Roman" w:hAnsi="Times New Roman" w:eastAsia="Times New Roman" w:cs="Times New Roman"/>
        </w:rPr>
        <w:t xml:space="preserve"> </w:t>
      </w:r>
      <w:r>
        <w:rPr>
          <w:rFonts w:ascii="MV Boli" w:hAnsi="MV Boli" w:eastAsia="MV Boli" w:cs="MV Boli"/>
        </w:rPr>
        <w:t>ތައްޔާރު</w:t>
      </w:r>
      <w:r>
        <w:rPr>
          <w:rFonts w:ascii="Times New Roman" w:hAnsi="Times New Roman" w:eastAsia="Times New Roman" w:cs="Times New Roman"/>
        </w:rPr>
        <w:t xml:space="preserve"> </w:t>
      </w:r>
      <w:r>
        <w:rPr>
          <w:rFonts w:ascii="MV Boli" w:hAnsi="MV Boli" w:eastAsia="MV Boli" w:cs="MV Boli"/>
        </w:rPr>
        <w:t>ކުރުމުން</w:t>
      </w:r>
      <w:r>
        <w:rPr>
          <w:rFonts w:ascii="Times New Roman" w:hAnsi="Times New Roman" w:eastAsia="Times New Roman" w:cs="Times New Roman"/>
        </w:rPr>
        <w:t xml:space="preserve"> </w:t>
      </w:r>
      <w:r>
        <w:rPr>
          <w:rFonts w:ascii="MV Boli" w:hAnsi="MV Boli" w:eastAsia="MV Boli" w:cs="MV Boli"/>
        </w:rPr>
        <w:t>މުރާދުކުރެވުނި</w:t>
      </w:r>
      <w:r>
        <w:rPr>
          <w:rFonts w:ascii="Times New Roman" w:hAnsi="Times New Roman" w:eastAsia="Times New Roman" w:cs="Times New Roman"/>
        </w:rPr>
        <w:t xml:space="preserve"> </w:t>
      </w:r>
      <w:r>
        <w:rPr>
          <w:rFonts w:ascii="MV Boli" w:hAnsi="MV Boli" w:eastAsia="MV Boli" w:cs="MV Boli"/>
        </w:rPr>
        <w:t>ވޭމާރކެއްގެ</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ޗާޓު</w:t>
      </w:r>
      <w:r>
        <w:rPr>
          <w:rFonts w:ascii="Times New Roman" w:hAnsi="Times New Roman" w:eastAsia="Times New Roman" w:cs="Times New Roman"/>
        </w:rPr>
        <w:t xml:space="preserve"> </w:t>
      </w:r>
      <w:r>
        <w:rPr>
          <w:rFonts w:ascii="MV Boli" w:hAnsi="MV Boli" w:eastAsia="MV Boli" w:cs="MV Boli"/>
        </w:rPr>
        <w:t>ފާޅުކޮށް</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mayo de 1842 se convocó en Boston, [Massachusetts], una Conferencia General. Al abrirse esta reunión, los hermanos Charles Fitch y Apollos Hale, de Haverhill, presentaron las profecías figuradas de Daniel y Juan, que habían pintado sobre tela, con los números proféticos, mostrando su cumplimiento. El hermano Fitch, al explicar ante la Conferencia su cuadro, dijo que, al examinar estas profecías, había pensado que, si pudiera sacar algo de esta clase como lo aquí presentado, ello simplificaría el tema y le facilitaría exponerlo ante un auditorio. Aquí había más luz en nuestro camino. Estos hermanos habían estado haciendo lo que el Señor había mostrado a Habacuc en su visión 2,468 años antes, diciendo: “Escribe la visión y declárala claramente en tablas, para que corra el que la leyere. Porque la visión es aún para un tiempo señalado”. Habacuc 2:2.»</w:t>
      </w:r>
    </w:p>
    <w:p>
      <w:pPr>
        <w:pStyle w:val="ArticleScripture"/>
        <w:jc w:val="left"/>
      </w:pPr>
      <w:r>
        <w:rPr>
          <w:rFonts w:ascii="Times New Roman" w:hAnsi="Times New Roman" w:eastAsia="Times New Roman" w:cs="Times New Roman"/>
        </w:rPr>
        <w:t>«تەما بۇ ھақىدا بىراز مۇزاكىرە قىلىنغاندىن كېيىن، بۇنىڭغا ئوخشاش ئۈچ يۈز نۇسخىنى تاشباسما قىلىش بىر ئاۋازدىن ماقۇللاندى، ۋە بۇ ئىش ئۇزۇن ئۆتمەيلا ئەمەلگە ئاشۇرۇلدى. ئۇلار ‘43-يىللىق دىئاگراممىلار’ دەپ ئاتالدى. بۇ ناھايىتى مۇھىم بىر يىغىن ئىدى.» The Autobiography of Joseph Bates, 263.</w:t>
      </w:r>
    </w:p>
    <w:p>
      <w:pPr>
        <w:pStyle w:val="ArticleScripture"/>
        <w:jc w:val="left"/>
      </w:pPr>
      <w:r>
        <w:rPr>
          <w:rFonts w:ascii="Times New Roman" w:hAnsi="Times New Roman" w:eastAsia="Times New Roman" w:cs="Times New Roman"/>
        </w:rPr>
        <w:t>“Tapəśśɨna nəburu yə-hulattəñña mäs’ät astəmharoččənna yäzenaqäf mädäbawit, bä‘orijinal fəyd’ lay siqomu, yäčart matəm həbäquq 2:2, 3 məfəssəm nəbbär. Čartu yänäbiyat guday k’ä-honä (inna yämikadduw yä‘orijinal fəyd’ yit’älu), yännäw yəkätäläw BC 457 yä2300 qänoch məqot’är iyaqäbbäl. ‘Rə’yu’ ‘yit’äw’ zänd, wäyim yät’äwənna gize əndiyhon, 1843 qäddämawī yätäṭämmä gize məhonu asfälagi nəbbär; bäzih gizew qädämä ‘dənagəl budənu’ bägizew t’älləq guday lay yisalfunna yinäsa zänd, käqäṭäyu ‘Mädhanit S’əhay bälay T’ərari’ qädämä. James White, Second Advent Review and Sabbath Herald, Volume I, Number 2.”</w:t>
      </w:r>
    </w:p>
    <w:p>
      <w:pPr>
        <w:pStyle w:val="ArticleScripture"/>
        <w:jc w:val="left"/>
      </w:pPr>
      <w:r>
        <w:rPr>
          <w:rFonts w:ascii="Times New Roman" w:hAnsi="Times New Roman" w:eastAsia="Times New Roman" w:cs="Times New Roman"/>
        </w:rPr>
        <w:t>«Nun, unser Bericht der Geschichte zeigt, dass es Hunderte gab, die aus denselben chronologischen Tafeln lehrten wie William Miller, alle von gleicher Prägung. Damals bestand die Einheit der Botschaft darin, dass alle ein und dasselbe Thema verkündigten: das Kommen des Herrn Jesus zu einer bestimmten Zeit, im Jahre 1844.» Joseph Bates, Early SDA Pamphlets, 17.</w:t>
      </w:r>
    </w:p>
    <w:p>
      <w:pPr>
        <w:pStyle w:val="ArticleBody"/>
        <w:jc w:val="left"/>
      </w:pPr>
      <w:r>
        <w:rPr>
          <w:rFonts w:ascii="Times New Roman" w:hAnsi="Times New Roman" w:eastAsia="Times New Roman" w:cs="Times New Roman"/>
        </w:rPr>
        <w:t>A reimpresión dos cadros de 1843 e 1850, na historia inmediatamente posterior ao 11 de setembro de 2001, foi tanto un cumprimento de Habacuc dous como o foi a publicación do cadro de 1843 en 1842. A produción das táboas forma parte da narrativa do capítulo dous de Habacuc, e tiña que acontecer. O 11 de setembro de 2001, a rebelión de 1863 foi de novo repetida por aqueles adventistas laodicenses que se negaron a volver ás «sendas antigas» de Xeremías.</w:t>
      </w:r>
    </w:p>
    <w:p>
      <w:pPr>
        <w:pStyle w:val="ArticleScripture"/>
        <w:jc w:val="left"/>
      </w:pPr>
      <w:r>
        <w:rPr>
          <w:rFonts w:ascii="Times New Roman" w:hAnsi="Times New Roman" w:eastAsia="Times New Roman" w:cs="Times New Roman"/>
        </w:rPr>
        <w:t>“</w:t>
      </w:r>
      <w:r>
        <w:rPr>
          <w:rFonts w:ascii="Nirmala UI" w:hAnsi="Nirmala UI" w:eastAsia="Nirmala UI" w:cs="Nirmala UI"/>
        </w:rPr>
        <w:t>दुश्मन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कुतर्कपूर्ण</w:t>
      </w:r>
      <w:r>
        <w:rPr>
          <w:rFonts w:ascii="Times New Roman" w:hAnsi="Times New Roman" w:eastAsia="Times New Roman" w:cs="Times New Roman"/>
        </w:rPr>
        <w:t xml:space="preserve"> </w:t>
      </w:r>
      <w:r>
        <w:rPr>
          <w:rFonts w:ascii="Nirmala UI" w:hAnsi="Nirmala UI" w:eastAsia="Nirmala UI" w:cs="Nirmala UI"/>
        </w:rPr>
        <w:t>युक्तियाँ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अत्यल्प</w:t>
      </w:r>
      <w:r>
        <w:rPr>
          <w:rFonts w:ascii="Times New Roman" w:hAnsi="Times New Roman" w:eastAsia="Times New Roman" w:cs="Times New Roman"/>
        </w:rPr>
        <w:t xml:space="preserve"> </w:t>
      </w:r>
      <w:r>
        <w:rPr>
          <w:rFonts w:ascii="Nirmala UI" w:hAnsi="Nirmala UI" w:eastAsia="Nirmala UI" w:cs="Nirmala UI"/>
        </w:rPr>
        <w:t>मूल्य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उद्गम</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निष्प्रभावी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भूतपूर्व</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विज्ञान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w:t>
      </w:r>
      <w:r>
        <w:rPr>
          <w:rFonts w:ascii="Nirmala UI" w:hAnsi="Nirmala UI" w:eastAsia="Nirmala UI" w:cs="Nirmala UI"/>
        </w:rPr>
        <w:t>यिर्मयाह</w:t>
      </w:r>
      <w:r>
        <w:rPr>
          <w:rFonts w:ascii="Times New Roman" w:hAnsi="Times New Roman" w:eastAsia="Times New Roman" w:cs="Times New Roman"/>
        </w:rPr>
        <w:t xml:space="preserve"> 6:16.]”</w:t>
      </w:r>
    </w:p>
    <w:p>
      <w:pPr>
        <w:pStyle w:val="ArticleScripture"/>
        <w:jc w:val="left"/>
      </w:pPr>
      <w:r>
        <w:rPr>
          <w:rFonts w:ascii="Times New Roman" w:hAnsi="Times New Roman" w:eastAsia="Times New Roman" w:cs="Times New Roman"/>
        </w:rPr>
        <w:t>«Uta dagit ta adda mangsapul a mangikkat kadagiti pamuon ti pammatitayo,—dagiti pamuon a naipasdek idi punganay ti trabahotayo, babaen iti adalen a naipakumbaba ken naikari iti Kararag ti Sao, ken babaen iti pannakaiparangarang. Iti rabaw dagitoy a pamuon nagtignaykami a mangbangon iti nasurok a limapulo a tawen. Mabalin a panunoten dagiti tattao a nasarakan da iti maysa a baro a dalan, a kabaelan da a mangipasdek iti maysa a nabilbilog a pamuon ngem dayta a naipasdek; ngem daytoy ket dakkel unay a panangallilaw. ‘Ta awan ti sabali a pamuon a maikabil iti asinoman a tao no di ket dayta a naikabil.’ [1 Corinthians 3:11.] Iti napalabas, adu dagiti nangrugi a mangbangon iti maysa a baro a pammati, a mangipasdek kadagiti baro a principio; ngem kasano kabayag a timmaktakder ti binangonda? Nabayag laeng ket napatayab dayta; ta saan a naipasdek iti Rabaw ti Bato.» Testimonies, volume 8, 296, 297.</w:t>
      </w:r>
    </w:p>
    <w:p>
      <w:pPr>
        <w:pStyle w:val="ArticleBody"/>
        <w:jc w:val="left"/>
      </w:pPr>
      <w:r>
        <w:rPr>
          <w:rFonts w:ascii="Times New Roman" w:hAnsi="Times New Roman" w:eastAsia="Times New Roman" w:cs="Times New Roman"/>
        </w:rPr>
        <w:t>Yeremya müəyyən edir ki, “köhnə yollar”da yerimək “rahatlığı” tapmaq deməkdir və bu rahatlıq “axır yağış”dır; o da millətlər qəzəbləndiyi zaman, 11 sentyabr 2001-ci ildə, Nyu-York şəhərinin böyük binaları yerlə-yeksan olanda başladı. O zaman bu xəbəri qəbul edənlər Habaqququn “görüntünü yazın və onu aydın edin” deyən gözətçiləri oldular. Yeremya “rahatlıq” dövründə, yəni “axır yağış” zamanı, məhz həmin gözətçiləri müəyyən edir.</w:t>
      </w:r>
    </w:p>
    <w:p>
      <w:pPr>
        <w:pStyle w:val="ArticleScripture"/>
        <w:jc w:val="left"/>
      </w:pPr>
      <w:r>
        <w:rPr>
          <w:rFonts w:ascii="Times New Roman" w:hAnsi="Times New Roman" w:eastAsia="Times New Roman" w:cs="Times New Roman"/>
        </w:rPr>
        <w:t>Ariñäwix Tatitoj siw: “Saranakanakan sayt’asisin uñtapxam, nayra thakhinakatsa jiskt’asipxam kawkhans suma thakhix utji ukat uka thakhin sarapxam, ukhamat ajayunakamatak samaraña jikxatapxañamataki.” Ukampis jupanakax sapxänwa: “Janiw uka thakhin sarapkätati” sasa. Ukhamarakiw jumanak patxar uñjirinak uchta, akham sasa: “Pututun art’asitap ist’apxam” sasa. Ukampis jupanakax sapxänwa: “Janiw ist’apkätati” sasa. Jeremías 6:16, 17.</w:t>
      </w:r>
    </w:p>
    <w:p>
      <w:pPr>
        <w:pStyle w:val="ArticleBody"/>
        <w:jc w:val="left"/>
      </w:pPr>
      <w:r>
        <w:rPr>
          <w:rFonts w:ascii="Times New Roman" w:hAnsi="Times New Roman" w:eastAsia="Times New Roman" w:cs="Times New Roman"/>
        </w:rPr>
        <w:t>ئۇلار چېلىشقا تېگىشلىك بولغان كاناي مىللېرىت تارىخىدىكى ئىككىنچى ۋايغا تەۋە ئالتىنچى كانايدۇر، ۋە ئاخىرقى كۈنلەردە ئۇ ئۈچىنچى ۋايغا تەۋە يەتتىنچى كانايدۇر. ھەبقۇقنىڭ كۆزەتچىلىرى، يەرمىيانىڭ كۆزەتچىلىرى بولغانلار، 1888-يىلدىكى ئىسياندا رەت قىلىنغان ئاگاھلاندۇرۇش خەۋىرىنى ياڭرىتىدۇ. 1888-يىلى رەت قىلىنغان ئالتىنچى كاناي، لاودىكىيەگە بولغان خەۋەر ئىدى.</w:t>
      </w:r>
    </w:p>
    <w:p>
      <w:pPr>
        <w:pStyle w:val="ArticleScripture"/>
        <w:jc w:val="left"/>
      </w:pPr>
      <w:r>
        <w:rPr>
          <w:rFonts w:ascii="Times New Roman" w:hAnsi="Times New Roman" w:eastAsia="Times New Roman" w:cs="Times New Roman"/>
        </w:rPr>
        <w:t>«Farriin nuuf kenname A. T. Jones fi E. J. Waggoner irraa, farri Waaqaati kan waldaa Laaʼodiiqeyaatiif kenname; jechuunis, namni dhugaa amana jedhee of ibsu kam iyyuu, utuu birootatti ifa Waaqni kenne hin calaqqisiisin, isaaf wayyoo.» The 1888 Materials, 1053.</w:t>
      </w:r>
    </w:p>
    <w:p>
      <w:pPr>
        <w:pStyle w:val="ArticleBody"/>
        <w:jc w:val="left"/>
      </w:pPr>
      <w:r>
        <w:rPr>
          <w:rFonts w:ascii="Times New Roman" w:hAnsi="Times New Roman" w:eastAsia="Times New Roman" w:cs="Times New Roman"/>
        </w:rPr>
        <w:t>Ang pahayag ng ikapitong trumpeta ng 1888 ay unang ipinahayag sa Laodicea noong 1856, at pagkatapos ay inilagay ang pahayag sa Laodicea sa loob ng konteksto ng lumalawak na liwanag ng “pitong panahon.” Noong Setyembre 11, 2001, ang panawagang manumbalik sa mga dating landas ni Jeremias, at lumakad doon upang matamo ang pahayag ng huling ulan, ay kalakip ang babalang pahayag ng ikapitong Trumpeta na inilalarawan bilang pahayag sa Laodicea, at ang “pitong panahon,” na siyang sagisag ng mga pundasyon.</w:t>
      </w:r>
    </w:p>
    <w:p>
      <w:pPr>
        <w:pStyle w:val="ArticleBody"/>
        <w:jc w:val="left"/>
      </w:pPr>
      <w:r>
        <w:rPr>
          <w:rFonts w:ascii="Times New Roman" w:hAnsi="Times New Roman" w:eastAsia="Times New Roman" w:cs="Times New Roman"/>
        </w:rPr>
        <w:t>نبوت کی نشان دہی کے مطابق وہ “جھوٹ” جو پولس کی تحریروں میں مذکور سخت گمراہی کو پیدا کرتا ہے، 1931 میں لاودیسیائی ایڈونٹزم کی تیسری نسل میں داخل کیا گیا، نبیہ کی وفات کے سولہ سال بعد۔ وہ “جھوٹ” جو تیسری نسل میں آیا، نبوتی طور پر اُس زمانہ میں واقع ہے جس کی نمائندگی “عورتوں کا تموز پر رونا” کے طور پر کی گئی ہے، اور اس لیے وہ جھوٹی آخری بارش کے پیغام سے وابستہ ہے۔</w:t>
      </w:r>
    </w:p>
    <w:p>
      <w:pPr>
        <w:pStyle w:val="ArticleBody"/>
        <w:jc w:val="left"/>
      </w:pPr>
      <w:r>
        <w:rPr>
          <w:rFonts w:ascii="Times New Roman" w:hAnsi="Times New Roman" w:eastAsia="Times New Roman" w:cs="Times New Roman"/>
        </w:rPr>
        <w:t>“suutii” akkamitti babal’ifame hubatamuu qaba; akkasumas gaheen raajii “suutii” sanaa raajii yeroo dhuma keessatti maal akka ta’e hubatamuu qaba. Namoonni qoosaa Yerusaalem bulchan yeroo rooba boodaa keessatti, jechuunis yeroo kuma dhibba tokkoo fi afurtamii afur mallatteeffamu keessatti, dhaloota sadaffaa Adveentizimii keessatti ergaa rooba boodaa sobaa uuman; kunis akka “dubartoonni Taammuuzif boo’anitti” Hisqi’el boqonnaa saddeet keessatti bakka bu’ameera. Ergaan isaanii sobaan rooba boodaa kunis Hisqi’eliin hundee sobaa, dallaa eegumsaa sobaa, fi ergaa “nagaa fi tasgabbii” sobaa ta’ee bakka bu’ameera.</w:t>
      </w:r>
    </w:p>
    <w:p>
      <w:pPr>
        <w:pStyle w:val="ArticleScripture"/>
        <w:jc w:val="left"/>
      </w:pPr>
      <w:r>
        <w:rPr>
          <w:rFonts w:ascii="Times New Roman" w:hAnsi="Times New Roman" w:eastAsia="Times New Roman" w:cs="Times New Roman"/>
        </w:rPr>
        <w:t>Ndzi mi kombisile xivono xa hava, naswona a mi vulavulanga ku bvumba ka mavunwa, kasi mi ri, HOSI Xikwembu xi vule swona; hambileswi mina ndzi nga vulavulangiki xana? Hikokwalaho HOSI N’wini wa hinkwaswo u vula leswi: Leswi mi vulavuleke hava, naswona mi vone mavunwa, hikwalaho, vonani, ndzi lwisana na n’wina, ku vula HOSI N’wini wa hinkwaswo. Kutani voko ra mina ri ta va ehenhla ka vaprofeta lava vonaka hava, ni lava bvumbhaka mavunwa; a va nge vi enhlengeletanweni ya vanhu va mina, naswona a va nge tsariwi etsalweni ra yindlu ya Israele, naswona a va nge ngheni etikweni ra Israele; kutani mi ta tiva leswaku hi mina HOSI N’wini wa hinkwaswo. Hikuva, ina, hikuva va xisile vanhu va mina, va ku: Ku rhula; kasi a ku ri na ku rhula; kutani un’wana a aka rirhangu, naswona, waswivo, van’wana va ri tota hi misava leyi nga si pimiwaka: Byela lava va ri totaka hi misava leyi nga si pimiwaka leswaku ri ta wa: ku ta va ni mpfula leyi halakelaka ngopfu; naswona n’wina, wena maribye lamakulu ya xihangu, mi ta wa; kutani mheho ya xidzedze yi ta ri handzula. Waswivo, loko rirhangu ri wile, xana a ku nge vuriwi eka n’wina, ku te, Yi kwihi misava leyi mi ri toteke ha yona? Hikokwalaho HOSI N’wini wa hinkwaswo u vula leswi: Ndzi ta ri handzula hi mheho ya xidzedze eku kariheni ka mina; naswona ku ta va ni mpfula leyi halakelaka ngopfu eku kariheni ka mina, ni maribye lamakulu ya xihangu eku kariheni ka mina ku ri lovisa. Kutani ndzi ta hirimuxa rirhangu leri mi ri toteke hi misava leyi nga si pimiwaka, ndzi ri wisela emisaveni, lerova masungulo ya rona ma ta paluxiwa, kutani ri ta wa, naswona mi ta lovisiwa exikarhi ka rona; kutani mi ta tiva leswaku hi mina HOSI. Xisweswo ndzi ta hetisisa vukarhi bya mina ehenhla ka rirhangu, ni le henhla ka lava va ri toteke hi misava leyi nga si pimiwaka, kutani ndzi ta ku eka n’wina: Rirhangu a ra ha ri kona, ni lava va ri toteke a va ha ri kona; leswi nga swona, vaprofeta va Israele lava profetaka hi Yerusalema, ni lava vonaka swivono swa ku rhula hikwalaho ka rona, kasi a ku ri na ku rhula, ku vula HOSI N’wini wa hinkwaswo. Ezekiel 13:7–16.</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अट्ठाईस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उमड़ती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Ukugweba futhi ngiyakubeka ngentambo yokukala, nokulunga ngentambo yokumisa; isichotho siyakukhukhula isiphephelo samanga, namanzi agcwalise indawo yokucasha. Nesivumelwano senu nokufa siyakuchithwa, nesivumelwano senu nesihogo asiyikuma; lapho isibhaxu esikhukhulayo sidlula, khona niyakunyathelwa phansi yiso. U-Isaya 28:17, 18.</w:t>
      </w:r>
    </w:p>
    <w:p>
      <w:pPr>
        <w:pStyle w:val="ArticleBody"/>
        <w:jc w:val="left"/>
      </w:pP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ᎢᎦᏍᎩ</w:t>
      </w:r>
      <w:r>
        <w:rPr>
          <w:rFonts w:ascii="Times New Roman" w:hAnsi="Times New Roman" w:eastAsia="Times New Roman" w:cs="Times New Roman"/>
        </w:rPr>
        <w:t xml:space="preserve">” </w:t>
      </w:r>
      <w:r>
        <w:rPr>
          <w:rFonts w:ascii="Gadugi" w:hAnsi="Gadugi" w:eastAsia="Gadugi" w:cs="Gadugi"/>
        </w:rPr>
        <w:t>ᎢᏏᎩᏯ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ᎤᎶᏐᏅ</w:t>
      </w:r>
      <w:r>
        <w:rPr>
          <w:rFonts w:ascii="Times New Roman" w:hAnsi="Times New Roman" w:eastAsia="Times New Roman" w:cs="Times New Roman"/>
        </w:rPr>
        <w:t xml:space="preserve">” </w:t>
      </w:r>
      <w:r>
        <w:rPr>
          <w:rFonts w:ascii="Gadugi" w:hAnsi="Gadugi" w:eastAsia="Gadugi" w:cs="Gadugi"/>
        </w:rPr>
        <w:t>ᎤᏰᎵᏎᎭ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ᎤᏂᎷᏤᎲ</w:t>
      </w:r>
      <w:r>
        <w:rPr>
          <w:rFonts w:ascii="Times New Roman" w:hAnsi="Times New Roman" w:eastAsia="Times New Roman" w:cs="Times New Roman"/>
        </w:rPr>
        <w:t xml:space="preserve"> </w:t>
      </w:r>
      <w:r>
        <w:rPr>
          <w:rFonts w:ascii="Gadugi" w:hAnsi="Gadugi" w:eastAsia="Gadugi" w:cs="Gadugi"/>
        </w:rPr>
        <w:t>ᎬᏩᏃᎮᎸ</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ᎤᏂᏬᏂᏍᎬ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ᎦᎶᏄᎮᏍᏗ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ᎤᏕᏲᏟ</w:t>
      </w:r>
      <w:r>
        <w:rPr>
          <w:rFonts w:ascii="Times New Roman" w:hAnsi="Times New Roman" w:eastAsia="Times New Roman" w:cs="Times New Roman"/>
        </w:rPr>
        <w:t xml:space="preserve"> </w:t>
      </w:r>
      <w:r>
        <w:rPr>
          <w:rFonts w:ascii="Gadugi" w:hAnsi="Gadugi" w:eastAsia="Gadugi" w:cs="Gadugi"/>
        </w:rPr>
        <w:t>ᏫᏥᎪᎲ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ᎤᏂᏪᏎᎲ</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ᎯᏪᏎᎭ</w:t>
      </w:r>
      <w:r>
        <w:rPr>
          <w:rFonts w:ascii="Times New Roman" w:hAnsi="Times New Roman" w:eastAsia="Times New Roman" w:cs="Times New Roman"/>
        </w:rPr>
        <w:t>,” “</w:t>
      </w:r>
      <w:r>
        <w:rPr>
          <w:rFonts w:ascii="Gadugi" w:hAnsi="Gadugi" w:eastAsia="Gadugi" w:cs="Gadugi"/>
        </w:rPr>
        <w:t>ᎤᏠᏱᏉ</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ᏱᎦᏬᏂᏍᎬᎢ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ᎦᎶᏄᎮᏍᏗ</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ᎤᎾᏢᏍᏔᏅ</w:t>
      </w:r>
      <w:r>
        <w:rPr>
          <w:rFonts w:ascii="Times New Roman" w:hAnsi="Times New Roman" w:eastAsia="Times New Roman" w:cs="Times New Roman"/>
        </w:rPr>
        <w:t xml:space="preserve"> </w:t>
      </w:r>
      <w:r>
        <w:rPr>
          <w:rFonts w:ascii="Gadugi" w:hAnsi="Gadugi" w:eastAsia="Gadugi" w:cs="Gadugi"/>
        </w:rPr>
        <w:t>ᎠᏍᏓᏱᏗᏍᎬ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ᎤᏂᎦᏛᏅ</w:t>
      </w:r>
      <w:r>
        <w:rPr>
          <w:rFonts w:ascii="Times New Roman" w:hAnsi="Times New Roman" w:eastAsia="Times New Roman" w:cs="Times New Roman"/>
        </w:rPr>
        <w:t xml:space="preserve"> </w:t>
      </w:r>
      <w:r>
        <w:rPr>
          <w:rFonts w:ascii="Gadugi" w:hAnsi="Gadugi" w:eastAsia="Gadugi" w:cs="Gadugi"/>
        </w:rPr>
        <w:t>ᎤᏂᏪᏎᎸ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ᎦᎶᏄᎮᏍᏗ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ᎠᏥᏃᎮᎸ</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ᎤᏂᏙᎴᎰᏒ</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ᎤᏓᏅᏙᎬᎯ</w:t>
      </w:r>
      <w:r>
        <w:rPr>
          <w:rFonts w:ascii="Times New Roman" w:hAnsi="Times New Roman" w:eastAsia="Times New Roman" w:cs="Times New Roman"/>
        </w:rPr>
        <w:t xml:space="preserve"> </w:t>
      </w:r>
      <w:r>
        <w:rPr>
          <w:rFonts w:ascii="Gadugi" w:hAnsi="Gadugi" w:eastAsia="Gadugi" w:cs="Gadugi"/>
        </w:rPr>
        <w:t>ᎤᏂᏤᎵᎦ</w:t>
      </w:r>
      <w:r>
        <w:rPr>
          <w:rFonts w:ascii="Times New Roman" w:hAnsi="Times New Roman" w:eastAsia="Times New Roman" w:cs="Times New Roman"/>
        </w:rPr>
        <w:t xml:space="preserve"> </w:t>
      </w:r>
      <w:r>
        <w:rPr>
          <w:rFonts w:ascii="Gadugi" w:hAnsi="Gadugi" w:eastAsia="Gadugi" w:cs="Gadugi"/>
        </w:rPr>
        <w:t>ᎤᏓᏱᎸᏗ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ᎠᏓᏕᎶᏆᏍᏗᏱ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ᎤᎵᏰᎢᎵᏓ</w:t>
      </w:r>
      <w:r>
        <w:rPr>
          <w:rFonts w:ascii="Times New Roman" w:hAnsi="Times New Roman" w:eastAsia="Times New Roman" w:cs="Times New Roman"/>
        </w:rPr>
        <w:t xml:space="preserve"> </w:t>
      </w:r>
      <w:r>
        <w:rPr>
          <w:rFonts w:ascii="Gadugi" w:hAnsi="Gadugi" w:eastAsia="Gadugi" w:cs="Gadugi"/>
        </w:rPr>
        <w:t>ᎤᏂᏪᏎᎸ</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ᎠᏰᎸᏗ</w:t>
      </w:r>
      <w:r>
        <w:rPr>
          <w:rFonts w:ascii="Times New Roman" w:hAnsi="Times New Roman" w:eastAsia="Times New Roman" w:cs="Times New Roman"/>
        </w:rPr>
        <w:t xml:space="preserve"> </w:t>
      </w:r>
      <w:r>
        <w:rPr>
          <w:rFonts w:ascii="Gadugi" w:hAnsi="Gadugi" w:eastAsia="Gadugi" w:cs="Gadugi"/>
        </w:rPr>
        <w:t>ᏗᎬᏩᏓᎴᎢᏍᏗ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ᎦᏛᎾᏍᏗ</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ᎠᏓᏅᏖᏗ</w:t>
      </w:r>
      <w:r>
        <w:rPr>
          <w:rFonts w:ascii="Times New Roman" w:hAnsi="Times New Roman" w:eastAsia="Times New Roman" w:cs="Times New Roman"/>
        </w:rPr>
        <w:t xml:space="preserve"> </w:t>
      </w:r>
      <w:r>
        <w:rPr>
          <w:rFonts w:ascii="Gadugi" w:hAnsi="Gadugi" w:eastAsia="Gadugi" w:cs="Gadugi"/>
        </w:rPr>
        <w:t>ᎠᏂᏮᏙᏗ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“ᴌᴏ” ᴛᴀ ᴀsᴀᴏʟ ᴀ 1931, ᴀ ʟᴏᴠᴀᴍ ᴀ ᴏʜ Sister White ᴀɴᴀ ʀᴇɪsᴀ ᴍᴀʟᴀ ᴅᴏʟᴏɴ ɢᴀ “the daily,” ᴅᴀɴ ɢɪᴛᴀʟ ᴍᴏ Daniel. ᴅᴏʟᴏɴ ɢᴀ “the daily,” ᴀɴᴀ ʙᴇʀᴛɪ ᴍɪɴɪsᴛʀɪ ᴛᴜᴍᴘᴇʀᴀɴᴏ Christ, ᴀɴᴀ ᴅᴀsᴀʀɪ ᴀ “lie” ᴅᴀ ʟᴏᴠᴀᴍ ᴀ ᴏʜ ᴅᴀɴ 1910, Ellen White ᴀɴᴀ ʙᴇʀɪ ᴛᴀʜᴜ A. G. Daniells ᴀ ᴏʜ ᴠɪᴇᴡ ɴᴇᴍᴇ ᴅᴀɴ Prescott ɢᴀ “the daily,” ᴀɴᴀ ʙᴇʀᴛɪ ᴍɪɴɪsᴛʀɪ ᴛᴜᴍᴘᴇʀᴀɴᴏ Christ ᴀᴋᴛᴜᴀʟɴᴀ ᴍᴇᴍᴀɴɢ ʙᴇɴᴀʀ, ᴍᴀsᴋɪᴘᴜɴ ᴀᴅᴀ ᴋᴀᴛᴀ-ᴋᴀᴛᴀɴ ᴛᴜʟɪsᴀɴ ʟᴀɴɢsᴜɴɢ ᴅᴀʀɪ ᴏʜ sᴇɴᴅɪʀɪ ᴅᴀ ʙᴇʀᴛᴏʟᴀᴋ ʙᴇʟᴀᴋᴀɴɢ.</w:t>
      </w:r>
    </w:p>
    <w:p>
      <w:pPr>
        <w:pStyle w:val="ArticleBody"/>
        <w:jc w:val="left"/>
      </w:pPr>
      <w:r>
        <w:rPr>
          <w:rFonts w:ascii="Times New Roman" w:hAnsi="Times New Roman" w:eastAsia="Times New Roman" w:cs="Times New Roman"/>
        </w:rPr>
        <w:t>«құрбандық» туралы сол кезде (1931 жылы) Лаодикеялық адвентизм ішінде орнықтырылған жалған көзқарас Езекиел сипаттайтын «тыныштық пен қауіпсіздік» хабарын құруға пайдаланылған теологиялық іргетасқа айналды. Сол жалған іргетасты қолдау үшін қолданылған әртүрлі дәлелдер Миллер өз түсінде көрген жалған теңгелер мен асыл тастар болып табылады. Түсінің соңына қарай оның бастапқы асыл тастары түгелдей жалғандармен және қоқыспен жабылып қалады, ал қоқыс пен жалған асыл тастар және теңгелер «құрбандық» Мәсіхтің киелі үйдегі қызметін білдіреді деген олардың іргелі қателігіне негізделген хабарды бейнелейді.</w:t>
      </w:r>
    </w:p>
    <w:p>
      <w:pPr>
        <w:pStyle w:val="ArticleBody"/>
        <w:jc w:val="left"/>
      </w:pPr>
      <w:r>
        <w:rPr>
          <w:rFonts w:ascii="Times New Roman" w:hAnsi="Times New Roman" w:eastAsia="Times New Roman" w:cs="Times New Roman"/>
        </w:rPr>
        <w:t>Ndimek pa Ezikieli, zinyalala ndi miyala yamtengo wapatali yachinyengo zayimiridwa ngati “khoma” limene lamangidwa ndi matope olumikizira ofooka kwambiri moti silingathe kuyima pansi pa kupsyinjika kwa “mphepo yamkuntho” kapena “mvula yotsanulidwa.”</w:t>
      </w:r>
    </w:p>
    <w:p>
      <w:pPr>
        <w:pStyle w:val="ArticleBody"/>
        <w:jc w:val="left"/>
      </w:pPr>
      <w:r>
        <w:rPr>
          <w:rFonts w:ascii="Times New Roman" w:hAnsi="Times New Roman" w:eastAsia="Times New Roman" w:cs="Times New Roman"/>
        </w:rPr>
        <w:t>یەھۇدادىن كەلگەن، يارۇبعامنى ئەيىبلәгән ئىتائەتسىز نەبى ئاخىرىدا بىر «ئېشەك» بىلەن بىر «شىر»نىڭ ئارىسىدا ئۆلدى. شىر بابىلنى بىلدۈرىدۇ، ئېشەك بولسا ئىسلامنى بىلدۈرىدۇ. لاۋدىكىيىدىكى ئادوېنتىزم كۆرەلمەيدىغان، ئىتائەتسىز نەبىنڭ ئۆلۈمى ئارقىلىق تەمثىل قىلىنغان بۇ ئىككى تەلىم—پاپالىقنىڭ خەۋىرى (شىر) ۋە ئۈچىنچى ۋاينىڭ ئىسلام خەۋىرىدۇر (ئېشەك).</w:t>
      </w:r>
    </w:p>
    <w:p>
      <w:pPr>
        <w:pStyle w:val="ArticleBody"/>
        <w:jc w:val="left"/>
      </w:pPr>
      <w:r>
        <w:rPr>
          <w:rFonts w:ascii="Times New Roman" w:hAnsi="Times New Roman" w:eastAsia="Times New Roman" w:cs="Times New Roman"/>
        </w:rPr>
        <w:t>“</w:t>
      </w:r>
      <w:r>
        <w:rPr>
          <w:rFonts w:ascii="Ebrima" w:hAnsi="Ebrima" w:eastAsia="Ebrima" w:cs="Ebrima"/>
        </w:rPr>
        <w:t>ማዕበላዊ</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የተባለው</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በኢሳይያስ</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በምሥራቅ</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w:t>
      </w:r>
      <w:r>
        <w:rPr>
          <w:rFonts w:ascii="Ebrima" w:hAnsi="Ebrima" w:eastAsia="Ebrima" w:cs="Ebrima"/>
        </w:rPr>
        <w:t>የሚቆም</w:t>
      </w:r>
      <w:r>
        <w:rPr>
          <w:rFonts w:ascii="Times New Roman" w:hAnsi="Times New Roman" w:eastAsia="Times New Roman" w:cs="Times New Roman"/>
        </w:rPr>
        <w:t xml:space="preserve"> </w:t>
      </w:r>
      <w:r>
        <w:rPr>
          <w:rFonts w:ascii="Ebrima" w:hAnsi="Ebrima" w:eastAsia="Ebrima" w:cs="Ebrima"/>
        </w:rPr>
        <w:t>ኃይለኛ</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የተገለጸው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ማዕበላዊ</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ባሪያዎች</w:t>
      </w:r>
      <w:r>
        <w:rPr>
          <w:rFonts w:ascii="Times New Roman" w:hAnsi="Times New Roman" w:eastAsia="Times New Roman" w:cs="Times New Roman"/>
        </w:rPr>
        <w:t xml:space="preserve"> </w:t>
      </w:r>
      <w:r>
        <w:rPr>
          <w:rFonts w:ascii="Ebrima" w:hAnsi="Ebrima" w:eastAsia="Ebrima" w:cs="Ebrima"/>
        </w:rPr>
        <w:t>እስኪታተሙ</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የተያዙት</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ማዕበላዊ</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ሰላሳ</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የሚመጣ</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የሞቱትን</w:t>
      </w:r>
      <w:r>
        <w:rPr>
          <w:rFonts w:ascii="Times New Roman" w:hAnsi="Times New Roman" w:eastAsia="Times New Roman" w:cs="Times New Roman"/>
        </w:rPr>
        <w:t xml:space="preserve"> </w:t>
      </w:r>
      <w:r>
        <w:rPr>
          <w:rFonts w:ascii="Ebrima" w:hAnsi="Ebrima" w:eastAsia="Ebrima" w:cs="Ebrima"/>
        </w:rPr>
        <w:t>ደረቅ</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ኃያል</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ባልተቀመመ</w:t>
      </w:r>
      <w:r>
        <w:rPr>
          <w:rFonts w:ascii="Times New Roman" w:hAnsi="Times New Roman" w:eastAsia="Times New Roman" w:cs="Times New Roman"/>
        </w:rPr>
        <w:t xml:space="preserve"> </w:t>
      </w:r>
      <w:r>
        <w:rPr>
          <w:rFonts w:ascii="Ebrima" w:hAnsi="Ebrima" w:eastAsia="Ebrima" w:cs="Ebrima"/>
        </w:rPr>
        <w:t>ጭቃ</w:t>
      </w:r>
      <w:r>
        <w:rPr>
          <w:rFonts w:ascii="Times New Roman" w:hAnsi="Times New Roman" w:eastAsia="Times New Roman" w:cs="Times New Roman"/>
        </w:rPr>
        <w:t xml:space="preserve"> </w:t>
      </w:r>
      <w:r>
        <w:rPr>
          <w:rFonts w:ascii="Ebrima" w:hAnsi="Ebrima" w:eastAsia="Ebrima" w:cs="Ebrima"/>
        </w:rPr>
        <w:t>የተሠራውን</w:t>
      </w:r>
      <w:r>
        <w:rPr>
          <w:rFonts w:ascii="Times New Roman" w:hAnsi="Times New Roman" w:eastAsia="Times New Roman" w:cs="Times New Roman"/>
        </w:rPr>
        <w:t xml:space="preserve"> </w:t>
      </w:r>
      <w:r>
        <w:rPr>
          <w:rFonts w:ascii="Ebrima" w:hAnsi="Ebrima" w:eastAsia="Ebrima" w:cs="Ebrima"/>
        </w:rPr>
        <w:t>ቅጥር</w:t>
      </w:r>
      <w:r>
        <w:rPr>
          <w:rFonts w:ascii="Times New Roman" w:hAnsi="Times New Roman" w:eastAsia="Times New Roman" w:cs="Times New Roman"/>
        </w:rPr>
        <w:t xml:space="preserve">” </w:t>
      </w:r>
      <w:r>
        <w:rPr>
          <w:rFonts w:ascii="Ebrima" w:hAnsi="Ebrima" w:eastAsia="Ebrima" w:cs="Ebrima"/>
        </w:rPr>
        <w:t>የሚያፈርሰው</w:t>
      </w:r>
      <w:r>
        <w:rPr>
          <w:rFonts w:ascii="Times New Roman" w:hAnsi="Times New Roman" w:eastAsia="Times New Roman" w:cs="Times New Roman"/>
        </w:rPr>
        <w:t xml:space="preserve"> </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ማዕበላዊ</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Nirmala UI" w:hAnsi="Nirmala UI" w:eastAsia="Nirmala UI" w:cs="Nirmala UI"/>
        </w:rPr>
        <w:t>हा</w:t>
      </w:r>
      <w:r>
        <w:rPr>
          <w:rFonts w:ascii="Times New Roman" w:hAnsi="Times New Roman" w:eastAsia="Times New Roman" w:cs="Times New Roman"/>
        </w:rPr>
        <w:t xml:space="preserve"> זה יחזקאל של „גשם שוטף” הוא סמל לאפיפיורות, ובאופן ממוקד יותר הוא סמל לתקופת משבר חוק יום ראשון, המתחילה בחוק יום הראשון העתיד לבוא בקרוב בארצות הברית. הנביא הבלתי־צייתן מיהודה, שמת בין החמור ובין האריה, ייצג את מותה של אדוונטיסטיות לאודיקיאנית, המתרחש בין 11 בספטמבר 2001, בעת בוא החמור (הוי השלישי), ובין חוק יום הראשון העתיד לבוא בקרוב (האריה). מותה של אדוונטיסטיות לאודיקיאנית מתרחש במהלך חתימתם של המאה וארבעים וארבעת האלף, שהחלה כאשר הגויים קצפו, אך רוסנו, ב־11 בספטמבר 2001, ומסתיימת בחוק יום הראשון העתיד לבוא בקרוב. מותם, כפי שמודגם על ידי הנביא הבלתי־צייתן, נגרם משום ששבו אל המתודולוגיה של הפרוטסטנטיות הכופרת, אף כי נמסר להם במישרין שלעולם לא ישובו אל „קהל הלצים”.</w:t>
      </w:r>
    </w:p>
    <w:p>
      <w:pPr>
        <w:pStyle w:val="ArticleBody"/>
        <w:jc w:val="left"/>
      </w:pPr>
      <w:r>
        <w:rPr>
          <w:rFonts w:ascii="Times New Roman" w:hAnsi="Times New Roman" w:eastAsia="Times New Roman" w:cs="Times New Roman"/>
        </w:rPr>
        <w:t>Muerteyej oiko peteî siglo siglo rembiasakue-pe oñembotyha ciento cuarenta y cuatro mil rehegua. Upe vove Ñandejára retãygua oñemboty rire, umi ánhel ombyai hag̃uáva oñepyrũ hembiapo. 11 jasyporundy ary 2001 guive pe léi domingo pyaʼe hag̃uápe peve, umi oikovéva juicio oñemboguata Ñandejára iglésia-pe, pórke pe juicio oñepyrũ Jerusalén-pe, ha oñepyrũ umi kuimbaʼe yma guare rehe, haʼéva vaʼekue tavaygua ñangarekoha, péro ohejávaʼekue iresponsavilida irundy generación pukukue. Umi ohupytýva pe sello upe período-pe haʼe hína pe poyvi oñemopuʼãva tetã nguéra renondépe. Haʼekuéra oñemboty pe léi domingo pyaʼe hag̃uáva mboyve, pórke Ñandejára ambue ovecha aty ikatu hag̃uáicha oñeavisa, peteĩ tape añoite oĩ: ohecha kuimbaʼe ha kuña kuérape pe léi domingo apañuãi jave, oguerekóva Ñandejára sello.</w:t>
      </w:r>
    </w:p>
    <w:p>
      <w:pPr>
        <w:pStyle w:val="ArticleScripture"/>
        <w:jc w:val="left"/>
      </w:pPr>
      <w:r>
        <w:rPr>
          <w:rFonts w:ascii="Times New Roman" w:hAnsi="Times New Roman" w:eastAsia="Times New Roman" w:cs="Times New Roman"/>
        </w:rPr>
        <w:t>“Wakumbhira kwa Mzimu Mutheru ni gukinagira thĩ yothe ũhoro wa mehia, wa ũthingu, na wa kĩhĩĩrĩro. Thĩ ndĩngĩhota kũhũrĩrwo no na kuona arĩa mekĩririe ũhoro wa ma gucagĩrĩrio nĩ ũhoro ũcio wa ma, makĩrutaga ma wĩra rĩĩtwa nĩ mĩtugo mĩnene na mĩtheru, makĩonania na ũnene na na igũrũ mũno mũgĩkũyũ mũtaratara wa gũtandĩkanĩrwo gatagatĩ ka arĩa magĩkĩrĩra marĩathani ma Ngai, na arĩa mamathũkũmagĩra na mahĩtithagia nĩ magũrũ mao. Gũtherio nĩ Mzimu nĩgũkĩrĩrĩria ngwataniro-inĩ gatagatĩ ka arĩa marĩ na mũhuri wa Ngai, na arĩa mekĩrĩra mũthenya wa kĩhũthĩriro wa maheeni. Rĩrĩa kĩgerio gĩgooka, nĩkũrĩkanio biũ atĩ rũũri rwa nyamũ nĩ kĩ. Nĩ gũkĩrĩra Dominika. Arĩa, thuutha wa gũigua ũhoro wa ma, magĩthiĩ mbere gũtĩĩra mũthenya ũcio ta mũtheru, nĩmecaraga mũhianĩro wa mũndũ ũrĩa wa mehia, we waciririe gũcenjia ibihe na marĩathani.” Bible Training School, December 1, 1903.</w:t>
      </w:r>
    </w:p>
    <w:p>
      <w:pPr>
        <w:pStyle w:val="ArticleBody"/>
        <w:jc w:val="left"/>
      </w:pPr>
      <w:r>
        <w:rPr>
          <w:rFonts w:ascii="Times New Roman" w:hAnsi="Times New Roman" w:eastAsia="Times New Roman" w:cs="Times New Roman"/>
        </w:rPr>
        <w:t>Kayamti ti Laodicean a Adventismo ket matungpal iti panawen ti pakasaritaan ti udan ti maudi, nga inrugina ti agsarsarabo idi Septiembre 11, 2001, ket maibukbok nga awan patinggana iti asideg a panawen ti linteg ti Domingo, inton naipasdek ti Dios ken kalpasanna ket itag-ayna a kas maysa nga ensenya maysa a tattao a naseselyoan nga agnanayon.</w:t>
      </w:r>
    </w:p>
    <w:p>
      <w:pPr>
        <w:pStyle w:val="ArticleBody"/>
        <w:jc w:val="left"/>
      </w:pPr>
      <w:r>
        <w:rPr>
          <w:rFonts w:ascii="Times New Roman" w:hAnsi="Times New Roman" w:eastAsia="Times New Roman" w:cs="Times New Roman"/>
        </w:rPr>
        <w:t>En aquel período de tiempo, aquellos en el adventismo laodicense que se están preparando para recibir la marca de la bestia, y la recibirán, están representados por los veinticinco hombres que se postran ante el sol en Ezequiel capítulo ocho. Ellos son los que han aceptado el falso mensaje de “paz y seguridad” de Ezequiel, el cual representa una falsificación del verdadero mensaje de la lluvia tardía que está siendo proclamado por los verdaderos atalayas en esa historia. El fundamento de ese falso mensaje de la lluvia tardía es la identificación de que “el continuo” en el libro de Daniel es un símbolo de Cristo, cuando en realidad es un símbolo de Satanás. Esa falsa creencia fundamental es la doctrina que los “hombres escarnecedores que gobiernan a este pueblo que está en Jerusalén” emplean para erigir su muro recubierto con argamasa suelta.</w:t>
      </w:r>
    </w:p>
    <w:p>
      <w:pPr>
        <w:pStyle w:val="ArticleBody"/>
        <w:jc w:val="left"/>
      </w:pPr>
      <w:r>
        <w:rPr>
          <w:rFonts w:ascii="Times New Roman" w:hAnsi="Times New Roman" w:eastAsia="Times New Roman" w:cs="Times New Roman"/>
        </w:rPr>
        <w:t>La identificación de «el continuo» como símbolo de Cristo fue establecida históricamente por una «mentira», en 1931. Desde entonces en adelante se erigió la pared no recubierta de monedas y joyas falsificadas. Esa «pared» está destinada a caer cuando llegue el hombre del cepillo de tierra para purgar a fondo su era. Esa purificación se lleva a cabo en el período profético de la historia comprendido entre el «viento tempestuoso» (el asno del 11 de septiembre de 2001) y los «aguaceros desbordantes» (el león de la ley dominical que pronto ha de venir). En esa historia el profeta desobediente es muerto y sepultado en la tumba del falso profeta de Betel. La hermana White identifica la «pared» de la profecía como la ley de Dios.</w:t>
      </w:r>
    </w:p>
    <w:p>
      <w:pPr>
        <w:pStyle w:val="ArticleScripture"/>
        <w:jc w:val="left"/>
      </w:pPr>
      <w:r>
        <w:rPr>
          <w:rFonts w:ascii="Times New Roman" w:hAnsi="Times New Roman" w:eastAsia="Times New Roman" w:cs="Times New Roman"/>
        </w:rPr>
        <w:t>«نَبِيُّ هُنَا يَصِفُ شَعْبًا يَسْعَى، فِي زَمَنِ ارْتِدَادٍ عَامٍّ عَنِ الْحَقِّ وَالْبِرِّ، إِلَى إِعَادَةِ الْمَبَادِئِ الَّتِي هِيَ أَسَاسُ مَلَكُوتِ اللهِ. إِنَّهُمْ مُرَمِّمُو الثَّغْرَةِ الَّتِي أُحْدِثَتْ فِي شَرِيعَةِ اللهِ—ذَلِكَ السُّورُ الَّذِي أَقَامَهُ حَوْلَ مُخْتَارِيهِ لِحِمَايَتِهِمْ، وَالَّذِي تَكُونُ طَاعَتُهُمْ لِوَصَايَاهُ فِي الْعَدْلِ وَالْحَقِّ وَالطَّهَارَةِ حِرْزَهُمُ الدَّائِمَ.»</w:t>
      </w:r>
    </w:p>
    <w:p>
      <w:pPr>
        <w:pStyle w:val="ArticleScripture"/>
        <w:jc w:val="left"/>
      </w:pPr>
      <w:r>
        <w:rPr>
          <w:rFonts w:ascii="Times New Roman" w:hAnsi="Times New Roman" w:eastAsia="Times New Roman" w:cs="Times New Roman"/>
        </w:rPr>
        <w:t>"Ma'na'i aniq wa malawahulushnî, an-nabî yushîr ilâ al-'amal al-khâshsh bi-hâdhâ as-sha'b al-bâqî alladhî yabnî al-jidâr. «In raja'ta rijlaka 'ani as-sabt, 'an fi'li masarratika fî yawmî al-muqaddas; wa da'awta as-sabt ladhdha, muqaddas ar-Rabb, mukarraman; wa akramtahu, ghayra sâlikin turuqaka, wa lâ tâliban masarrataka, wa lâ mutakalliman bi-kalimâtika anta: fahin'idhin taltadhdhu bir-Rabb; wa uja''iluka tarkabu 'alâ murtafa'ât al-ard, wa uṭ'imuka mîrâtha Ya'qûb abîka; li'anna fam ar-Rabb takallama bihi.» Ish'iyâ' 58:13, 14." Al-Anbiyâ' wa al-Mulûk, 678.</w:t>
      </w:r>
    </w:p>
    <w:p>
      <w:pPr>
        <w:pStyle w:val="ArticleBody"/>
        <w:jc w:val="left"/>
      </w:pPr>
      <w:r>
        <w:rPr>
          <w:rFonts w:ascii="Times New Roman" w:hAnsi="Times New Roman" w:eastAsia="Times New Roman" w:cs="Times New Roman"/>
        </w:rPr>
        <w:t>ئەدوێنتیزمە نەوەی چوارەم بە بڵاوکردنەوەی کتێبێک دەست پێ دەکات، وەک چۆن دەستپێکی نەوەی سێیەمیش بە بڵاوکردنەوەی کتێبێک بوو. نەوەی سێیەم بە بڵاوکردنەوەی کتێبی W. W. Prescott، The Doctrine of Christ، دەستی پێ کرد، و ئەو نەوەیە بە بڵاوکردنەوەی Questions on Doctrine کۆتایی هات. The Doctrine of Christ ئینجیلێکی پێشکەش کرد کە بە ئەنقەست لە پەیامی پێغەمبەرانەی میللەری بێ‌بەش کرابوو. Questions on Doctrine ئینجیلێکی پێشکەش کرد کە کاری پیرۆزکردنەوەی ئەوەی مەسیح ئەنجامی دەدات، نکۆڵی لێ دەکرد. The Doctrine of Christ ڕووناکی دیدگای (chazon) ـی مێژووی پێغەمبەرانەی لابرد، و Questions on Doctrine ڕووناکی دیدگای (Mareh) ـی «دەرکەوتنی» مەسیحی لابرد.</w:t>
      </w:r>
    </w:p>
    <w:p>
      <w:pPr>
        <w:pStyle w:val="ArticleBody"/>
        <w:jc w:val="left"/>
      </w:pPr>
      <w:r>
        <w:rPr>
          <w:rFonts w:ascii="Times New Roman" w:hAnsi="Times New Roman" w:eastAsia="Times New Roman" w:cs="Times New Roman"/>
        </w:rPr>
        <w:t>Ол икки китапниң арисида, “Таммуз үчүн жиғлаватқан аяллар” арқилиқ ипадиләнгән ялған кейинки ямғур хәвири шәкилләндүрүлди. Шу тарихниң өзидә “1931-йилдики ялған” илгири сүрүлди. Шу үчинчи әвлат (йиргинчлик) Пергамос дегән үчинчи чиркавниң мурәссәси арқилиқму ипадилиниду. Үчинчи чиркавтики мурәссәниң бәлгүси, дунявий муассисиләрдин аккредитация издәш ишини көрситиду; у муассисиләр илаһийәт үчүн қаидиләрни вә тебабәт үчүн қаидиләрни бәлгиләйтти. Һәқиқәт билән болған мурәссә дәл шу үчинчи әвлатта әмәлгә ашурулди; бу, бузуқ қолязмилардин тәрҗимә қилинған Муқәддәс Китап нусхилирини киргүзүшни вә уларни тәкитләшни өз ичигә алиду.</w:t>
      </w:r>
    </w:p>
    <w:p>
      <w:pPr>
        <w:pStyle w:val="ArticleBody"/>
        <w:jc w:val="left"/>
      </w:pPr>
      <w:r>
        <w:rPr>
          <w:rFonts w:ascii="Nirmala UI" w:hAnsi="Nirmala UI" w:eastAsia="Nirmala UI" w:cs="Nirmala UI"/>
        </w:rPr>
        <w:t>१९५७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*Questions on Doctrine*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सुसमाचारको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सत्यप्रति</w:t>
      </w:r>
      <w:r>
        <w:rPr>
          <w:rFonts w:ascii="Times New Roman" w:hAnsi="Times New Roman" w:eastAsia="Times New Roman" w:cs="Times New Roman"/>
        </w:rPr>
        <w:t xml:space="preserve"> </w:t>
      </w:r>
      <w:r>
        <w:rPr>
          <w:rFonts w:ascii="Nirmala UI" w:hAnsi="Nirmala UI" w:eastAsia="Nirmala UI" w:cs="Nirmala UI"/>
        </w:rPr>
        <w:t>आत्मसमर्पण</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बचाउन</w:t>
      </w:r>
      <w:r>
        <w:rPr>
          <w:rFonts w:ascii="Times New Roman" w:hAnsi="Times New Roman" w:eastAsia="Times New Roman" w:cs="Times New Roman"/>
        </w:rPr>
        <w:t xml:space="preserve"> </w:t>
      </w:r>
      <w:r>
        <w:rPr>
          <w:rFonts w:ascii="Nirmala UI" w:hAnsi="Nirmala UI" w:eastAsia="Nirmala UI" w:cs="Nirmala UI"/>
        </w:rPr>
        <w:t>मर्नुभयो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बचाउन</w:t>
      </w:r>
      <w:r>
        <w:rPr>
          <w:rFonts w:ascii="Times New Roman" w:hAnsi="Times New Roman" w:eastAsia="Times New Roman" w:cs="Times New Roman"/>
        </w:rPr>
        <w:t xml:space="preserve"> </w:t>
      </w:r>
      <w:r>
        <w:rPr>
          <w:rFonts w:ascii="Nirmala UI" w:hAnsi="Nirmala UI" w:eastAsia="Nirmala UI" w:cs="Nirmala UI"/>
        </w:rPr>
        <w:t>मर्नुभएन।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वचनप्रति</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अनादिकालदेखिको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वचनप्रति</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शैतानले</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मर्दैनौ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पापमाथि</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आगमनमा</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चमत्कारिक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यन्त्रमानवहरूमा</w:t>
      </w:r>
      <w:r>
        <w:rPr>
          <w:rFonts w:ascii="Times New Roman" w:hAnsi="Times New Roman" w:eastAsia="Times New Roman" w:cs="Times New Roman"/>
        </w:rPr>
        <w:t xml:space="preserve"> </w:t>
      </w:r>
      <w:r>
        <w:rPr>
          <w:rFonts w:ascii="Nirmala UI" w:hAnsi="Nirmala UI" w:eastAsia="Nirmala UI" w:cs="Nirmala UI"/>
        </w:rPr>
        <w:t>रूपान्तरण</w:t>
      </w:r>
      <w:r>
        <w:rPr>
          <w:rFonts w:ascii="Times New Roman" w:hAnsi="Times New Roman" w:eastAsia="Times New Roman" w:cs="Times New Roman"/>
        </w:rPr>
        <w:t xml:space="preserve"> </w:t>
      </w:r>
      <w:r>
        <w:rPr>
          <w:rFonts w:ascii="Nirmala UI" w:hAnsi="Nirmala UI" w:eastAsia="Nirmala UI" w:cs="Nirmala UI"/>
        </w:rPr>
        <w:t>नगरुन्जेल</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व्यवस्थाप्रति</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सक्दैनन्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पतनग्रस्त</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दृष्टिकोणलाई</w:t>
      </w:r>
      <w:r>
        <w:rPr>
          <w:rFonts w:ascii="Times New Roman" w:hAnsi="Times New Roman" w:eastAsia="Times New Roman" w:cs="Times New Roman"/>
        </w:rPr>
        <w:t xml:space="preserve"> *Questions on Doctrine*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शिक्षाहरूमा</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गरियो।</w:t>
      </w:r>
    </w:p>
    <w:p>
      <w:pPr>
        <w:pStyle w:val="ArticleBody"/>
        <w:jc w:val="left"/>
      </w:pPr>
      <w:r>
        <w:rPr>
          <w:rFonts w:ascii="Times New Roman" w:hAnsi="Times New Roman" w:eastAsia="Times New Roman" w:cs="Times New Roman"/>
        </w:rPr>
        <w:t>Na 1957, the fourth generation of Laodicean Adventism began, and its wall not daubed with untempered mortar (law) had been established, thus providing the logic that will allow the twenty-five ancient men to bow to the sun at the conclusion of the time of the sealing of the one hundred and forty-four thousand. That wall not daubed with untempered mortar, which is the belief that keeping the law of God is impossible, is swept away when the “wall” of separation between Church and State is removed, at the soon-coming Sunday law. The Sunday law is the overflowing showers, or, as Isaiah expresses it, it is the overflowing scourge, and that flood begins at the soon-coming Sunday law in the United States.</w:t>
      </w:r>
    </w:p>
    <w:p>
      <w:pPr>
        <w:pStyle w:val="ArticleBody"/>
        <w:jc w:val="left"/>
      </w:pPr>
      <w:r>
        <w:rPr>
          <w:rFonts w:ascii="Times New Roman" w:hAnsi="Times New Roman" w:eastAsia="Times New Roman" w:cs="Times New Roman"/>
        </w:rPr>
        <w:t>Ka sundaik hrilh chuan ramzawng duh lohpa (Pope) chu “lui angin” (hremna luang liam) a lo lut ang; chutih hunah chuan “hriamzah” chu amah dodalna atan kaihchhuah a ni ang. Chutih hunah chuan “ni tin” tih hrilh fiahna dik lo chunga Laodikea Adventism-in a sak “kulhhnam tawrh lo” chu hruai bo a ni ang.</w:t>
      </w:r>
    </w:p>
    <w:p>
      <w:pPr>
        <w:pStyle w:val="ArticleScripture"/>
        <w:jc w:val="left"/>
      </w:pPr>
      <w:r>
        <w:rPr>
          <w:rFonts w:ascii="Times New Roman" w:hAnsi="Times New Roman" w:eastAsia="Times New Roman" w:cs="Times New Roman"/>
        </w:rPr>
        <w:t>Учинган ишларига яраша, шунга мувофиқ У қайтарур: рақибларига ғазаб, душманларига жазо; оролларга ҳам жазони қайтарур. Шунда улар ғарбдан Эгамизнинг номидан, қуёш чиқишидан эса Унинг улуғворлигидан қўрқурлар. Душман тошқиндек бостириб келганда, Эгамизнинг Рўҳи унга қарши байроқ кўтарур. Ва Наҷоткор Сионга келур, Ёқуб орасида гуноҳдан қайтганлар ҳузурига, — дейди Эгамиз. «Менга келсак, улар билан Менинг аҳдим шудир, — дейди Эгамиз: сенинг устингда бўлган Руҳим ва оғзингга солган сўзларим оғзингдан, наслинг оғзидан, наслинг насли оғзидан, — дейди Эгамиз, — бундан буён то абад кетмас». Тур, порла; чунки нuring келди, ва Эгамизнинг улуғворлиги сенинг устингга кўтарилди. Зеро, мана, ер юзини зулмат қоплар, халқларни эса қалин қоронғулик; лекин Эгамиз сенинг устингга кўтарилур, ва Унинг улуғворлиги сенинг устингда кўринар. Ва халқлар сенинг нурингга, шоҳлар эса сенинг чиқишингнинг ёрқинлигига келурлар. Ишаё 59:18–60:3.</w:t>
      </w:r>
    </w:p>
    <w:p>
      <w:pPr>
        <w:pStyle w:val="ArticleBody"/>
        <w:jc w:val="left"/>
      </w:pPr>
      <w:r>
        <w:rPr>
          <w:rFonts w:ascii="Times New Roman" w:hAnsi="Times New Roman" w:eastAsia="Times New Roman" w:cs="Times New Roman"/>
        </w:rPr>
        <w:t>Milletler, Allah’ın yüceliği O’nun halkının üzerinde olduğunda nura gelirler; ve bu, düşman sel gibi içeri girdiğinde gerçekleşir. O düşman içeri girdiğinde Allah ona karşı bir sancak (alem) kaldırır. Ulusların karşılık verdiği o halkın üzerinde bulunan Rab’bin yüceliği, O’nun karakteridir; ve O’nun karakteri günah işlemez. Erkeklerin ve kadınların günahı yenemeyeceğini öğreten mesaj, sahte bir esenlik ve güvenlik mesajıdır. Bu mesaj, 11 Eylül 2001’de gelmiş olan gerçek son yağmur mesajının zamanı sırasında ilan edilen sahte bir son yağmur mesajıdır. O sahte mesaj, “duvar” olan Allah’ın yasası hakkında sahte bir mesajdır. Bu sahte öğreti, Laodikyalı Adventizmin dördüncü ve son neslinin gelişini belirleyen Questions on Doctrine kitabında temsil edilmektedir.</w:t>
      </w:r>
    </w:p>
    <w:p>
      <w:pPr>
        <w:pStyle w:val="ArticleBody"/>
        <w:jc w:val="left"/>
      </w:pPr>
      <w:r>
        <w:rPr>
          <w:rFonts w:ascii="Times New Roman" w:hAnsi="Times New Roman" w:eastAsia="Times New Roman" w:cs="Times New Roman"/>
        </w:rPr>
        <w:t>2001-шы илниң сентәбир 11-күнидә, Лаодикийәлик Адвентизмниң төт исияни ахирқи әвлатни ата-бовилириниң гуналири билән синаш үчүн йетип кәлди. Шу күни Худa Өз хәлқигә Йәрәмияниң қедимий йоллириға қайтишни көрсәтти, шуниң билән улар Миллерниң җәвһәрлири сүпитидә ипадиләнгән асасий хәвәрни чүшинип қобул қилғай. Әгәр улар шундақ қилса, Йәрәмия «арам» дәп атаған кейинки ямғурни тапатти. Қедимий йолларға қайтиш чақириқи 1863-йилдики исянни пәйда қилған синақниң тәкрари еди.</w:t>
      </w:r>
    </w:p>
    <w:p>
      <w:pPr>
        <w:pStyle w:val="ArticleBody"/>
        <w:jc w:val="left"/>
      </w:pPr>
      <w:r>
        <w:rPr>
          <w:rFonts w:ascii="Times New Roman" w:hAnsi="Times New Roman" w:eastAsia="Times New Roman" w:cs="Times New Roman"/>
        </w:rPr>
        <w:t>2001 Wata Ebla 11, kaʼa ay Isayos “gara ishaan baaxuufi cimee” taʼe sanatti, “weedduun wayinii” sirbamuun irra ture; isaanis Mulʼata boqonnaa kudha afur, lakkoofsa sadii keessatti, akkasumas boqonnaa kudha shan, lakkoofsa sadii keessatti weedduu Musee fi Hoolichaa sirban dha. Weedduun sun ergaa Laawodiqeyaa ti; innis sabni duraan filatame yeroo sanatti darbamaa akka ture adda baasa; sababiin isaas yeroo sanatti Waaqayyo wayinii Isaa dhiiraa fi dubartoota ija wayiniin sun akka fiduuf yaadame fidanitti kennuu irratti adeemsa keessa ture. Ergaan wayinii sanaa ergaa Laawodiqeyaa ti; innis ergicha Jones fi Waggoner fincilaa 1888 irratti dhiheessan ture.</w:t>
      </w:r>
    </w:p>
    <w:p>
      <w:pPr>
        <w:pStyle w:val="ArticleBody"/>
        <w:jc w:val="left"/>
      </w:pPr>
      <w:r>
        <w:rPr>
          <w:rFonts w:ascii="Times New Roman" w:hAnsi="Times New Roman" w:eastAsia="Times New Roman" w:cs="Times New Roman"/>
        </w:rPr>
        <w:t>Le 11 septembre 2001, la pluie de l’arrière-saison commença, et, dans le débat de Habacuc chapitre deux, il est identifié une classe qui présenta le message des deux tables, car elle était revenue aux anciens sentiers de Jérémie et recevait le « repos et rafraîchissement » qu’Ésaïe désigne comme étant apporté à ceux dont la méthodologie est « ligne sur ligne ». Le débat dans lequel elle était engagée s’opposait à un faux message de pluie de l’arrière-saison, représenté par les « femmes pleurant Tammuz », lequel encourageait le peuple laodicéen endormi par un message de paix et de sûreté.</w:t>
      </w:r>
    </w:p>
    <w:p>
      <w:pPr>
        <w:pStyle w:val="ArticleBody"/>
        <w:jc w:val="left"/>
      </w:pPr>
      <w:r>
        <w:rPr>
          <w:rFonts w:ascii="Times New Roman" w:hAnsi="Times New Roman" w:eastAsia="Times New Roman" w:cs="Times New Roman"/>
        </w:rPr>
        <w:t>Rafet û ewlehiyê peyamê îdia dike ku ne mumkun e ku mêr û jinan guneh nekin, û ji ber vê yekê Xwedê tenê dikare û dê wan “di nav” gunehên xwe de rastdar hesab bike. Mêrên pêkenokî îdia dikin ku peyama wan a rafet û ewlehiyê, ew peyama rast a rastdarbûna bi baweriyê ye ku Jones û Waggoner pêşkêş kirin, lê ew rastiya ku yê ku Xwedê rastdar hesab dike, Ew jî pîroz dike, tê de nehêlin; çimkî Xwedê nemir ku mirovan di nav gunehên wan de xelas bike, lê ji gunehên wan xelas bike.</w:t>
      </w:r>
    </w:p>
    <w:p>
      <w:pPr>
        <w:pStyle w:val="ArticleBody"/>
        <w:jc w:val="left"/>
      </w:pPr>
      <w:r>
        <w:rPr>
          <w:rFonts w:ascii="Times New Roman" w:hAnsi="Times New Roman" w:eastAsia="Times New Roman" w:cs="Times New Roman"/>
        </w:rPr>
        <w:t>11 de septiembre de 2001 marcó el comienzo del período del sellamiento de los ciento cuarenta y cuatro mil, el cual concluye con una clase que recibe el sello de Dios, representada por aquellos que gimen y claman a causa de las abominaciones en la iglesia y en la tierra, y otra clase que ha vuelto sus espaldas hacia el templo, donde se está llevando a cabo la obra final del tercer ángel, y está postrándose ante el sol. La historia de los mileritas ilustra la historia del movimiento del tercer ángel, y al hacerlo, el clímax trata del mensaje de la lluvia tardía y de la experiencia que produce en aquellos que eligen comer.</w:t>
      </w:r>
    </w:p>
    <w:p>
      <w:pPr>
        <w:pStyle w:val="ArticleBody"/>
        <w:jc w:val="left"/>
      </w:pPr>
      <w:r>
        <w:rPr>
          <w:rFonts w:ascii="Times New Roman" w:hAnsi="Times New Roman" w:eastAsia="Times New Roman" w:cs="Times New Roman"/>
        </w:rPr>
        <w:t>E stuédu to estudiaremos denuóvo n’el siguente artículu.</w:t>
      </w:r>
    </w:p>
    <w:p>
      <w:pPr>
        <w:pStyle w:val="ArticleScripture"/>
        <w:jc w:val="left"/>
      </w:pPr>
      <w:r>
        <w:rPr>
          <w:rFonts w:ascii="Times New Roman" w:hAnsi="Times New Roman" w:eastAsia="Times New Roman" w:cs="Times New Roman"/>
        </w:rPr>
        <w:t>“Ахын Ваггонер ба Жоунзоор дамжуулан ирсэн Эзэний энэ мэдээг эсэргүүцэн Миннеаполист илэрсэн тэмцлийн ихээхэн хэсгийн үндэс нь урьдаас тогтсон үзлээ орхин тавихыг хүсээгүй, мөн энэ үнэнийг хүлээн авахаас татгалзсан явдал байв. Тэрхүү эсэргүүцлийг өдөөх замаар Сатан Бурхан тэдэнд хайрлахаар хүсэн тэмүүлж байсан Ариун Сүнсний онцгой хүчийг манай ард түмнээс үлэмж хэмжээгээр хаан зайлуулж чадсан. Пентекостын өдрийн дараа элч нар үнэнийг тунхагласанчлан, үнэнийг дэлхийд хүргэхдээ тэднийх байж болох байсан тэрхүү үр нөлөөтэй чадлыг дайсан тэдэнд олж авахуулсангүй. Бүх дэлхийг алдар суугаар нь гэрэлтүүлэх ёстой байсан гэрэл эсэргүүцэлтэй тулгарсан бөгөөд өөрсдийн маань ах дүүсийн үйлдлээс болж дэлхийгээс үлэмж хэмжээгээр хол байлгагдсан юм.”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Ƴeere Daniyel — Lamba Tamanin da Takwas</dc:title>
  <dc:subject>K’ari qhipa para q’añuchawi: Profético saräwi 11 uru sata qollan mara t’aqa phaxsit 2001 marata qalltata</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