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Էղիա — Թիվ Երրորդ</w:t>
      </w:r>
    </w:p>
    <w:p>
      <w:pPr>
        <w:pStyle w:val="ArticleSubtitle"/>
        <w:jc w:val="left"/>
      </w:pPr>
      <w:r>
        <w:rPr>
          <w:rFonts w:ascii="Gadugi" w:hAnsi="Gadugi" w:eastAsia="Gadugi" w:cs="Gadugi"/>
        </w:rPr>
        <w:t>ᎬᏂᏳᏉ</w:t>
      </w:r>
      <w:r>
        <w:rPr>
          <w:rFonts w:ascii="Arial" w:hAnsi="Arial" w:eastAsia="Arial" w:cs="Arial"/>
        </w:rPr>
        <w:t xml:space="preserve"> </w:t>
      </w:r>
      <w:r>
        <w:rPr>
          <w:rFonts w:ascii="Gadugi" w:hAnsi="Gadugi" w:eastAsia="Gadugi" w:cs="Gadugi"/>
        </w:rPr>
        <w:t>ᎠᏓᏟᎶᏍᏗᏱ</w:t>
      </w:r>
      <w:r>
        <w:rPr>
          <w:rFonts w:ascii="Arial" w:hAnsi="Arial" w:eastAsia="Arial" w:cs="Arial"/>
        </w:rPr>
        <w:t xml:space="preserve"> </w:t>
      </w:r>
      <w:r>
        <w:rPr>
          <w:rFonts w:ascii="Gadugi" w:hAnsi="Gadugi" w:eastAsia="Gadugi" w:cs="Gadugi"/>
        </w:rPr>
        <w:t>ᎩᎶᏂᎨᏒᎢ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Tan ndea ha’e pe ka’aru mymbajepy ojejapohápe, Elías marangatupy oñemboja ha he’i: Ñandejára Tupã Abraham, Isaac ha Israelgua, tojekuaa ko árape ndeha’eha Tupã Israel-pe, ha cheha’e nde rembiguái, ha ajapohague opa ko’ã mba’e nde ñe’ẽ rupi. 1 Reyes 18:36.</w:t>
      </w:r>
    </w:p>
    <w:p>
      <w:pPr>
        <w:pStyle w:val="ArticleBody"/>
        <w:jc w:val="left"/>
      </w:pPr>
      <w:r>
        <w:rPr>
          <w:rFonts w:ascii="Times New Roman" w:hAnsi="Times New Roman" w:eastAsia="Times New Roman" w:cs="Times New Roman"/>
        </w:rPr>
        <w:t>Мы распознавали отличительные черты Илии как символа. Одна из этих черт состоит в том, что служение и весть Илии, Иоанна Крестителя и Уильяма Миллера были орудиями суда. Их весть была использована Господом для испытания соответствующих им исторических периодов. Иисус сказал, что если бы Он не пришёл, то придирчивые иудеи не имели бы греха.</w:t>
      </w:r>
    </w:p>
    <w:p>
      <w:pPr>
        <w:pStyle w:val="ArticleScripture"/>
        <w:jc w:val="left"/>
      </w:pPr>
      <w:r>
        <w:rPr>
          <w:rFonts w:ascii="Nirmala UI" w:hAnsi="Nirmala UI" w:eastAsia="Nirmala UI" w:cs="Nirmala UI"/>
        </w:rPr>
        <w:t>अगर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आड़</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15:22.</w:t>
      </w:r>
    </w:p>
    <w:p>
      <w:pPr>
        <w:pStyle w:val="ArticleBody"/>
        <w:jc w:val="left"/>
      </w:pPr>
      <w:r>
        <w:rPr>
          <w:rFonts w:ascii="Times New Roman" w:hAnsi="Times New Roman" w:eastAsia="Times New Roman" w:cs="Times New Roman"/>
        </w:rPr>
        <w:t>حزقی‌ئیل برای یهودیانِ خرده‌گیرِ روزگارِ خود نیز همین اصل را بیان می‌کند.</w:t>
      </w:r>
    </w:p>
    <w:p>
      <w:pPr>
        <w:pStyle w:val="ArticleScripture"/>
        <w:jc w:val="left"/>
      </w:pPr>
      <w:r>
        <w:rPr>
          <w:rFonts w:ascii="Times New Roman" w:hAnsi="Times New Roman" w:eastAsia="Times New Roman" w:cs="Times New Roman"/>
        </w:rPr>
        <w:t>ꞌAꞌalíi, ashdláʼí hólǫ́ łaʼ éí ayóo danihíjiʼígíí dóó tʼáá áhootʼéego bidaʼdeezhchíinii. Tʼáá shǫ́ǫ́dí niidíshnííł; dóó bíighah nídinííł, Háádę́ę́ʼ shí éí Łeʼehé Bįighaní yiiłtsą́. Dóó tʼáá áhootʼéego yił ałchíníłgo, éego éí tʼáá łaʼ yił ałdóʼ doo, (hágoóneeʼgo éí hózhǫ́ǫ́gi bee nidaalnishígíí binaanish bee haneʼígíí yináʼanii da,) tʼáá shǫ́ǫ́dí éí yiká ajiłiiʼígíí bináʼanishígíí hólǫ́ǫ́go yiká adoolwoł. Ezekiel 2:4, 5.</w:t>
      </w:r>
    </w:p>
    <w:p>
      <w:pPr>
        <w:pStyle w:val="ArticleBody"/>
        <w:jc w:val="left"/>
      </w:pPr>
      <w:r>
        <w:rPr>
          <w:rFonts w:ascii="Times New Roman" w:hAnsi="Times New Roman" w:eastAsia="Times New Roman" w:cs="Times New Roman"/>
        </w:rPr>
        <w:t>Simbolismo Elias nisina yacho, pakakataning na bilang maysa nga instrumento ti panangukom.</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သတင်းတရားကို</w:t>
      </w:r>
      <w:r>
        <w:rPr>
          <w:rFonts w:ascii="Times New Roman" w:hAnsi="Times New Roman" w:eastAsia="Times New Roman" w:cs="Times New Roman"/>
        </w:rPr>
        <w:t xml:space="preserve"> </w:t>
      </w:r>
      <w:r>
        <w:rPr>
          <w:rFonts w:ascii="Myanmar Text" w:hAnsi="Myanmar Text" w:eastAsia="Myanmar Text" w:cs="Myanmar Text"/>
        </w:rPr>
        <w:t>ကြေညာလျက်ရှိသောသူများသည်</w:t>
      </w:r>
      <w:r>
        <w:rPr>
          <w:rFonts w:ascii="Times New Roman" w:hAnsi="Times New Roman" w:eastAsia="Times New Roman" w:cs="Times New Roman"/>
        </w:rPr>
        <w:t xml:space="preserve"> </w:t>
      </w:r>
      <w:r>
        <w:rPr>
          <w:rFonts w:ascii="Myanmar Text" w:hAnsi="Myanmar Text" w:eastAsia="Myanmar Text" w:cs="Myanmar Text"/>
        </w:rPr>
        <w:t>အဖ</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ခံယူကျင့်သုံးခဲ့သော</w:t>
      </w:r>
      <w:r>
        <w:rPr>
          <w:rFonts w:ascii="Times New Roman" w:hAnsi="Times New Roman" w:eastAsia="Times New Roman" w:cs="Times New Roman"/>
        </w:rPr>
        <w:t xml:space="preserve"> </w:t>
      </w:r>
      <w:r>
        <w:rPr>
          <w:rFonts w:ascii="Myanmar Text" w:hAnsi="Myanmar Text" w:eastAsia="Myanmar Text" w:cs="Myanmar Text"/>
        </w:rPr>
        <w:t>အစီအစဉ်အတိုင်း</w:t>
      </w:r>
      <w:r>
        <w:rPr>
          <w:rFonts w:ascii="Times New Roman" w:hAnsi="Times New Roman" w:eastAsia="Times New Roman" w:cs="Times New Roman"/>
        </w:rPr>
        <w:t xml:space="preserve"> </w:t>
      </w:r>
      <w:r>
        <w:rPr>
          <w:rFonts w:ascii="Myanmar Text" w:hAnsi="Myanmar Text" w:eastAsia="Myanmar Text" w:cs="Myanmar Text"/>
        </w:rPr>
        <w:t>ကျမ်းစာတော်ကို</w:t>
      </w:r>
      <w:r>
        <w:rPr>
          <w:rFonts w:ascii="Times New Roman" w:hAnsi="Times New Roman" w:eastAsia="Times New Roman" w:cs="Times New Roman"/>
        </w:rPr>
        <w:t xml:space="preserve"> </w:t>
      </w:r>
      <w:r>
        <w:rPr>
          <w:rFonts w:ascii="Myanmar Text" w:hAnsi="Myanmar Text" w:eastAsia="Myanmar Text" w:cs="Myanmar Text"/>
        </w:rPr>
        <w:t>ရှာဖွေလေ့လာလျက်ရှိကြသည်။</w:t>
      </w:r>
      <w:r>
        <w:rPr>
          <w:rFonts w:ascii="Times New Roman" w:hAnsi="Times New Roman" w:eastAsia="Times New Roman" w:cs="Times New Roman"/>
        </w:rPr>
        <w:t xml:space="preserve"> Views of the Prophecies and Prophetic Chronology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အမည်ရသော</w:t>
      </w:r>
      <w:r>
        <w:rPr>
          <w:rFonts w:ascii="Times New Roman" w:hAnsi="Times New Roman" w:eastAsia="Times New Roman" w:cs="Times New Roman"/>
        </w:rPr>
        <w:t xml:space="preserve"> </w:t>
      </w:r>
      <w:r>
        <w:rPr>
          <w:rFonts w:ascii="Myanmar Text" w:hAnsi="Myanmar Text" w:eastAsia="Myanmar Text" w:cs="Myanmar Text"/>
        </w:rPr>
        <w:t>စာအုပ်ငယ်တွင်</w:t>
      </w:r>
      <w:r>
        <w:rPr>
          <w:rFonts w:ascii="Times New Roman" w:hAnsi="Times New Roman" w:eastAsia="Times New Roman" w:cs="Times New Roman"/>
        </w:rPr>
        <w:t xml:space="preserve"> </w:t>
      </w:r>
      <w:r>
        <w:rPr>
          <w:rFonts w:ascii="Myanmar Text" w:hAnsi="Myanmar Text" w:eastAsia="Myanmar Text" w:cs="Myanmar Text"/>
        </w:rPr>
        <w:t>အဖ</w:t>
      </w:r>
      <w:r>
        <w:rPr>
          <w:rFonts w:ascii="Times New Roman" w:hAnsi="Times New Roman" w:eastAsia="Times New Roman" w:cs="Times New Roman"/>
        </w:rPr>
        <w:t xml:space="preserve"> </w:t>
      </w:r>
      <w:r>
        <w:rPr>
          <w:rFonts w:ascii="Myanmar Text" w:hAnsi="Myanmar Text" w:eastAsia="Myanmar Text" w:cs="Myanmar Text"/>
        </w:rPr>
        <w:t>မီလာက</w:t>
      </w:r>
      <w:r>
        <w:rPr>
          <w:rFonts w:ascii="Times New Roman" w:hAnsi="Times New Roman" w:eastAsia="Times New Roman" w:cs="Times New Roman"/>
        </w:rPr>
        <w:t xml:space="preserve"> </w:t>
      </w:r>
      <w:r>
        <w:rPr>
          <w:rFonts w:ascii="Myanmar Text" w:hAnsi="Myanmar Text" w:eastAsia="Myanmar Text" w:cs="Myanmar Text"/>
        </w:rPr>
        <w:t>ကျမ်းစာတော်ကို</w:t>
      </w:r>
      <w:r>
        <w:rPr>
          <w:rFonts w:ascii="Times New Roman" w:hAnsi="Times New Roman" w:eastAsia="Times New Roman" w:cs="Times New Roman"/>
        </w:rPr>
        <w:t xml:space="preserve"> </w:t>
      </w:r>
      <w:r>
        <w:rPr>
          <w:rFonts w:ascii="Myanmar Text" w:hAnsi="Myanmar Text" w:eastAsia="Myanmar Text" w:cs="Myanmar Text"/>
        </w:rPr>
        <w:t>လေ့လာခြင်းနှင့်</w:t>
      </w:r>
      <w:r>
        <w:rPr>
          <w:rFonts w:ascii="Times New Roman" w:hAnsi="Times New Roman" w:eastAsia="Times New Roman" w:cs="Times New Roman"/>
        </w:rPr>
        <w:t xml:space="preserve"> </w:t>
      </w:r>
      <w:r>
        <w:rPr>
          <w:rFonts w:ascii="Myanmar Text" w:hAnsi="Myanmar Text" w:eastAsia="Myanmar Text" w:cs="Myanmar Text"/>
        </w:rPr>
        <w:t>အနက်ဖွင့်ဆိုခြင်းအတွက်</w:t>
      </w:r>
      <w:r>
        <w:rPr>
          <w:rFonts w:ascii="Times New Roman" w:hAnsi="Times New Roman" w:eastAsia="Times New Roman" w:cs="Times New Roman"/>
        </w:rPr>
        <w:t xml:space="preserve"> </w:t>
      </w:r>
      <w:r>
        <w:rPr>
          <w:rFonts w:ascii="Myanmar Text" w:hAnsi="Myanmar Text" w:eastAsia="Myanmar Text" w:cs="Myanmar Text"/>
        </w:rPr>
        <w:t>ရိုးရှင်းသော်လည်း</w:t>
      </w:r>
      <w:r>
        <w:rPr>
          <w:rFonts w:ascii="Times New Roman" w:hAnsi="Times New Roman" w:eastAsia="Times New Roman" w:cs="Times New Roman"/>
        </w:rPr>
        <w:t xml:space="preserve"> </w:t>
      </w:r>
      <w:r>
        <w:rPr>
          <w:rFonts w:ascii="Myanmar Text" w:hAnsi="Myanmar Text" w:eastAsia="Myanmar Text" w:cs="Myanmar Text"/>
        </w:rPr>
        <w:t>ဉာဏ်ပညာရှိပြီး</w:t>
      </w:r>
      <w:r>
        <w:rPr>
          <w:rFonts w:ascii="Times New Roman" w:hAnsi="Times New Roman" w:eastAsia="Times New Roman" w:cs="Times New Roman"/>
        </w:rPr>
        <w:t xml:space="preserve"> </w:t>
      </w:r>
      <w:r>
        <w:rPr>
          <w:rFonts w:ascii="Myanmar Text" w:hAnsi="Myanmar Text" w:eastAsia="Myanmar Text" w:cs="Myanmar Text"/>
        </w:rPr>
        <w:t>အရေးကြီးသော</w:t>
      </w:r>
      <w:r>
        <w:rPr>
          <w:rFonts w:ascii="Times New Roman" w:hAnsi="Times New Roman" w:eastAsia="Times New Roman" w:cs="Times New Roman"/>
        </w:rPr>
        <w:t xml:space="preserve"> </w:t>
      </w:r>
      <w:r>
        <w:rPr>
          <w:rFonts w:ascii="Myanmar Text" w:hAnsi="Myanmar Text" w:eastAsia="Myanmar Text" w:cs="Myanmar Text"/>
        </w:rPr>
        <w:t>စည်းကမ်းချက်များကို</w:t>
      </w:r>
      <w:r>
        <w:rPr>
          <w:rFonts w:ascii="Times New Roman" w:hAnsi="Times New Roman" w:eastAsia="Times New Roman" w:cs="Times New Roman"/>
        </w:rPr>
        <w:t xml:space="preserve"> </w:t>
      </w:r>
      <w:r>
        <w:rPr>
          <w:rFonts w:ascii="Myanmar Text" w:hAnsi="Myanmar Text" w:eastAsia="Myanmar Text" w:cs="Myanmar Text"/>
        </w:rPr>
        <w:t>အောက်ပါအတိုင်း</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Scripture"/>
        <w:jc w:val="left"/>
      </w:pPr>
      <w:r>
        <w:rPr>
          <w:rFonts w:ascii="Times New Roman" w:hAnsi="Times New Roman" w:eastAsia="Times New Roman" w:cs="Times New Roman"/>
        </w:rPr>
        <w:t>“«1. Hervagh zhul ek eryn vo the proper bearing war an taysh ymmyrtee ayns y Vible; 2. Ta ooilley yn Scriptyr femeagh, as oddagh eh ve toiggit liorish cur-my-ner creeoil as studeyrys; 3. Cha bee red erbee ta er ny hoilshaghey ayns y Scriptyr follit veih adsyn ta geearree ayns credjue, gyn doobtey; 4. Dy hoiggal yn dooghyss, cur ooilley ny scriptyryn cooidjagh er y chooish t’ou shirrey dy hoiggal, as eisht lhig da dagh ockle e hroailt chairagh y yannoo; as my oddys oo dty horys y chummey gyn doaieys, cha nod oo ve ayns mearrey; 5. Shegin da’n Scriptyr ve e hene ny expounder echey hene, er-y-fa dy vel eh ny reill jeh hene. My ta mee croghe er ynseyder dy expoundal dou, as dy jeanagh eh tommanys er y chialg echey, ny geearree eh dy beagh eh myr shen er coontey e chredjue scoillagh hene, ny son dy ve smooinit er myr dooinney creeney, eisht she e tommanys, e yeearree, e chredjue, ny e chreenaght ta ny reill dou, as cha nee yn Vible.»”</w:t>
      </w:r>
    </w:p>
    <w:p>
      <w:pPr>
        <w:pStyle w:val="ArticleScripture"/>
        <w:jc w:val="left"/>
      </w:pPr>
      <w:r>
        <w:rPr>
          <w:rFonts w:ascii="Times New Roman" w:hAnsi="Times New Roman" w:eastAsia="Times New Roman" w:cs="Times New Roman"/>
        </w:rPr>
        <w:t>“Upar nirkangan apkan no iyan a bahagi nin mga alagadan; asin sa satuyang pag-adal kan Biblia, marahay an magin pagbantayan ta gabos an mga prinsipyong inilahad.”</w:t>
      </w:r>
    </w:p>
    <w:p>
      <w:pPr>
        <w:pStyle w:val="ArticleScripture"/>
        <w:jc w:val="left"/>
      </w:pPr>
      <w:r>
        <w:rPr>
          <w:rFonts w:ascii="Times New Roman" w:hAnsi="Times New Roman" w:eastAsia="Times New Roman" w:cs="Times New Roman"/>
        </w:rPr>
        <w:t>«Agya a ɛyɛ nokware no gyina Kyerɛwsɛm no so; nanso Satan de akwan pii yɛ adwuma de kyerɛw Kyerɛwsɛm no kɔ ɔkwan bɔne so na ɔde mfomso ba mu, enti sɛ obi pɛ sɛ ohu nea ɛkyerɛkyerɛ ankasa a, ɛsɛ sɛ ɔhwɛ yiye kɛse. Ɛyɛ nna yi nnaadaa akɛse no mu baako sɛ wɔde adwene si atenka so pii, na wɔka sɛ wɔyɛ nokwarefo bere a wɔbu Onyankopɔn asɛm no kasa a emu da hɔ animtia, efisɛ saa asɛm no ne wɔn atenka nhyia. Nnipa pii nni nnyinaso biara mma wɔn gyidi gye atenka nko ara. Wɔn som gyina anigyehyew so; na sɛ ɛno to twa a, wɔn gyidi nso kɔ. Akenkan betumi ayɛ ntɛtɛ, na Onyankopɔn asɛm no ne awi no. Na ‘dɛn,’ sɛnea odiyifo no se no, ‘na ntɛtɛ yɛ ma awi?’»</w:t>
      </w:r>
    </w:p>
    <w:p>
      <w:pPr>
        <w:pStyle w:val="ArticleScripture"/>
        <w:jc w:val="left"/>
      </w:pPr>
      <w:r>
        <w:rPr>
          <w:rFonts w:ascii="Times New Roman" w:hAnsi="Times New Roman" w:eastAsia="Times New Roman" w:cs="Times New Roman"/>
        </w:rPr>
        <w:t>“Үзбээгүй, олж авах ч боломжгүй байсан гэрэл ба мэдлэгийг дагаагүйн төлөө хэн ч яллагдахгүй. Харин олон хүн ертөнцийн жишигт нийцэхийг хүсдэг учраас Христийн элч нараар дамжин өөрсдөд нь толилуулагдсан үнэнийг дуулгавартай дагахаас татгалздаг; тэгвэл тэдний ухаанд хүрсэн үнэн, сэтгэлд нь гэрэлтсэн тэр гэрэл нь Шүүлтийн өдөр тэднийг яллана. Эдгээр эцсийн өдрүүдэд бид бүх эрин үеийн турш гэрэлтсээр ирсэн хуримтлагдсан гэрлийг эзэмшиж байгаа бөгөөд үүнд дүйцүүлэн биднээс хариуцлага нэхэгдэх болно. Ариун байдлын зам ертөнцийн түвшинтэй эн зэрэгцэхгүй; тэр нь өндөрт зассан зам мөн. Хэрэв бид энэ замаар явж, Эзэний тушаалуудын замаар гүйвэл, ‘зөв хүний зам нь гялалзах гэрэл мэт бөгөөд төгс өдөр хүртэл улам улам гэрэлтэнэ’ гэдгийг бид олж мэднэ.” Review and Herald, 1884 оны 11 дүгээр сарын 25.</w:t>
      </w:r>
    </w:p>
    <w:p>
      <w:pPr>
        <w:pStyle w:val="ArticleBody"/>
        <w:jc w:val="left"/>
      </w:pP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ಎಂದಿಗೂ</w:t>
      </w:r>
      <w:r>
        <w:rPr>
          <w:rFonts w:ascii="Times New Roman" w:hAnsi="Times New Roman" w:eastAsia="Times New Roman" w:cs="Times New Roman"/>
        </w:rPr>
        <w:t xml:space="preserve"> </w:t>
      </w:r>
      <w:r>
        <w:rPr>
          <w:rFonts w:ascii="Nirmala UI" w:hAnsi="Nirmala UI" w:eastAsia="Nirmala UI" w:cs="Nirmala UI"/>
        </w:rPr>
        <w:t>ಹೊಂದಿರದ</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ಪಡೆಯಲೂ</w:t>
      </w:r>
      <w:r>
        <w:rPr>
          <w:rFonts w:ascii="Times New Roman" w:hAnsi="Times New Roman" w:eastAsia="Times New Roman" w:cs="Times New Roman"/>
        </w:rPr>
        <w:t xml:space="preserve"> </w:t>
      </w:r>
      <w:r>
        <w:rPr>
          <w:rFonts w:ascii="Nirmala UI" w:hAnsi="Nirmala UI" w:eastAsia="Nirmala UI" w:cs="Nirmala UI"/>
        </w:rPr>
        <w:t>ಸಾಧ್ಯವಾಗದ</w:t>
      </w:r>
      <w:r>
        <w:rPr>
          <w:rFonts w:ascii="Times New Roman" w:hAnsi="Times New Roman" w:eastAsia="Times New Roman" w:cs="Times New Roman"/>
        </w:rPr>
        <w:t>” “</w:t>
      </w:r>
      <w:r>
        <w:rPr>
          <w:rFonts w:ascii="Nirmala UI" w:hAnsi="Nirmala UI" w:eastAsia="Nirmala UI" w:cs="Nirmala UI"/>
        </w:rPr>
        <w:t>ಬೆಳಕು</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ಜ್ಞಾನಕ್ಕೆ</w:t>
      </w:r>
      <w:r>
        <w:rPr>
          <w:rFonts w:ascii="Times New Roman" w:hAnsi="Times New Roman" w:eastAsia="Times New Roman" w:cs="Times New Roman"/>
        </w:rPr>
        <w:t xml:space="preserve"> </w:t>
      </w:r>
      <w:r>
        <w:rPr>
          <w:rFonts w:ascii="Nirmala UI" w:hAnsi="Nirmala UI" w:eastAsia="Nirmala UI" w:cs="Nirmala UI"/>
        </w:rPr>
        <w:t>ಕಿವಿಗೊಡದ</w:t>
      </w:r>
      <w:r>
        <w:rPr>
          <w:rFonts w:ascii="Times New Roman" w:hAnsi="Times New Roman" w:eastAsia="Times New Roman" w:cs="Times New Roman"/>
        </w:rPr>
        <w:t xml:space="preserve"> </w:t>
      </w:r>
      <w:r>
        <w:rPr>
          <w:rFonts w:ascii="Nirmala UI" w:hAnsi="Nirmala UI" w:eastAsia="Nirmala UI" w:cs="Nirmala UI"/>
        </w:rPr>
        <w:t>ಕಾರಣಕ್ಕೆ</w:t>
      </w:r>
      <w:r>
        <w:rPr>
          <w:rFonts w:ascii="Times New Roman" w:hAnsi="Times New Roman" w:eastAsia="Times New Roman" w:cs="Times New Roman"/>
        </w:rPr>
        <w:t xml:space="preserve"> </w:t>
      </w:r>
      <w:r>
        <w:rPr>
          <w:rFonts w:ascii="Nirmala UI" w:hAnsi="Nirmala UI" w:eastAsia="Nirmala UI" w:cs="Nirmala UI"/>
        </w:rPr>
        <w:t>ದಂಡಿತರಾಗುವುದಿಲ್ಲ</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ವಾಕ್ಯದ</w:t>
      </w:r>
      <w:r>
        <w:rPr>
          <w:rFonts w:ascii="Times New Roman" w:hAnsi="Times New Roman" w:eastAsia="Times New Roman" w:cs="Times New Roman"/>
        </w:rPr>
        <w:t xml:space="preserve"> </w:t>
      </w:r>
      <w:r>
        <w:rPr>
          <w:rFonts w:ascii="Nirmala UI" w:hAnsi="Nirmala UI" w:eastAsia="Nirmala UI" w:cs="Nirmala UI"/>
        </w:rPr>
        <w:t>ಪ್ರಮುಖ</w:t>
      </w:r>
      <w:r>
        <w:rPr>
          <w:rFonts w:ascii="Times New Roman" w:hAnsi="Times New Roman" w:eastAsia="Times New Roman" w:cs="Times New Roman"/>
        </w:rPr>
        <w:t xml:space="preserve"> </w:t>
      </w:r>
      <w:r>
        <w:rPr>
          <w:rFonts w:ascii="Nirmala UI" w:hAnsi="Nirmala UI" w:eastAsia="Nirmala UI" w:cs="Nirmala UI"/>
        </w:rPr>
        <w:t>ಅಂಶವೆಂದರೆ</w:t>
      </w:r>
      <w:r>
        <w:rPr>
          <w:rFonts w:ascii="Times New Roman" w:hAnsi="Times New Roman" w:eastAsia="Times New Roman" w:cs="Times New Roman"/>
        </w:rPr>
        <w:t xml:space="preserve"> “</w:t>
      </w:r>
      <w:r>
        <w:rPr>
          <w:rFonts w:ascii="Nirmala UI" w:hAnsi="Nirmala UI" w:eastAsia="Nirmala UI" w:cs="Nirmala UI"/>
        </w:rPr>
        <w:t>ಪಡೆಯಲೂ</w:t>
      </w:r>
      <w:r>
        <w:rPr>
          <w:rFonts w:ascii="Times New Roman" w:hAnsi="Times New Roman" w:eastAsia="Times New Roman" w:cs="Times New Roman"/>
        </w:rPr>
        <w:t xml:space="preserve"> </w:t>
      </w:r>
      <w:r>
        <w:rPr>
          <w:rFonts w:ascii="Nirmala UI" w:hAnsi="Nirmala UI" w:eastAsia="Nirmala UI" w:cs="Nirmala UI"/>
        </w:rPr>
        <w:t>ಸಾಧ್ಯವಾಗದ</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ಅಭಿವ್ಯಕ್ತಿ</w:t>
      </w:r>
      <w:r>
        <w:rPr>
          <w:rFonts w:ascii="Times New Roman" w:hAnsi="Times New Roman" w:eastAsia="Times New Roman" w:cs="Times New Roman"/>
        </w:rPr>
        <w:t xml:space="preserve">. </w:t>
      </w:r>
      <w:r>
        <w:rPr>
          <w:rFonts w:ascii="Nirmala UI" w:hAnsi="Nirmala UI" w:eastAsia="Nirmala UI" w:cs="Nirmala UI"/>
        </w:rPr>
        <w:t>ಏಲೀಯ</w:t>
      </w:r>
      <w:r>
        <w:rPr>
          <w:rFonts w:ascii="Times New Roman" w:hAnsi="Times New Roman" w:eastAsia="Times New Roman" w:cs="Times New Roman"/>
        </w:rPr>
        <w:t xml:space="preserve">, </w:t>
      </w:r>
      <w:r>
        <w:rPr>
          <w:rFonts w:ascii="Nirmala UI" w:hAnsi="Nirmala UI" w:eastAsia="Nirmala UI" w:cs="Nirmala UI"/>
        </w:rPr>
        <w:t>ಯೋಹಾನ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ತಲೆಮಾರುಗಳಿಗೆ</w:t>
      </w:r>
      <w:r>
        <w:rPr>
          <w:rFonts w:ascii="Times New Roman" w:hAnsi="Times New Roman" w:eastAsia="Times New Roman" w:cs="Times New Roman"/>
        </w:rPr>
        <w:t xml:space="preserve"> </w:t>
      </w:r>
      <w:r>
        <w:rPr>
          <w:rFonts w:ascii="Nirmala UI" w:hAnsi="Nirmala UI" w:eastAsia="Nirmala UI" w:cs="Nirmala UI"/>
        </w:rPr>
        <w:t>ಪಡೆಯಬಹುದಾದ</w:t>
      </w:r>
      <w:r>
        <w:rPr>
          <w:rFonts w:ascii="Times New Roman" w:hAnsi="Times New Roman" w:eastAsia="Times New Roman" w:cs="Times New Roman"/>
        </w:rPr>
        <w:t xml:space="preserve"> </w:t>
      </w:r>
      <w:r>
        <w:rPr>
          <w:rFonts w:ascii="Nirmala UI" w:hAnsi="Nirmala UI" w:eastAsia="Nirmala UI" w:cs="Nirmala UI"/>
        </w:rPr>
        <w:t>ಬೆಳಕಿನ</w:t>
      </w:r>
      <w:r>
        <w:rPr>
          <w:rFonts w:ascii="Times New Roman" w:hAnsi="Times New Roman" w:eastAsia="Times New Roman" w:cs="Times New Roman"/>
        </w:rPr>
        <w:t xml:space="preserve"> </w:t>
      </w:r>
      <w:r>
        <w:rPr>
          <w:rFonts w:ascii="Nirmala UI" w:hAnsi="Nirmala UI" w:eastAsia="Nirmala UI" w:cs="Nirmala UI"/>
        </w:rPr>
        <w:t>ಪ್ರತಿನಿಧಿಗಳಾಗಿದ್ದಾರೆ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ಸನ್ನಿಧಿಯು</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ಸಂಸ್ಥಾನಗಳಲ್ಲಿ</w:t>
      </w:r>
      <w:r>
        <w:rPr>
          <w:rFonts w:ascii="Times New Roman" w:hAnsi="Times New Roman" w:eastAsia="Times New Roman" w:cs="Times New Roman"/>
        </w:rPr>
        <w:t xml:space="preserve"> </w:t>
      </w:r>
      <w:r>
        <w:rPr>
          <w:rFonts w:ascii="Nirmala UI" w:hAnsi="Nirmala UI" w:eastAsia="Nirmala UI" w:cs="Nirmala UI"/>
        </w:rPr>
        <w:t>ಕಾನೂನುಭಾಷೆಯಲ್ಲಿ</w:t>
      </w:r>
      <w:r>
        <w:rPr>
          <w:rFonts w:ascii="Times New Roman" w:hAnsi="Times New Roman" w:eastAsia="Times New Roman" w:cs="Times New Roman"/>
        </w:rPr>
        <w:t xml:space="preserve"> </w:t>
      </w:r>
      <w:r>
        <w:rPr>
          <w:rFonts w:ascii="Nirmala UI" w:hAnsi="Nirmala UI" w:eastAsia="Nirmala UI" w:cs="Nirmala UI"/>
        </w:rPr>
        <w:t>ಕರೆಯಲ್ಪಡುವ</w:t>
      </w:r>
      <w:r>
        <w:rPr>
          <w:rFonts w:ascii="Times New Roman" w:hAnsi="Times New Roman" w:eastAsia="Times New Roman" w:cs="Times New Roman"/>
        </w:rPr>
        <w:t xml:space="preserve"> “plausible deniability”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ಆವರಣವನ್ನು</w:t>
      </w:r>
      <w:r>
        <w:rPr>
          <w:rFonts w:ascii="Times New Roman" w:hAnsi="Times New Roman" w:eastAsia="Times New Roman" w:cs="Times New Roman"/>
        </w:rPr>
        <w:t xml:space="preserve"> </w:t>
      </w:r>
      <w:r>
        <w:rPr>
          <w:rFonts w:ascii="Nirmala UI" w:hAnsi="Nirmala UI" w:eastAsia="Nirmala UI" w:cs="Nirmala UI"/>
        </w:rPr>
        <w:t>ತೆಗೆದುಹಾಕಿತು</w:t>
      </w:r>
      <w:r>
        <w:rPr>
          <w:rFonts w:ascii="Times New Roman" w:hAnsi="Times New Roman" w:eastAsia="Times New Roman" w:cs="Times New Roman"/>
        </w:rPr>
        <w:t xml:space="preserve">. </w:t>
      </w:r>
      <w:r>
        <w:rPr>
          <w:rFonts w:ascii="Nirmala UI" w:hAnsi="Nirmala UI" w:eastAsia="Nirmala UI" w:cs="Nirmala UI"/>
        </w:rPr>
        <w:t>ಯಾವುದೇ</w:t>
      </w:r>
      <w:r>
        <w:rPr>
          <w:rFonts w:ascii="Times New Roman" w:hAnsi="Times New Roman" w:eastAsia="Times New Roman" w:cs="Times New Roman"/>
        </w:rPr>
        <w:t xml:space="preserve"> </w:t>
      </w:r>
      <w:r>
        <w:rPr>
          <w:rFonts w:ascii="Nirmala UI" w:hAnsi="Nirmala UI" w:eastAsia="Nirmala UI" w:cs="Nirmala UI"/>
        </w:rPr>
        <w:t>ತಲೆಮಾರಿನಲ್ಲಿ</w:t>
      </w:r>
      <w:r>
        <w:rPr>
          <w:rFonts w:ascii="Times New Roman" w:hAnsi="Times New Roman" w:eastAsia="Times New Roman" w:cs="Times New Roman"/>
        </w:rPr>
        <w:t xml:space="preserve"> </w:t>
      </w:r>
      <w:r>
        <w:rPr>
          <w:rFonts w:ascii="Nirmala UI" w:hAnsi="Nirmala UI" w:eastAsia="Nirmala UI" w:cs="Nirmala UI"/>
        </w:rPr>
        <w:t>ಏಲೀಯನ</w:t>
      </w:r>
      <w:r>
        <w:rPr>
          <w:rFonts w:ascii="Times New Roman" w:hAnsi="Times New Roman" w:eastAsia="Times New Roman" w:cs="Times New Roman"/>
        </w:rPr>
        <w:t xml:space="preserve"> </w:t>
      </w:r>
      <w:r>
        <w:rPr>
          <w:rFonts w:ascii="Nirmala UI" w:hAnsi="Nirmala UI" w:eastAsia="Nirmala UI" w:cs="Nirmala UI"/>
        </w:rPr>
        <w:t>ಸಂದೇಶವು</w:t>
      </w:r>
      <w:r>
        <w:rPr>
          <w:rFonts w:ascii="Times New Roman" w:hAnsi="Times New Roman" w:eastAsia="Times New Roman" w:cs="Times New Roman"/>
        </w:rPr>
        <w:t xml:space="preserve"> </w:t>
      </w:r>
      <w:r>
        <w:rPr>
          <w:rFonts w:ascii="Nirmala UI" w:hAnsi="Nirmala UI" w:eastAsia="Nirmala UI" w:cs="Nirmala UI"/>
        </w:rPr>
        <w:t>ವ್ಯಕ್ತವಾಗುವಾಗ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ಯಾವುದೇ</w:t>
      </w:r>
      <w:r>
        <w:rPr>
          <w:rFonts w:ascii="Times New Roman" w:hAnsi="Times New Roman" w:eastAsia="Times New Roman" w:cs="Times New Roman"/>
        </w:rPr>
        <w:t xml:space="preserve"> “plausible deniability” </w:t>
      </w:r>
      <w:r>
        <w:rPr>
          <w:rFonts w:ascii="Nirmala UI" w:hAnsi="Nirmala UI" w:eastAsia="Nirmala UI" w:cs="Nirmala UI"/>
        </w:rPr>
        <w:t>ಯನ್ನೂ</w:t>
      </w:r>
      <w:r>
        <w:rPr>
          <w:rFonts w:ascii="Times New Roman" w:hAnsi="Times New Roman" w:eastAsia="Times New Roman" w:cs="Times New Roman"/>
        </w:rPr>
        <w:t xml:space="preserve"> </w:t>
      </w:r>
      <w:r>
        <w:rPr>
          <w:rFonts w:ascii="Nirmala UI" w:hAnsi="Nirmala UI" w:eastAsia="Nirmala UI" w:cs="Nirmala UI"/>
        </w:rPr>
        <w:t>ತೆಗೆದುಹಾಕುತ್ತದೆ</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ಪ್ರಸ್ತುತಪಡಿಸಲ್ಪಡುವ</w:t>
      </w:r>
      <w:r>
        <w:rPr>
          <w:rFonts w:ascii="Times New Roman" w:hAnsi="Times New Roman" w:eastAsia="Times New Roman" w:cs="Times New Roman"/>
        </w:rPr>
        <w:t xml:space="preserve"> </w:t>
      </w:r>
      <w:r>
        <w:rPr>
          <w:rFonts w:ascii="Nirmala UI" w:hAnsi="Nirmala UI" w:eastAsia="Nirmala UI" w:cs="Nirmala UI"/>
        </w:rPr>
        <w:t>ಬೆಳಕಿನ</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ಸಂಪೂರ್ಣ</w:t>
      </w:r>
      <w:r>
        <w:rPr>
          <w:rFonts w:ascii="Times New Roman" w:hAnsi="Times New Roman" w:eastAsia="Times New Roman" w:cs="Times New Roman"/>
        </w:rPr>
        <w:t xml:space="preserve"> </w:t>
      </w:r>
      <w:r>
        <w:rPr>
          <w:rFonts w:ascii="Nirmala UI" w:hAnsi="Nirmala UI" w:eastAsia="Nirmala UI" w:cs="Nirmala UI"/>
        </w:rPr>
        <w:t>ತಲೆಮಾರನ್ನು</w:t>
      </w:r>
      <w:r>
        <w:rPr>
          <w:rFonts w:ascii="Times New Roman" w:hAnsi="Times New Roman" w:eastAsia="Times New Roman" w:cs="Times New Roman"/>
        </w:rPr>
        <w:t xml:space="preserve"> </w:t>
      </w:r>
      <w:r>
        <w:rPr>
          <w:rFonts w:ascii="Nirmala UI" w:hAnsi="Nirmala UI" w:eastAsia="Nirmala UI" w:cs="Nirmala UI"/>
        </w:rPr>
        <w:t>ಹೊಣೆಗಾರರನ್ನಾಗಿ</w:t>
      </w:r>
      <w:r>
        <w:rPr>
          <w:rFonts w:ascii="Times New Roman" w:hAnsi="Times New Roman" w:eastAsia="Times New Roman" w:cs="Times New Roman"/>
        </w:rPr>
        <w:t xml:space="preserve"> </w:t>
      </w:r>
      <w:r>
        <w:rPr>
          <w:rFonts w:ascii="Nirmala UI" w:hAnsi="Nirmala UI" w:eastAsia="Nirmala UI" w:cs="Nirmala UI"/>
        </w:rPr>
        <w:t>ಮಾಡುತ್ತದೆ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“Walaalkay mar buu yidhi inuusan maqli doonin wax ku saabsan caqiidada aannu hayno, isaga oo ka baqaya in la qanciyo. Kulanimada ma iman jirin, mana dhegaysan jirin khudbadaha; hase yeeshee dabadeed wuxuu qirtay inuu arkay in uu dembi la’eg leeyahay sidii isagoo maqlay. Ilaah wuxuu siiyey fursad uu runta ku ogaado, isaguna wuu kula xisaabtami doonaa fursaddaas. Kuwo badan baa inaga dhex jooga oo cuqdad ka qaba caqiidooyinka hadda laga hadlayo. Ma yimaadaan inay maqlaan, si degganna uma baadhaan, laakiinse diidmooyinkooda waxay ku soo bandhigaan mugdiga. Waxay si buuxda ugu qanacsan yihiin mawqifkooda. ‘Waxaad tidhaahdaa, Waxaan ahay taajir, oo maal baan ku kordhay, waxbana uma baahni; mana ogid inaad tahay hoogan, oo murugaysan, oo miskiin ah, oo indha la’, oo qaawan: waxaan kugula talinayaa inaad iga iibsato dahab dab lagu tijaabiyey, si aad u taajirto; iyo dhar cad, si aad u labbisato, oo aan ceebta qaawanaantaadu u muuqan; oo indhahaaga mari dawo indhood, si aad u aragto. Intaan jeclahay oo dhan waan canaantaa oo waan edbiyaa: sidaas daraaddeed qiiro yeelo, oo toobad keen’ (Muujintii 3:17–19).”</w:t>
      </w:r>
    </w:p>
    <w:p>
      <w:pPr>
        <w:pStyle w:val="ArticleScripture"/>
        <w:jc w:val="left"/>
      </w:pPr>
      <w:r>
        <w:rPr>
          <w:rFonts w:ascii="Times New Roman" w:hAnsi="Times New Roman" w:eastAsia="Times New Roman" w:cs="Times New Roman"/>
        </w:rPr>
        <w:t>“Ji lar û ji bo wan kesan re ye ku di bin dengê peyamê de dijîn, lê ne tên ku wê bibihîzin. Tu çawa dizanî ku nebe ku Xudan delîlên nû yên rastiya xwe dide, wê di çarçoveyek nû de datîne, da ku rêya Xudan were amadekirin? We çi plan danîne ku ronahiya nû di nav rêzên gelê Xwedê de were tevlîkirin? We çi delîl heye ku Xwedê ronahî ji bo zarokên xwe neşandiye? Her xwe-besbûn, egotîzm û kibrê ramana xwe divê were avêtin. Divê em bên ber lingên Îsa û ji Wî fêr bibin, yê ku dilnizm û bi dilê xwe nizim e. Îsa şagirtên xwe wekî ku rabî şagirtên xwe hîn dikirin, ne hîn kir. Gelek ji Cihûyan hatin û guhdarî kirin dema ku Mesîh sirrên rizgariyê eşkere dikir, lê ew nehatin ku fêr bibin; ew hatin ku rexne bikin, ku Wî di nakokiyekê de bigirin, da ku tiştek hebe ku bi wê gel pê pêşdar bikin. Ew bi zanîna xwe razî bûn, lê zarokên Xwedê divê dengê Şivanê Rastîn nas bikin. Ma ev ne demek e ku pir guncaw be ku em li ber Xwedê rojî bigirin û dua bikin? Em di metirsîya nakokiyê de ne, di metirsîya aliyek girtinê de ne li ser xaleke nîqaşbar; û gelo divê em bi cidiyetê, bi xwarina canê xwe, Xwedê negerin, da ku em bizanibin ka rastî çi ye?” Selected Messages, pirtûka 1, 413.</w:t>
      </w:r>
    </w:p>
    <w:p>
      <w:pPr>
        <w:pStyle w:val="ArticleBody"/>
        <w:jc w:val="left"/>
      </w:pP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ꦔꦭꦩ꧀ꦧꦁꦏꦺꦤ꧀</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ꦲꦺꦭꦶꦪꦃ</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ꦧꦺꦤ꧀ꦠꦸꦏ꧀</w:t>
      </w:r>
      <w:r>
        <w:rPr>
          <w:rFonts w:ascii="Times New Roman" w:hAnsi="Times New Roman" w:eastAsia="Times New Roman" w:cs="Times New Roman"/>
        </w:rPr>
        <w:t xml:space="preserve"> </w:t>
      </w:r>
      <w:r>
        <w:rPr>
          <w:rFonts w:ascii="Javanese Text" w:hAnsi="Javanese Text" w:eastAsia="Javanese Text" w:cs="Javanese Text"/>
        </w:rPr>
        <w:t>ꦥꦲꦏꦶꦩꦤ꧀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ꦱꦸꦲꦠꦸ</w:t>
      </w:r>
      <w:r>
        <w:rPr>
          <w:rFonts w:ascii="Times New Roman" w:hAnsi="Times New Roman" w:eastAsia="Times New Roman" w:cs="Times New Roman"/>
        </w:rPr>
        <w:t xml:space="preserve"> </w:t>
      </w:r>
      <w:r>
        <w:rPr>
          <w:rFonts w:ascii="Javanese Text" w:hAnsi="Javanese Text" w:eastAsia="Javanese Text" w:cs="Javanese Text"/>
        </w:rPr>
        <w:t>ꦥꦿꦺꦴꦱꦺꦱ꧀</w:t>
      </w:r>
      <w:r>
        <w:rPr>
          <w:rFonts w:ascii="Times New Roman" w:hAnsi="Times New Roman" w:eastAsia="Times New Roman" w:cs="Times New Roman"/>
        </w:rPr>
        <w:t xml:space="preserve"> </w:t>
      </w:r>
      <w:r>
        <w:rPr>
          <w:rFonts w:ascii="Javanese Text" w:hAnsi="Javanese Text" w:eastAsia="Javanese Text" w:cs="Javanese Text"/>
        </w:rPr>
        <w:t>ꦥꦼꦩꦸꦫ꧀ꦤꦶꦪꦤ꧀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ꦤꦆꦪꦥꦏꦼꦤ꧀</w:t>
      </w:r>
      <w:r>
        <w:rPr>
          <w:rFonts w:ascii="Times New Roman" w:hAnsi="Times New Roman" w:eastAsia="Times New Roman" w:cs="Times New Roman"/>
        </w:rPr>
        <w:t xml:space="preserve"> </w:t>
      </w:r>
      <w:r>
        <w:rPr>
          <w:rFonts w:ascii="Javanese Text" w:hAnsi="Javanese Text" w:eastAsia="Javanese Text" w:cs="Javanese Text"/>
        </w:rPr>
        <w:t>ꦭꦩ꧀ꦥꦃꦲꦶꦥꦸꦤ꧀</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w:t>
      </w:r>
      <w:r>
        <w:rPr>
          <w:rFonts w:ascii="Javanese Text" w:hAnsi="Javanese Text" w:eastAsia="Javanese Text" w:cs="Javanese Text"/>
        </w:rPr>
        <w:t>ꦩꦼꦱꦁꦒꦼꦂ</w:t>
      </w:r>
      <w:r>
        <w:rPr>
          <w:rFonts w:ascii="Times New Roman" w:hAnsi="Times New Roman" w:eastAsia="Times New Roman" w:cs="Times New Roman"/>
        </w:rPr>
        <w:t xml:space="preserve"> </w:t>
      </w:r>
      <w:r>
        <w:rPr>
          <w:rFonts w:ascii="Javanese Text" w:hAnsi="Javanese Text" w:eastAsia="Javanese Text" w:cs="Javanese Text"/>
        </w:rPr>
        <w:t>ꦥꦼꦫꦗ꧀ꦗꦶꦪꦤ꧀</w:t>
      </w:r>
      <w:r>
        <w:rPr>
          <w:rFonts w:ascii="Times New Roman" w:hAnsi="Times New Roman" w:eastAsia="Times New Roman" w:cs="Times New Roman"/>
        </w:rPr>
        <w:t xml:space="preserve"> </w:t>
      </w:r>
      <w:r>
        <w:rPr>
          <w:rFonts w:ascii="Javanese Text" w:hAnsi="Javanese Text" w:eastAsia="Javanese Text" w:cs="Javanese Text"/>
        </w:rPr>
        <w:t>ꦩꦸꦁꦒꦸꦃ</w:t>
      </w:r>
      <w:r>
        <w:rPr>
          <w:rFonts w:ascii="Times New Roman" w:hAnsi="Times New Roman" w:eastAsia="Times New Roman" w:cs="Times New Roman"/>
        </w:rPr>
        <w:t xml:space="preserve"> </w:t>
      </w:r>
      <w:r>
        <w:rPr>
          <w:rFonts w:ascii="Javanese Text" w:hAnsi="Javanese Text" w:eastAsia="Javanese Text" w:cs="Javanese Text"/>
        </w:rPr>
        <w:t>ꦤꦼꦫꦱ꧀ꦏꦺ</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ꦤꦭꦶꦏ</w:t>
      </w:r>
      <w:r>
        <w:rPr>
          <w:rFonts w:ascii="Times New Roman" w:hAnsi="Times New Roman" w:eastAsia="Times New Roman" w:cs="Times New Roman"/>
        </w:rPr>
        <w:t xml:space="preserve"> </w:t>
      </w:r>
      <w:r>
        <w:rPr>
          <w:rFonts w:ascii="Javanese Text" w:hAnsi="Javanese Text" w:eastAsia="Javanese Text" w:cs="Javanese Text"/>
        </w:rPr>
        <w:t>ꦔꦭꦏꦺꦴꦤꦶ</w:t>
      </w:r>
      <w:r>
        <w:rPr>
          <w:rFonts w:ascii="Times New Roman" w:hAnsi="Times New Roman" w:eastAsia="Times New Roman" w:cs="Times New Roman"/>
        </w:rPr>
        <w:t xml:space="preserve"> </w:t>
      </w:r>
      <w:r>
        <w:rPr>
          <w:rFonts w:ascii="Javanese Text" w:hAnsi="Javanese Text" w:eastAsia="Javanese Text" w:cs="Javanese Text"/>
        </w:rPr>
        <w:t>ꦏꦫꦾ</w:t>
      </w:r>
      <w:r>
        <w:rPr>
          <w:rFonts w:ascii="Times New Roman" w:hAnsi="Times New Roman" w:eastAsia="Times New Roman" w:cs="Times New Roman"/>
        </w:rPr>
        <w:t xml:space="preserve"> </w:t>
      </w:r>
      <w:r>
        <w:rPr>
          <w:rFonts w:ascii="Javanese Text" w:hAnsi="Javanese Text" w:eastAsia="Javanese Text" w:cs="Javanese Text"/>
        </w:rPr>
        <w:t>ꦥꦫꦶꦱꦸꦝꦤ꧀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ꦥꦁꦭꦸꦗꦼꦁ</w:t>
      </w:r>
      <w:r>
        <w:rPr>
          <w:rFonts w:ascii="Times New Roman" w:hAnsi="Times New Roman" w:eastAsia="Times New Roman" w:cs="Times New Roman"/>
        </w:rPr>
        <w:t xml:space="preserve"> </w:t>
      </w:r>
      <w:r>
        <w:rPr>
          <w:rFonts w:ascii="Javanese Text" w:hAnsi="Javanese Text" w:eastAsia="Javanese Text" w:cs="Javanese Text"/>
        </w:rPr>
        <w:t>ꦏꦧꦼꦤꦼꦫꦤ꧀</w:t>
      </w:r>
      <w:r>
        <w:rPr>
          <w:rFonts w:ascii="Times New Roman" w:hAnsi="Times New Roman" w:eastAsia="Times New Roman" w:cs="Times New Roman"/>
        </w:rPr>
        <w:t xml:space="preserve"> </w:t>
      </w:r>
      <w:r>
        <w:rPr>
          <w:rFonts w:ascii="Javanese Text" w:hAnsi="Javanese Text" w:eastAsia="Javanese Text" w:cs="Javanese Text"/>
        </w:rPr>
        <w:t>ꦱꦲꦶꦏꦶ</w:t>
      </w:r>
      <w:r>
        <w:rPr>
          <w:rFonts w:ascii="Times New Roman" w:hAnsi="Times New Roman" w:eastAsia="Times New Roman" w:cs="Times New Roman"/>
        </w:rPr>
        <w:t xml:space="preserve"> </w:t>
      </w:r>
      <w:r>
        <w:rPr>
          <w:rFonts w:ascii="Javanese Text" w:hAnsi="Javanese Text" w:eastAsia="Javanese Text" w:cs="Javanese Text"/>
        </w:rPr>
        <w:t>ꦏꦿꦶꦢꦱ꧀ꦏꦺꦤ꧀</w:t>
      </w:r>
      <w:r>
        <w:rPr>
          <w:rFonts w:ascii="Times New Roman" w:hAnsi="Times New Roman" w:eastAsia="Times New Roman" w:cs="Times New Roman"/>
        </w:rPr>
        <w:t xml:space="preserve">. </w:t>
      </w:r>
      <w:r>
        <w:rPr>
          <w:rFonts w:ascii="Javanese Text" w:hAnsi="Javanese Text" w:eastAsia="Javanese Text" w:cs="Javanese Text"/>
        </w:rPr>
        <w:t>ꦩꦸꦁꦒꦸꦃ</w:t>
      </w:r>
      <w:r>
        <w:rPr>
          <w:rFonts w:ascii="Times New Roman" w:hAnsi="Times New Roman" w:eastAsia="Times New Roman" w:cs="Times New Roman"/>
        </w:rPr>
        <w:t xml:space="preserve"> </w:t>
      </w:r>
      <w:r>
        <w:rPr>
          <w:rFonts w:ascii="Javanese Text" w:hAnsi="Javanese Text" w:eastAsia="Javanese Text" w:cs="Javanese Text"/>
        </w:rPr>
        <w:t>ꦲꦤ꧀ꦢꦫꦧꦺꦤ꧀</w:t>
      </w:r>
      <w:r>
        <w:rPr>
          <w:rFonts w:ascii="Times New Roman" w:hAnsi="Times New Roman" w:eastAsia="Times New Roman" w:cs="Times New Roman"/>
        </w:rPr>
        <w:t xml:space="preserve"> </w:t>
      </w:r>
      <w:r>
        <w:rPr>
          <w:rFonts w:ascii="Javanese Text" w:hAnsi="Javanese Text" w:eastAsia="Javanese Text" w:cs="Javanese Text"/>
        </w:rPr>
        <w:t>ꦏꦿꦶꦢꦱ꧀ꦏꦺꦤ꧀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ꦏꦿꦶꦱ꧀ꦠꦸꦱ꧀</w:t>
      </w:r>
      <w:r>
        <w:rPr>
          <w:rFonts w:ascii="Times New Roman" w:hAnsi="Times New Roman" w:eastAsia="Times New Roman" w:cs="Times New Roman"/>
        </w:rPr>
        <w:t xml:space="preserve"> </w:t>
      </w:r>
      <w:r>
        <w:rPr>
          <w:rFonts w:ascii="Javanese Text" w:hAnsi="Javanese Text" w:eastAsia="Javanese Text" w:cs="Javanese Text"/>
        </w:rPr>
        <w:t>ꦈꦱꦶꦏꦏꦺꦤ꧀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ꦈꦱꦶꦏꦏꦺꦤ꧀</w:t>
      </w:r>
      <w:r>
        <w:rPr>
          <w:rFonts w:ascii="Times New Roman" w:hAnsi="Times New Roman" w:eastAsia="Times New Roman" w:cs="Times New Roman"/>
        </w:rPr>
        <w:t xml:space="preserve"> </w:t>
      </w:r>
      <w:r>
        <w:rPr>
          <w:rFonts w:ascii="Javanese Text" w:hAnsi="Javanese Text" w:eastAsia="Javanese Text" w:cs="Javanese Text"/>
        </w:rPr>
        <w:t>ꦈꦤ꧀ꦠꦸꦏ꧀</w:t>
      </w:r>
      <w:r>
        <w:rPr>
          <w:rFonts w:ascii="Times New Roman" w:hAnsi="Times New Roman" w:eastAsia="Times New Roman" w:cs="Times New Roman"/>
        </w:rPr>
        <w:t xml:space="preserve"> </w:t>
      </w:r>
      <w:r>
        <w:rPr>
          <w:rFonts w:ascii="Javanese Text" w:hAnsi="Javanese Text" w:eastAsia="Javanese Text" w:cs="Javanese Text"/>
        </w:rPr>
        <w:t>ꦥꦫꦶꦱꦸꦝꦏꦺꦤ꧀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ꦠꦼꦠꦼꦥ꧀</w:t>
      </w:r>
      <w:r>
        <w:rPr>
          <w:rFonts w:ascii="Times New Roman" w:hAnsi="Times New Roman" w:eastAsia="Times New Roman" w:cs="Times New Roman"/>
        </w:rPr>
        <w:t xml:space="preserve"> </w:t>
      </w:r>
      <w:r>
        <w:rPr>
          <w:rFonts w:ascii="Javanese Text" w:hAnsi="Javanese Text" w:eastAsia="Javanese Text" w:cs="Javanese Text"/>
        </w:rPr>
        <w:t>ꦔꦒꦼꦩ꧀</w:t>
      </w:r>
      <w:r>
        <w:rPr>
          <w:rFonts w:ascii="Times New Roman" w:hAnsi="Times New Roman" w:eastAsia="Times New Roman" w:cs="Times New Roman"/>
        </w:rPr>
        <w:t xml:space="preserve"> </w:t>
      </w:r>
      <w:r>
        <w:rPr>
          <w:rFonts w:ascii="Javanese Text" w:hAnsi="Javanese Text" w:eastAsia="Javanese Text" w:cs="Javanese Text"/>
        </w:rPr>
        <w:t>ꦗꦸꦧꦃ</w:t>
      </w:r>
      <w:r>
        <w:rPr>
          <w:rFonts w:ascii="Times New Roman" w:hAnsi="Times New Roman" w:eastAsia="Times New Roman" w:cs="Times New Roman"/>
        </w:rPr>
        <w:t xml:space="preserve"> </w:t>
      </w:r>
      <w:r>
        <w:rPr>
          <w:rFonts w:ascii="Javanese Text" w:hAnsi="Javanese Text" w:eastAsia="Javanese Text" w:cs="Javanese Text"/>
        </w:rPr>
        <w:t>ꦭꦪꦺꦴꦢꦶꦏꦺꦪ</w:t>
      </w:r>
      <w:r>
        <w:rPr>
          <w:rFonts w:ascii="Times New Roman" w:hAnsi="Times New Roman" w:eastAsia="Times New Roman" w:cs="Times New Roman"/>
        </w:rPr>
        <w:t xml:space="preserve"> </w:t>
      </w:r>
      <w:r>
        <w:rPr>
          <w:rFonts w:ascii="Javanese Text" w:hAnsi="Javanese Text" w:eastAsia="Javanese Text" w:cs="Javanese Text"/>
        </w:rPr>
        <w:t>ꦩꦶꦭꦶꦏꦺ</w:t>
      </w:r>
      <w:r>
        <w:rPr>
          <w:rFonts w:ascii="Times New Roman" w:hAnsi="Times New Roman" w:eastAsia="Times New Roman" w:cs="Times New Roman"/>
        </w:rPr>
        <w:t xml:space="preserve">, </w:t>
      </w:r>
      <w:r>
        <w:rPr>
          <w:rFonts w:ascii="Javanese Text" w:hAnsi="Javanese Text" w:eastAsia="Javanese Text" w:cs="Javanese Text"/>
        </w:rPr>
        <w:t>ꦪꦲꦶꦏꦸ</w:t>
      </w:r>
      <w:r>
        <w:rPr>
          <w:rFonts w:ascii="Times New Roman" w:hAnsi="Times New Roman" w:eastAsia="Times New Roman" w:cs="Times New Roman"/>
        </w:rPr>
        <w:t xml:space="preserve"> </w:t>
      </w:r>
      <w:r>
        <w:rPr>
          <w:rFonts w:ascii="Javanese Text" w:hAnsi="Javanese Text" w:eastAsia="Javanese Text" w:cs="Javanese Text"/>
        </w:rPr>
        <w:t>ꦥꦼꦤꦶꦥꦸꦮꦤ꧀</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ꦲꦺꦭꦶꦪꦃ</w:t>
      </w:r>
      <w:r>
        <w:rPr>
          <w:rFonts w:ascii="Times New Roman" w:hAnsi="Times New Roman" w:eastAsia="Times New Roman" w:cs="Times New Roman"/>
        </w:rPr>
        <w:t xml:space="preserve"> </w:t>
      </w:r>
      <w:r>
        <w:rPr>
          <w:rFonts w:ascii="Javanese Text" w:hAnsi="Javanese Text" w:eastAsia="Javanese Text" w:cs="Javanese Text"/>
        </w:rPr>
        <w:t>ꦩꦼꦭꦩ꧀ꦧꦁꦏꦺꦤ꧀</w:t>
      </w:r>
      <w:r>
        <w:rPr>
          <w:rFonts w:ascii="Times New Roman" w:hAnsi="Times New Roman" w:eastAsia="Times New Roman" w:cs="Times New Roman"/>
        </w:rPr>
        <w:t xml:space="preserve"> </w:t>
      </w:r>
      <w:r>
        <w:rPr>
          <w:rFonts w:ascii="Javanese Text" w:hAnsi="Javanese Text" w:eastAsia="Javanese Text" w:cs="Javanese Text"/>
        </w:rPr>
        <w:t>ꦱꦸꦲꦠꦸ</w:t>
      </w:r>
      <w:r>
        <w:rPr>
          <w:rFonts w:ascii="Times New Roman" w:hAnsi="Times New Roman" w:eastAsia="Times New Roman" w:cs="Times New Roman"/>
        </w:rPr>
        <w:t xml:space="preserve"> </w:t>
      </w:r>
      <w:r>
        <w:rPr>
          <w:rFonts w:ascii="Javanese Text" w:hAnsi="Javanese Text" w:eastAsia="Javanese Text" w:cs="Javanese Text"/>
        </w:rPr>
        <w:t>ꦥꦼꦭꦪꦤꦤ꧀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ꦔꦠꦸꦫꦏꦺ</w:t>
      </w:r>
      <w:r>
        <w:rPr>
          <w:rFonts w:ascii="Times New Roman" w:hAnsi="Times New Roman" w:eastAsia="Times New Roman" w:cs="Times New Roman"/>
        </w:rPr>
        <w:t xml:space="preserve"> </w:t>
      </w:r>
      <w:r>
        <w:rPr>
          <w:rFonts w:ascii="Javanese Text" w:hAnsi="Javanese Text" w:eastAsia="Javanese Text" w:cs="Javanese Text"/>
        </w:rPr>
        <w:t>ꦏꦧꦼꦤꦼꦫꦤ꧀</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ꦧꦺꦤ꧀ꦠꦸꦏ꧀</w:t>
      </w:r>
      <w:r>
        <w:rPr>
          <w:rFonts w:ascii="Times New Roman" w:hAnsi="Times New Roman" w:eastAsia="Times New Roman" w:cs="Times New Roman"/>
        </w:rPr>
        <w:t xml:space="preserve"> </w:t>
      </w:r>
      <w:r>
        <w:rPr>
          <w:rFonts w:ascii="Javanese Text" w:hAnsi="Javanese Text" w:eastAsia="Javanese Text" w:cs="Javanese Text"/>
        </w:rPr>
        <w:t>ꦥꦲꦏꦶꦩꦤ꧀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ꦱꦼꦧꦧꦺ</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ꦡꦶꦤ꧀ꦢꦶꦏꦏꦺꦤ꧀</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ꦤꦺꦴꦭꦏ꧀</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ꦪꦺꦴꦲꦤꦺꦱ꧀</w:t>
      </w:r>
      <w:r>
        <w:rPr>
          <w:rFonts w:ascii="Times New Roman" w:hAnsi="Times New Roman" w:eastAsia="Times New Roman" w:cs="Times New Roman"/>
        </w:rPr>
        <w:t xml:space="preserve"> </w:t>
      </w:r>
      <w:r>
        <w:rPr>
          <w:rFonts w:ascii="Javanese Text" w:hAnsi="Javanese Text" w:eastAsia="Javanese Text" w:cs="Javanese Text"/>
        </w:rPr>
        <w:t>ꦥꦼꦩꦁꦥ꧀ꦠꦶꦱ꧀</w:t>
      </w:r>
      <w:r>
        <w:rPr>
          <w:rFonts w:ascii="Times New Roman" w:hAnsi="Times New Roman" w:eastAsia="Times New Roman" w:cs="Times New Roman"/>
        </w:rPr>
        <w:t xml:space="preserve"> </w:t>
      </w:r>
      <w:r>
        <w:rPr>
          <w:rFonts w:ascii="Javanese Text" w:hAnsi="Javanese Text" w:eastAsia="Javanese Text" w:cs="Javanese Text"/>
        </w:rPr>
        <w:t>ꦠꦶꦢꦏ꧀</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ꦩꦼꦫꦺꦴꦭꦺꦃ</w:t>
      </w:r>
      <w:r>
        <w:rPr>
          <w:rFonts w:ascii="Times New Roman" w:hAnsi="Times New Roman" w:eastAsia="Times New Roman" w:cs="Times New Roman"/>
        </w:rPr>
        <w:t xml:space="preserve"> </w:t>
      </w:r>
      <w:r>
        <w:rPr>
          <w:rFonts w:ascii="Javanese Text" w:hAnsi="Javanese Text" w:eastAsia="Javanese Text" w:cs="Javanese Text"/>
        </w:rPr>
        <w:t>ꦩꦤ꧀ꦥꦲꦠ꧀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ꦥꦼꦔꦗꦫꦤ꧀</w:t>
      </w:r>
      <w:r>
        <w:rPr>
          <w:rFonts w:ascii="Times New Roman" w:hAnsi="Times New Roman" w:eastAsia="Times New Roman" w:cs="Times New Roman"/>
        </w:rPr>
        <w:t xml:space="preserve"> </w:t>
      </w:r>
      <w:r>
        <w:rPr>
          <w:rFonts w:ascii="Javanese Text" w:hAnsi="Javanese Text" w:eastAsia="Javanese Text" w:cs="Javanese Text"/>
        </w:rPr>
        <w:t>ꦪꦺꦱꦸꦱ꧀</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ni a terug na e proklamashon di e promé bini di Kristu. A manda Juan den e spiritu i poder di Elia pa prepará e kaminda pa Hesus. Esnan ku a rechasa e testimonio di Juan no a haña benefisio di e enseñansanan di Hesus.» Early Writings, 258.</w:t>
      </w:r>
    </w:p>
    <w:p>
      <w:pPr>
        <w:pStyle w:val="ArticleBody"/>
        <w:jc w:val="left"/>
      </w:pPr>
      <w:r>
        <w:rPr>
          <w:rFonts w:ascii="Times New Roman" w:hAnsi="Times New Roman" w:eastAsia="Times New Roman" w:cs="Times New Roman"/>
        </w:rPr>
        <w:t>Ibe we nteka amụma ndị na-anọchi anya ime ka ndị Chineke dị ọcha, e meghewo ozi eziokwu nke ugbu a nke na-eme ka ọgbọ ahụ bụrụ ndị a ga-aza ajụjụ maka ịhọrọ ma ọchịchịrị ma ọ bụ ìhè.</w:t>
      </w:r>
    </w:p>
    <w:p>
      <w:pPr>
        <w:pStyle w:val="ArticleScripture"/>
        <w:jc w:val="left"/>
      </w:pPr>
      <w:r>
        <w:rPr>
          <w:rFonts w:ascii="Times New Roman" w:hAnsi="Times New Roman" w:eastAsia="Times New Roman" w:cs="Times New Roman"/>
        </w:rPr>
        <w:t>Na e, O Daniel, faka‘asi ‘a e ngaahi lea, pea sila‘i ‘a e tohi, ʻo aʻu ki he taimi ʻo e ngata‘anga: ʻe tokolahi ʻa e kakai te nau feʻaluʻaki holo, pea ʻe tupulaki ʻa e ʻilo…. Pea na‘a ne pehē, ʻAlu ʻi ho hala, Daniel: he kuo tāpuni mo sila‘i ʻa e ngaahi lea ʻo aʻu ki he taimi ʻo e ngata‘anga. ʻE fakamaʻa ʻa e tokolahi, pea fakahinehinaʻi, pea ʻahiʻahiʻi; ka ʻe fai kovi ʻa e kakai angahala: pea ʻe ʻikai mahino ia ki ha taha ʻo e kakai angahala; ka ʻe mahino ia ki he kau poto. Taniela 12:4, 9, 10.</w:t>
      </w:r>
    </w:p>
    <w:p>
      <w:pPr>
        <w:pStyle w:val="ArticleBody"/>
        <w:jc w:val="left"/>
      </w:pPr>
      <w:r>
        <w:rPr>
          <w:rFonts w:ascii="Times New Roman" w:hAnsi="Times New Roman" w:eastAsia="Times New Roman" w:cs="Times New Roman"/>
        </w:rPr>
        <w:t>Elías ña’ẽmondo ogueraháva hikuái iñemoñarekuéra peteĩteĩme, Cristo ohechauka chupekuéra Ha’e rembiguái-rendaguáicha ikatu hag̃uáicha oipuru chupekuéra huísio rembiporurãramo. Kóva hína pe Elías oikuaaukáva’ekue he’írõ guare: “tojekuaa ko árape nde ha’eha Tupã Israel-pe, ha che ha’eha ne rembiguái, ha ajapo hague opa ko’ã mba’e nde ñe’ẽ rupi.”</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ꯑꯁꯤꯗꯕꯨ</w:t>
      </w:r>
      <w:r>
        <w:rPr>
          <w:rFonts w:ascii="Times New Roman" w:hAnsi="Times New Roman" w:eastAsia="Times New Roman" w:cs="Times New Roman"/>
        </w:rPr>
        <w:t xml:space="preserve"> </w:t>
      </w:r>
      <w:r>
        <w:rPr>
          <w:rFonts w:ascii="Nirmala UI" w:hAnsi="Nirmala UI" w:eastAsia="Nirmala UI" w:cs="Nirmala UI"/>
        </w:rPr>
        <w:t>ꯌꯦꯁꯨꯅꯥꯁꯨ</w:t>
      </w:r>
      <w:r>
        <w:rPr>
          <w:rFonts w:ascii="Times New Roman" w:hAnsi="Times New Roman" w:eastAsia="Times New Roman" w:cs="Times New Roman"/>
        </w:rPr>
        <w:t xml:space="preserve"> </w:t>
      </w:r>
      <w:r>
        <w:rPr>
          <w:rFonts w:ascii="Nirmala UI" w:hAnsi="Nirmala UI" w:eastAsia="Nirmala UI" w:cs="Nirmala UI"/>
        </w:rPr>
        <w:t>ꯌꯣꯍꯟ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ꯕꯥꯞꯇꯤꯁ꯭ꯇꯀꯤ</w:t>
      </w:r>
      <w:r>
        <w:rPr>
          <w:rFonts w:ascii="Times New Roman" w:hAnsi="Times New Roman" w:eastAsia="Times New Roman" w:cs="Times New Roman"/>
        </w:rPr>
        <w:t xml:space="preserve"> </w:t>
      </w:r>
      <w:r>
        <w:rPr>
          <w:rFonts w:ascii="Nirmala UI" w:hAnsi="Nirmala UI" w:eastAsia="Nirmala UI" w:cs="Nirmala UI"/>
        </w:rPr>
        <w:t>ꯃꯔꯝꯗꯁꯨ</w:t>
      </w:r>
      <w:r>
        <w:rPr>
          <w:rFonts w:ascii="Times New Roman" w:hAnsi="Times New Roman" w:eastAsia="Times New Roman" w:cs="Times New Roman"/>
        </w:rPr>
        <w:t xml:space="preserve"> </w:t>
      </w:r>
      <w:r>
        <w:rPr>
          <w:rFonts w:ascii="Nirmala UI" w:hAnsi="Nirmala UI" w:eastAsia="Nirmala UI" w:cs="Nirmala UI"/>
        </w:rPr>
        <w:t>ꯐꯣꯔꯛꯏ।</w:t>
      </w:r>
    </w:p>
    <w:p>
      <w:pPr>
        <w:pStyle w:val="ArticleScripture"/>
        <w:jc w:val="left"/>
      </w:pPr>
      <w:r>
        <w:rPr>
          <w:rFonts w:ascii="Times New Roman" w:hAnsi="Times New Roman" w:eastAsia="Times New Roman" w:cs="Times New Roman"/>
        </w:rPr>
        <w:t>И тэднийг явмагц, Есүс олонд Иоханы талаар ийн хэлж эхлэв: Та нар цөл уруу юу үзэхээр гарсан бэ? Салхинд ганхах зэгс үү? Харин та нар юу үзэхээр гарсан бэ? Зөөлөн хувцас өмссөн хүн үү? Болгоогтун, зөөлөн хувцас өмсөгсөд хаадын өргөөнд байдаг. Харин та нар юу үзэхээр гарсан бэ? Эш үзүүлэгч үү? Тийм ээ, Би та нарт хэлье, эш үзүүлэгчээс ч илүү нэгнийг. Учир нь: Харагтун, Би Өөрийн элчийг Чиний өмнө илгээж байна, тэр чиний өмнө замыг чинь бэлтгэх болно гэж бичигдсэн нь энэ хүний тухай юм. Матай 11:7–10.</w:t>
      </w:r>
    </w:p>
    <w:p>
      <w:pPr>
        <w:pStyle w:val="ArticleBody"/>
        <w:jc w:val="left"/>
      </w:pPr>
      <w:r>
        <w:rPr>
          <w:rFonts w:ascii="Times New Roman" w:hAnsi="Times New Roman" w:eastAsia="Times New Roman" w:cs="Times New Roman"/>
        </w:rPr>
        <w:t>Yahya peygəmbərdən də artıq idi; o, hökm aləti idi və onun xidməti öz nəslinə tanıdılmışdı, çünki bütün İsrail Əhəbın əmri ilə Karmelə gəldiyi kimi, onlar da onu görmək üçün çölə çıxmışdılar. Uilyam Miller 1798-ci ildə möhürü açılmış bilik artımını başa düşdü. O, bilik artdıqca Allahın Kəlamında ora-bura qaçanları təmsil edirdi. Onun xəbəri peyğəmbərlik zamanına əsaslanırdı və 1840-cı ildə onun xəbəri və xidməti öz nəslinin qarşısına elə bir şəkildə qoyuldu ki, bütün protestant aləmi onun metodunun işləyib-işləmədiyini görmək üçün baxırdı. Bu təsdiq olunanda, onun xəbəri bütün dünyaya yayıldı.</w:t>
      </w:r>
    </w:p>
    <w:p>
      <w:pPr>
        <w:pStyle w:val="ArticleScripture"/>
        <w:jc w:val="left"/>
      </w:pPr>
      <w:r>
        <w:rPr>
          <w:rFonts w:ascii="Times New Roman" w:hAnsi="Times New Roman" w:eastAsia="Times New Roman" w:cs="Times New Roman"/>
        </w:rPr>
        <w:t>«Am jwat 1840, jun iet ym shym pyndep ba la pyndep kaba wan ka jia ka jingmut u paidbah. Ar snem mynshwa, u Josiah Litch, uwei na ki nongsharai ba hakhmat eh kiba ialap ia ka jingwan arsien, u la pynmih ia ka jingbatai jong ka Jingpynpaw 9, da kaba iathuh lypa ia ka jinghap noh jong ka Hima Ottoman. Katkum ki jingkhein jong u, ia kane ka bor yn sa pynjot noh... ha ka 11 tarik u Nailar, 1840, haba lah ban khmih lynti ba ka bor Ottoman ha Constantinople kan shah pynpra. Bad nga ngeit ba yn shem ba ka long kumta.»</w:t>
      </w:r>
    </w:p>
    <w:p>
      <w:pPr>
        <w:pStyle w:val="ArticleScripture"/>
        <w:jc w:val="left"/>
      </w:pPr>
      <w:r>
        <w:rPr>
          <w:rFonts w:ascii="Times New Roman" w:hAnsi="Times New Roman" w:eastAsia="Times New Roman" w:cs="Times New Roman"/>
        </w:rPr>
        <w:t>“تی مقرر بیچاسی، ترکیہ پنہنجن سفیرن جی وسیلی سان، یورپ جی متحدہ قوتن جی حفاظت قبول ڪئي، ۽ اهڙيءَ طرح پاڻ کي مسیحی قومن جي ڪنٽرول هيٺ رکي ڇڏيو. هي واقعو پيشنگوئيءَ کي بلڪل ٺيڪ نموني سان پورو ڪندڙ هو. جڏھن اها ڳالهه معلوم ٿي، تڏھن بيشمار ماڻھن کي اُنھن پيشنگوئيءَ جي تعبير جي اصولن جي درستيءَ جو يقين ٿي ويو، جي ملر ۽ سندس ساٿين اختيار ڪيا هئا، ۽ ايڊونٽ تحريڪ کي ھڪ عجيب زور مليو. علم ۽ مرتبي وارا ماڻھو، تبليغ توڙي سندس خيالن جي اشاعت ۾، ملر سان شامل ٿيا، ۽ 1840 کان 1844 تائين هي ڪم تيزيءَ سان ڦهليو.” The Great Controversy, 334, 335.</w:t>
      </w:r>
    </w:p>
    <w:p>
      <w:pPr>
        <w:pStyle w:val="ArticleBody"/>
        <w:jc w:val="left"/>
      </w:pPr>
      <w:r>
        <w:rPr>
          <w:rFonts w:ascii="Times New Roman" w:hAnsi="Times New Roman" w:eastAsia="Times New Roman" w:cs="Times New Roman"/>
        </w:rPr>
        <w:t xml:space="preserve">“1840 </w:t>
      </w:r>
      <w:r>
        <w:rPr>
          <w:rFonts w:ascii="MS Gothic" w:hAnsi="MS Gothic" w:eastAsia="MS Gothic" w:cs="MS Gothic"/>
        </w:rPr>
        <w:t>ばり</w:t>
      </w:r>
      <w:r>
        <w:rPr>
          <w:rFonts w:ascii="Times New Roman" w:hAnsi="Times New Roman" w:eastAsia="Times New Roman" w:cs="Times New Roman"/>
        </w:rPr>
        <w:t xml:space="preserve"> 1844 </w:t>
      </w:r>
      <w:r>
        <w:rPr>
          <w:rFonts w:ascii="MS Gothic" w:hAnsi="MS Gothic" w:eastAsia="MS Gothic" w:cs="MS Gothic"/>
        </w:rPr>
        <w:t>まで</w:t>
      </w:r>
      <w:r>
        <w:rPr>
          <w:rFonts w:ascii="Times New Roman" w:hAnsi="Times New Roman" w:eastAsia="Times New Roman" w:cs="Times New Roman"/>
        </w:rPr>
        <w:t>”</w:t>
      </w:r>
      <w:r>
        <w:rPr>
          <w:rFonts w:ascii="MS Gothic" w:hAnsi="MS Gothic" w:eastAsia="MS Gothic" w:cs="MS Gothic"/>
        </w:rPr>
        <w:t>は</w:t>
      </w:r>
      <w:r>
        <w:rPr>
          <w:rFonts w:ascii="Microsoft YaHei" w:hAnsi="Microsoft YaHei" w:eastAsia="Microsoft YaHei" w:cs="Microsoft YaHei"/>
        </w:rPr>
        <w:t>、黙示録第十章</w:t>
      </w:r>
      <w:r>
        <w:rPr>
          <w:rFonts w:ascii="MS Gothic" w:hAnsi="MS Gothic" w:eastAsia="MS Gothic" w:cs="MS Gothic"/>
        </w:rPr>
        <w:t>の</w:t>
      </w:r>
      <w:r>
        <w:rPr>
          <w:rFonts w:ascii="Times New Roman" w:hAnsi="Times New Roman" w:eastAsia="Times New Roman" w:cs="Times New Roman"/>
        </w:rPr>
        <w:t>“</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w:t>
      </w:r>
      <w:r>
        <w:rPr>
          <w:rFonts w:ascii="Times New Roman" w:hAnsi="Times New Roman" w:eastAsia="Times New Roman" w:cs="Times New Roman"/>
        </w:rPr>
        <w:t>”</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マラキ</w:t>
      </w:r>
      <w:r>
        <w:rPr>
          <w:rFonts w:ascii="Microsoft YaHei" w:hAnsi="Microsoft YaHei" w:eastAsia="Microsoft YaHei" w:cs="Microsoft YaHei"/>
        </w:rPr>
        <w:t>書第三章、</w:t>
      </w:r>
      <w:r>
        <w:rPr>
          <w:rFonts w:ascii="MS Gothic" w:hAnsi="MS Gothic" w:eastAsia="MS Gothic" w:cs="MS Gothic"/>
        </w:rPr>
        <w:t>およびキリストによる</w:t>
      </w:r>
      <w:r>
        <w:rPr>
          <w:rFonts w:ascii="Microsoft YaHei" w:hAnsi="Microsoft YaHei" w:eastAsia="Microsoft YaHei" w:cs="Microsoft YaHei"/>
        </w:rPr>
        <w:t>二度</w:t>
      </w:r>
      <w:r>
        <w:rPr>
          <w:rFonts w:ascii="MS Gothic" w:hAnsi="MS Gothic" w:eastAsia="MS Gothic" w:cs="MS Gothic"/>
        </w:rPr>
        <w:t>の</w:t>
      </w:r>
      <w:r>
        <w:rPr>
          <w:rFonts w:ascii="Microsoft YaHei" w:hAnsi="Microsoft YaHei" w:eastAsia="Microsoft YaHei" w:cs="Microsoft YaHei"/>
        </w:rPr>
        <w:t>宮</w:t>
      </w:r>
      <w:r>
        <w:rPr>
          <w:rFonts w:ascii="MS Gothic" w:hAnsi="MS Gothic" w:eastAsia="MS Gothic" w:cs="MS Gothic"/>
        </w:rPr>
        <w:t>の</w:t>
      </w:r>
      <w:r>
        <w:rPr>
          <w:rFonts w:ascii="Microsoft YaHei" w:hAnsi="Microsoft YaHei" w:eastAsia="Microsoft YaHei" w:cs="Microsoft YaHei"/>
        </w:rPr>
        <w:t>潔</w:t>
      </w:r>
      <w:r>
        <w:rPr>
          <w:rFonts w:ascii="MS Gothic" w:hAnsi="MS Gothic" w:eastAsia="MS Gothic" w:cs="MS Gothic"/>
        </w:rPr>
        <w:t>めに</w:t>
      </w:r>
      <w:r>
        <w:rPr>
          <w:rFonts w:ascii="Microsoft YaHei" w:hAnsi="Microsoft YaHei" w:eastAsia="Microsoft YaHei" w:cs="Microsoft YaHei"/>
        </w:rPr>
        <w:t>表象</w:t>
      </w:r>
      <w:r>
        <w:rPr>
          <w:rFonts w:ascii="MS Gothic" w:hAnsi="MS Gothic" w:eastAsia="MS Gothic" w:cs="MS Gothic"/>
        </w:rPr>
        <w:t>された</w:t>
      </w:r>
      <w:r>
        <w:rPr>
          <w:rFonts w:ascii="Microsoft YaHei" w:hAnsi="Microsoft YaHei" w:eastAsia="Microsoft YaHei" w:cs="Microsoft YaHei"/>
        </w:rPr>
        <w:t>清</w:t>
      </w:r>
      <w:r>
        <w:rPr>
          <w:rFonts w:ascii="MS Gothic" w:hAnsi="MS Gothic" w:eastAsia="MS Gothic" w:cs="MS Gothic"/>
        </w:rPr>
        <w:t>めの</w:t>
      </w:r>
      <w:r>
        <w:rPr>
          <w:rFonts w:ascii="Microsoft YaHei" w:hAnsi="Microsoft YaHei" w:eastAsia="Microsoft YaHei" w:cs="Microsoft YaHei"/>
        </w:rPr>
        <w:t>過程</w:t>
      </w:r>
      <w:r>
        <w:rPr>
          <w:rFonts w:ascii="MS Gothic" w:hAnsi="MS Gothic" w:eastAsia="MS Gothic" w:cs="MS Gothic"/>
        </w:rPr>
        <w:t>が</w:t>
      </w:r>
      <w:r>
        <w:rPr>
          <w:rFonts w:ascii="Microsoft YaHei" w:hAnsi="Microsoft YaHei" w:eastAsia="Microsoft YaHei" w:cs="Microsoft YaHei"/>
        </w:rPr>
        <w:t>開始</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清</w:t>
      </w:r>
      <w:r>
        <w:rPr>
          <w:rFonts w:ascii="MS Gothic" w:hAnsi="MS Gothic" w:eastAsia="MS Gothic" w:cs="MS Gothic"/>
        </w:rPr>
        <w:t>めの</w:t>
      </w:r>
      <w:r>
        <w:rPr>
          <w:rFonts w:ascii="Microsoft YaHei" w:hAnsi="Microsoft YaHei" w:eastAsia="Microsoft YaHei" w:cs="Microsoft YaHei"/>
        </w:rPr>
        <w:t>過程</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ミラーの</w:t>
      </w:r>
      <w:r>
        <w:rPr>
          <w:rFonts w:ascii="Microsoft YaHei" w:hAnsi="Microsoft YaHei" w:eastAsia="Microsoft YaHei" w:cs="Microsoft YaHei"/>
        </w:rPr>
        <w:t>一日一年</w:t>
      </w:r>
      <w:r>
        <w:rPr>
          <w:rFonts w:ascii="MS Gothic" w:hAnsi="MS Gothic" w:eastAsia="MS Gothic" w:cs="MS Gothic"/>
        </w:rPr>
        <w:t>の</w:t>
      </w:r>
      <w:r>
        <w:rPr>
          <w:rFonts w:ascii="Microsoft YaHei" w:hAnsi="Microsoft YaHei" w:eastAsia="Microsoft YaHei" w:cs="Microsoft YaHei"/>
        </w:rPr>
        <w:t>原則</w:t>
      </w:r>
      <w:r>
        <w:rPr>
          <w:rFonts w:ascii="MS Gothic" w:hAnsi="MS Gothic" w:eastAsia="MS Gothic" w:cs="MS Gothic"/>
        </w:rPr>
        <w:t>の</w:t>
      </w:r>
      <w:r>
        <w:rPr>
          <w:rFonts w:ascii="Microsoft YaHei" w:hAnsi="Microsoft YaHei" w:eastAsia="Microsoft YaHei" w:cs="Microsoft YaHei"/>
        </w:rPr>
        <w:t>理解</w:t>
      </w:r>
      <w:r>
        <w:rPr>
          <w:rFonts w:ascii="MS Gothic" w:hAnsi="MS Gothic" w:eastAsia="MS Gothic" w:cs="MS Gothic"/>
        </w:rPr>
        <w:t>に</w:t>
      </w:r>
      <w:r>
        <w:rPr>
          <w:rFonts w:ascii="Microsoft YaHei" w:hAnsi="Microsoft YaHei" w:eastAsia="Microsoft YaHei" w:cs="Microsoft YaHei"/>
        </w:rPr>
        <w:t>基</w:t>
      </w:r>
      <w:r>
        <w:rPr>
          <w:rFonts w:ascii="MS Gothic" w:hAnsi="MS Gothic" w:eastAsia="MS Gothic" w:cs="MS Gothic"/>
        </w:rPr>
        <w:t>づく</w:t>
      </w:r>
      <w:r>
        <w:rPr>
          <w:rFonts w:ascii="Microsoft YaHei" w:hAnsi="Microsoft YaHei" w:eastAsia="Microsoft YaHei" w:cs="Microsoft YaHei"/>
        </w:rPr>
        <w:t>、漸進的</w:t>
      </w:r>
      <w:r>
        <w:rPr>
          <w:rFonts w:ascii="MS Gothic" w:hAnsi="MS Gothic" w:eastAsia="MS Gothic" w:cs="MS Gothic"/>
        </w:rPr>
        <w:t>な</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過程</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エリヤの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使者</w:t>
      </w:r>
      <w:r>
        <w:rPr>
          <w:rFonts w:ascii="MS Gothic" w:hAnsi="MS Gothic" w:eastAsia="MS Gothic" w:cs="MS Gothic"/>
        </w:rPr>
        <w:t>が</w:t>
      </w:r>
      <w:r>
        <w:rPr>
          <w:rFonts w:ascii="Microsoft YaHei" w:hAnsi="Microsoft YaHei" w:eastAsia="Microsoft YaHei" w:cs="Microsoft YaHei"/>
        </w:rPr>
        <w:t>突如</w:t>
      </w:r>
      <w:r>
        <w:rPr>
          <w:rFonts w:ascii="MS Gothic" w:hAnsi="MS Gothic" w:eastAsia="MS Gothic" w:cs="MS Gothic"/>
        </w:rPr>
        <w:t>としてその</w:t>
      </w:r>
      <w:r>
        <w:rPr>
          <w:rFonts w:ascii="Microsoft YaHei" w:hAnsi="Microsoft YaHei" w:eastAsia="Microsoft YaHei" w:cs="Microsoft YaHei"/>
        </w:rPr>
        <w:t>宮</w:t>
      </w:r>
      <w:r>
        <w:rPr>
          <w:rFonts w:ascii="MS Gothic" w:hAnsi="MS Gothic" w:eastAsia="MS Gothic" w:cs="MS Gothic"/>
        </w:rPr>
        <w:t>に</w:t>
      </w:r>
      <w:r>
        <w:rPr>
          <w:rFonts w:ascii="Microsoft YaHei" w:hAnsi="Microsoft YaHei" w:eastAsia="Microsoft YaHei" w:cs="Microsoft YaHei"/>
        </w:rPr>
        <w:t>来</w:t>
      </w:r>
      <w:r>
        <w:rPr>
          <w:rFonts w:ascii="MS Gothic" w:hAnsi="MS Gothic" w:eastAsia="MS Gothic" w:cs="MS Gothic"/>
        </w:rPr>
        <w:t>られるための</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備</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、光</w:t>
      </w:r>
      <w:r>
        <w:rPr>
          <w:rFonts w:ascii="MS Gothic" w:hAnsi="MS Gothic" w:eastAsia="MS Gothic" w:cs="MS Gothic"/>
        </w:rPr>
        <w:t>よりも</w:t>
      </w:r>
      <w:r>
        <w:rPr>
          <w:rFonts w:ascii="Microsoft YaHei" w:hAnsi="Microsoft YaHei" w:eastAsia="Microsoft YaHei" w:cs="Microsoft YaHei"/>
        </w:rPr>
        <w:t>闇</w:t>
      </w:r>
      <w:r>
        <w:rPr>
          <w:rFonts w:ascii="MS Gothic" w:hAnsi="MS Gothic" w:eastAsia="MS Gothic" w:cs="MS Gothic"/>
        </w:rPr>
        <w:t>を</w:t>
      </w:r>
      <w:r>
        <w:rPr>
          <w:rFonts w:ascii="Microsoft YaHei" w:hAnsi="Microsoft YaHei" w:eastAsia="Microsoft YaHei" w:cs="Microsoft YaHei"/>
        </w:rPr>
        <w:t>選</w:t>
      </w:r>
      <w:r>
        <w:rPr>
          <w:rFonts w:ascii="MS Gothic" w:hAnsi="MS Gothic" w:eastAsia="MS Gothic" w:cs="MS Gothic"/>
        </w:rPr>
        <w:t>ぶ</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追</w:t>
      </w:r>
      <w:r>
        <w:rPr>
          <w:rFonts w:ascii="MS Gothic" w:hAnsi="MS Gothic" w:eastAsia="MS Gothic" w:cs="MS Gothic"/>
        </w:rPr>
        <w:t>い</w:t>
      </w:r>
      <w:r>
        <w:rPr>
          <w:rFonts w:ascii="Microsoft YaHei" w:hAnsi="Microsoft YaHei" w:eastAsia="Microsoft YaHei" w:cs="Microsoft YaHei"/>
        </w:rPr>
        <w:t>出</w:t>
      </w:r>
      <w:r>
        <w:rPr>
          <w:rFonts w:ascii="MS Gothic" w:hAnsi="MS Gothic" w:eastAsia="MS Gothic" w:cs="MS Gothic"/>
        </w:rPr>
        <w:t>すために</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使者</w:t>
      </w:r>
      <w:r>
        <w:rPr>
          <w:rFonts w:ascii="MS Gothic" w:hAnsi="MS Gothic" w:eastAsia="MS Gothic" w:cs="MS Gothic"/>
        </w:rPr>
        <w:t>によって</w:t>
      </w:r>
      <w:r>
        <w:rPr>
          <w:rFonts w:ascii="Microsoft YaHei" w:hAnsi="Microsoft YaHei" w:eastAsia="Microsoft YaHei" w:cs="Microsoft YaHei"/>
        </w:rPr>
        <w:t>用</w:t>
      </w:r>
      <w:r>
        <w:rPr>
          <w:rFonts w:ascii="MS Gothic" w:hAnsi="MS Gothic" w:eastAsia="MS Gothic" w:cs="MS Gothic"/>
        </w:rPr>
        <w:t>いられる</w:t>
      </w:r>
      <w:r>
        <w:rPr>
          <w:rFonts w:ascii="Microsoft YaHei" w:hAnsi="Microsoft YaHei" w:eastAsia="Microsoft YaHei" w:cs="Microsoft YaHei"/>
        </w:rPr>
        <w:t>裁</w:t>
      </w:r>
      <w:r>
        <w:rPr>
          <w:rFonts w:ascii="MS Gothic" w:hAnsi="MS Gothic" w:eastAsia="MS Gothic" w:cs="MS Gothic"/>
        </w:rPr>
        <w:t>きの</w:t>
      </w:r>
      <w:r>
        <w:rPr>
          <w:rFonts w:ascii="Microsoft YaHei" w:hAnsi="Microsoft YaHei" w:eastAsia="Microsoft YaHei" w:cs="Microsoft YaHei"/>
        </w:rPr>
        <w:t>器具</w:t>
      </w:r>
      <w:r>
        <w:rPr>
          <w:rFonts w:ascii="MS Gothic" w:hAnsi="MS Gothic" w:eastAsia="MS Gothic" w:cs="MS Gothic"/>
        </w:rPr>
        <w:t>の</w:t>
      </w:r>
      <w:r>
        <w:rPr>
          <w:rFonts w:ascii="Microsoft YaHei" w:hAnsi="Microsoft YaHei" w:eastAsia="Microsoft YaHei" w:cs="Microsoft YaHei"/>
        </w:rPr>
        <w:t>象徴</w:t>
      </w:r>
      <w:r>
        <w:rPr>
          <w:rFonts w:ascii="MS Gothic" w:hAnsi="MS Gothic" w:eastAsia="MS Gothic" w:cs="MS Gothic"/>
        </w:rPr>
        <w:t>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Мен шын мәнінде сендерді тәубеге келтіру үшін сумен шомылдырамын; бірақ менен кейін Келуші менен құдіреттірек, Оның аяқ киімін алып жүруге де мен лайық емеспін; Ол сендерді Киелі Рухпен және отпен шомылдырады. Оның күрегі Өз қолында, және Ол қырманын әбден тазартып, бидайын қамбаға жинайды; ал сабанды өшпес отпен өртеп жібереді. Матай 3:11, 12.</w:t>
      </w:r>
    </w:p>
    <w:p>
      <w:pPr>
        <w:pStyle w:val="ArticleBody"/>
        <w:jc w:val="left"/>
      </w:pPr>
      <w:r>
        <w:rPr>
          <w:rFonts w:ascii="Times New Roman" w:hAnsi="Times New Roman" w:eastAsia="Times New Roman" w:cs="Times New Roman"/>
        </w:rPr>
        <w:t>Naka Criston urunajj Juan 6:66 qillqatan uñachtʼayataxa, jupax yaqha kuna pachanakats sipansa jukʼamp discipulonak aptʼasïna. The Desire of Ages sat qillqatanxa, kawkhantï aka Juan qillqatan yatichäwipax uñakipaski ukhaxa, profetikan apnaqañ thakhïw pachpa discipulonakax sarxapxañapatakïna. Jupanakax janiw amuyapkaspänti kunatï literaläki ukax espiritualar uñtʼayi, ukat apostol Pabloarjamaxa, literal ukaw nayraqat jutaski espiritual ukat sipansa.</w:t>
      </w:r>
    </w:p>
    <w:p>
      <w:pPr>
        <w:pStyle w:val="ArticleScripture"/>
        <w:jc w:val="left"/>
      </w:pPr>
      <w:r>
        <w:rPr>
          <w:rFonts w:ascii="Leelawadee UI" w:hAnsi="Leelawadee UI" w:eastAsia="Leelawadee UI" w:cs="Leelawadee UI"/>
        </w:rPr>
        <w:t>ច្បាស់ដូចមានសេចក្តីសរសេរថា</w:t>
      </w:r>
      <w:r>
        <w:rPr>
          <w:rFonts w:ascii="Times New Roman" w:hAnsi="Times New Roman" w:eastAsia="Times New Roman" w:cs="Times New Roman"/>
        </w:rPr>
        <w:t xml:space="preserve"> «</w:t>
      </w:r>
      <w:r>
        <w:rPr>
          <w:rFonts w:ascii="Leelawadee UI" w:hAnsi="Leelawadee UI" w:eastAsia="Leelawadee UI" w:cs="Leelawadee UI"/>
        </w:rPr>
        <w:t>អាដាម</w:t>
      </w:r>
      <w:r>
        <w:rPr>
          <w:rFonts w:ascii="Times New Roman" w:hAnsi="Times New Roman" w:eastAsia="Times New Roman" w:cs="Times New Roman"/>
        </w:rPr>
        <w:t xml:space="preserve"> </w:t>
      </w:r>
      <w:r>
        <w:rPr>
          <w:rFonts w:ascii="Leelawadee UI" w:hAnsi="Leelawadee UI" w:eastAsia="Leelawadee UI" w:cs="Leelawadee UI"/>
        </w:rPr>
        <w:t>មនុស្សដំបូង</w:t>
      </w:r>
      <w:r>
        <w:rPr>
          <w:rFonts w:ascii="Times New Roman" w:hAnsi="Times New Roman" w:eastAsia="Times New Roman" w:cs="Times New Roman"/>
        </w:rPr>
        <w:t xml:space="preserve"> </w:t>
      </w:r>
      <w:r>
        <w:rPr>
          <w:rFonts w:ascii="Leelawadee UI" w:hAnsi="Leelawadee UI" w:eastAsia="Leelawadee UI" w:cs="Leelawadee UI"/>
        </w:rPr>
        <w:t>បានត្រូវធ្វើឲ្យក្លាយជាព្រលឹងរស់</w:t>
      </w:r>
      <w:r>
        <w:rPr>
          <w:rFonts w:ascii="Times New Roman" w:hAnsi="Times New Roman" w:eastAsia="Times New Roman" w:cs="Times New Roman"/>
        </w:rPr>
        <w:t>»; «</w:t>
      </w:r>
      <w:r>
        <w:rPr>
          <w:rFonts w:ascii="Leelawadee UI" w:hAnsi="Leelawadee UI" w:eastAsia="Leelawadee UI" w:cs="Leelawadee UI"/>
        </w:rPr>
        <w:t>អាដាមចុងក្រោយ</w:t>
      </w:r>
      <w:r>
        <w:rPr>
          <w:rFonts w:ascii="Times New Roman" w:hAnsi="Times New Roman" w:eastAsia="Times New Roman" w:cs="Times New Roman"/>
        </w:rPr>
        <w:t xml:space="preserve"> </w:t>
      </w:r>
      <w:r>
        <w:rPr>
          <w:rFonts w:ascii="Leelawadee UI" w:hAnsi="Leelawadee UI" w:eastAsia="Leelawadee UI" w:cs="Leelawadee UI"/>
        </w:rPr>
        <w:t>បានត្រូវធ្វើឲ្យក្លាយជាវិញ្ញាណដែលផ្តល់ជីវិត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អ្វីដែលជាវិញ្ញាណ</w:t>
      </w:r>
      <w:r>
        <w:rPr>
          <w:rFonts w:ascii="Times New Roman" w:hAnsi="Times New Roman" w:eastAsia="Times New Roman" w:cs="Times New Roman"/>
        </w:rPr>
        <w:t xml:space="preserve"> </w:t>
      </w:r>
      <w:r>
        <w:rPr>
          <w:rFonts w:ascii="Leelawadee UI" w:hAnsi="Leelawadee UI" w:eastAsia="Leelawadee UI" w:cs="Leelawadee UI"/>
        </w:rPr>
        <w:t>មិនមែនមកមុនទេ</w:t>
      </w:r>
      <w:r>
        <w:rPr>
          <w:rFonts w:ascii="Times New Roman" w:hAnsi="Times New Roman" w:eastAsia="Times New Roman" w:cs="Times New Roman"/>
        </w:rPr>
        <w:t xml:space="preserve"> </w:t>
      </w:r>
      <w:r>
        <w:rPr>
          <w:rFonts w:ascii="Leelawadee UI" w:hAnsi="Leelawadee UI" w:eastAsia="Leelawadee UI" w:cs="Leelawadee UI"/>
        </w:rPr>
        <w:t>គឺអ្វីដែលជាធម្មជាតិវិញ</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ទើបជាអ្វីដែលជាវិញ្ញាណ។</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កូរិនថូស</w:t>
      </w:r>
      <w:r>
        <w:rPr>
          <w:rFonts w:ascii="Times New Roman" w:hAnsi="Times New Roman" w:eastAsia="Times New Roman" w:cs="Times New Roman"/>
        </w:rPr>
        <w:t xml:space="preserve"> 15:45, 46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Ayuun chennaashshino, hegaa qassi dandayanabayta Ayhudete, Kiristoosi ba huuphenthan salo oytha uri iittonna miyettanau koshshiya qobba gidido geeshshaana mala yootin, akeekana ixxidosona. Aadaataanne wogaa-ogaata, Kiristoosi ba huuphen oosidosi oosuwaa aayidan xoonnidosona. Haysi taarikhaabaa Sister White hagaadan xaafidaa:</w:t>
      </w:r>
    </w:p>
    <w:p>
      <w:pPr>
        <w:pStyle w:val="ArticleScripture"/>
        <w:jc w:val="left"/>
      </w:pPr>
      <w:r>
        <w:rPr>
          <w:rFonts w:ascii="Times New Roman" w:hAnsi="Times New Roman" w:eastAsia="Times New Roman" w:cs="Times New Roman"/>
        </w:rPr>
        <w:t>«مێژووییەکانی بەرزەری باوەڕنەبوونیان لەبەردەم خەڵکدا، ئەم قوتابیانە زیاتر لە عیسا دوورخراونەوە. زۆر ناخۆش بوون، و بە ئاواتی ئەوەی کە ڕزگاردەر بریندار بکەن و خراپیی فەریسییەکان خۆشحاڵ بکەن، پشت‌ئەستوو بۆی کرد و بە سووکایەتی بەجێیان هێشت. هەڵبژاردەی خۆیان کردبوو؛ شێوەکەیان وەرگرتبوو بێ‌ئەوەی ڕۆحی تێدا بێت، پووستەکە بێ ناوەڕۆک. بڕیاریان هەرگیز دواتر نەگۆڕدرا؛ چونکە ئیتر لەگەڵ عیسا نەدەڕۆیشتن.»</w:t>
      </w:r>
    </w:p>
    <w:p>
      <w:pPr>
        <w:pStyle w:val="ArticleScripture"/>
        <w:jc w:val="left"/>
      </w:pPr>
      <w:r>
        <w:rPr>
          <w:rFonts w:ascii="Times New Roman" w:hAnsi="Times New Roman" w:eastAsia="Times New Roman" w:cs="Times New Roman"/>
        </w:rPr>
        <w:t>“‘Wa iminkobi yakwe iri mu maboko yiwe, kandi alirya rwose ku ruhongore rwiwe, kandi alikoranya ingano yiwe mu kigega.’ Matayo 3:12. Iki cari kimwe mu bihe vyo guhanagura. Biciye mu majambo y’ukuri, urwatsi rwari ruriko rutandukanywa n’ingano. Kubera ko benshi bari ab’ubwibone bwinshi kandi bihaya, ku buryo badashobora kwemera ugukeburwa, kandi bakunda isi cane ku buryo badashobora kwemera ubuzima bwo kwicisha bugufi, benshi barahindukiriye Yesu. Benshi n’ubu baracari bakora ikintu nk’ico. Ubugingo burageragezwa uno musi nk’uko abo bigishwa bageragejwe mw’isinagogi y’i Kaperinawumu. Iyo ukuri gushikanywe ku mutima, babona yuko ubuzima bwabo budahuye n’ivyo Imana igomba. Babona ko bakeneye guhinduka rwose muri bo ubwabo; ariko ntibaba bashaka kwemera ico gikorwa co kwiyanka. Ni co gituma bashavura iyo ivyaha vyabo bishizwe ahabona. Baragenda bababaye kandi babangamiwe, nk’uko ba bigishwa basize Yesu, binuba bati: ‘Iri jambo rirakomeye; ni nde ashobora kuryumva?’” Uwipfuzo rw’Ibihe Vyose, 392.</w:t>
      </w:r>
    </w:p>
    <w:p>
      <w:pPr>
        <w:pStyle w:val="ArticleBody"/>
        <w:jc w:val="left"/>
      </w:pPr>
      <w:r>
        <w:rPr>
          <w:rFonts w:ascii="Times New Roman" w:hAnsi="Times New Roman" w:eastAsia="Times New Roman" w:cs="Times New Roman"/>
        </w:rPr>
        <w:t>ꞌIta kovenánto pa mensahéro ni Malakias so mamurga ed saray anak ni Levi babaen ed apoy. Amla so panaglinis to ed dalin na a pagdayepan, ya ibablag toy trigo tan dayami. Aramiden to iya a obra babaen ed saray banntáy. Say banntáy so mangigagawa ed panagbelag, tan say banntáy so mensahe na kasalukoyan a katuaan parad balang maitunos a pakasaritaan no iner so panagpurga to ed saray anak ni Levi. Say banntáy so mensahe tan saray mensahéro ni Elias, a mangitotoro ed sakey a instrumento na panangukom.</w:t>
      </w:r>
    </w:p>
    <w:p>
      <w:pPr>
        <w:pStyle w:val="ArticleScripture"/>
        <w:jc w:val="left"/>
      </w:pPr>
      <w:r>
        <w:rPr>
          <w:rFonts w:ascii="Times New Roman" w:hAnsi="Times New Roman" w:eastAsia="Times New Roman" w:cs="Times New Roman"/>
        </w:rPr>
        <w:t>Диққат қилиңлар, Мән Өз әлчимни әвәтимән, у Мениң алдимда йолни тәйярлайду; вә силәр издәйдиған Рәбб өз ибадәтханисиға туюқсиз келиду, йәни силәр хуш көридиған әһдиниң Әлчиси — мана, У келиду, дәп дейду қошунларниң Рәбби. Лекин Униң келиш күнигә ким бәрдашлиқ берәләйду? У көрүнгәндә ким тик туралайду? Чүнки У тазилағучиниң отиғичә, ағартқучиниң ишқоридәк болиду. У күмүчни тазилап пак қилғучидәк олтириду; У Лавий оғуллирини паклайду, уларни алтун вә күмүчтәк тазилайду, шуниң билән улар Рәббкә һәққанийлиқ билән һәдийә суналайдиған болиду. Андин Йәһуда билән Йерусалимниң һәдийәси Рәббкә қедимки күнләрдикидәк, бурунқи жиллардикидәк йеқимлиқ болиду. Малаки 3:1–4.</w:t>
      </w:r>
    </w:p>
    <w:p>
      <w:pPr>
        <w:pStyle w:val="ArticleBody"/>
        <w:jc w:val="left"/>
      </w:pPr>
      <w:r>
        <w:rPr>
          <w:rFonts w:ascii="Times New Roman" w:hAnsi="Times New Roman" w:eastAsia="Times New Roman" w:cs="Times New Roman"/>
        </w:rPr>
        <w:t>Յովհաննէս Մկրտչից յետոյ եկողը Նա է, որ իր կալը մաքրում է հովով, եւ նման է զտիչի կրակին։ Մաքրագործման ընթացքը կատարում է ուխտի պատգամաբերը, եւ հետեւաբար մատնանշում է մի պատմութիւն, ուր Տէրը ուխտի մէջ է մտնում նոր ընտրեալ ուխտի ժողովրդի հետ։ Երբ հին Իսրայէլը ազատուեց Եգիպտոսի ստրկութիւնից, այդ սրբազան պատմութեան թեմաներից մէկը «անդրանիկի» հարցն էր։ Թէ՛ Եգիպտոսի անդրանիկների մահը, թէ՛ Աստծու՝ Իսրայէլին Իր անդրանիկը ճանաչելը։</w:t>
      </w:r>
    </w:p>
    <w:p>
      <w:pPr>
        <w:pStyle w:val="ArticleScripture"/>
        <w:jc w:val="left"/>
      </w:pPr>
      <w:r>
        <w:rPr>
          <w:rFonts w:ascii="Times New Roman" w:hAnsi="Times New Roman" w:eastAsia="Times New Roman" w:cs="Times New Roman"/>
        </w:rPr>
        <w:t>Thou nyɛ na woaka akyerɛ Farao sɛ, Sɛdeɛ Awurade seɛ ni, Israel yɛ me ba, me ba panyin no ankasa; na meka kyerɛ wo sɛ, Gyaa me ba no ma ɔnkɔ, na ɔnsom me; na sɛ wopow sɛ wobɛgyaa no a, hwɛ, mɛkum wo ba, wo ba panyin no ankasa. Exodus 4:22, 23.</w:t>
      </w:r>
    </w:p>
    <w:p>
      <w:pPr>
        <w:pStyle w:val="ArticleBody"/>
        <w:jc w:val="left"/>
      </w:pPr>
      <w:r>
        <w:rPr>
          <w:rFonts w:ascii="Nirmala UI" w:hAnsi="Nirmala UI" w:eastAsia="Nirmala UI" w:cs="Nirmala UI"/>
        </w:rPr>
        <w:t>यूहन्नाले</w:t>
      </w:r>
      <w:r>
        <w:rPr>
          <w:rFonts w:ascii="Times New Roman" w:hAnsi="Times New Roman" w:eastAsia="Times New Roman" w:cs="Times New Roman"/>
        </w:rPr>
        <w:t xml:space="preserve"> </w:t>
      </w:r>
      <w:r>
        <w:rPr>
          <w:rFonts w:ascii="Nirmala UI" w:hAnsi="Nirmala UI" w:eastAsia="Nirmala UI" w:cs="Nirmala UI"/>
        </w:rPr>
        <w:t>मिश्रबाट</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प्रसङ्गमा</w:t>
      </w:r>
      <w:r>
        <w:rPr>
          <w:rFonts w:ascii="Times New Roman" w:hAnsi="Times New Roman" w:eastAsia="Times New Roman" w:cs="Times New Roman"/>
        </w:rPr>
        <w:t xml:space="preserve"> </w:t>
      </w:r>
      <w:r>
        <w:rPr>
          <w:rFonts w:ascii="Nirmala UI" w:hAnsi="Nirmala UI" w:eastAsia="Nirmala UI" w:cs="Nirmala UI"/>
        </w:rPr>
        <w:t>इस्राएलसित</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बाँध्नुभएको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गोत्रका</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छोरालाई</w:t>
      </w:r>
      <w:r>
        <w:rPr>
          <w:rFonts w:ascii="Times New Roman" w:hAnsi="Times New Roman" w:eastAsia="Times New Roman" w:cs="Times New Roman"/>
        </w:rPr>
        <w:t xml:space="preserve"> </w:t>
      </w:r>
      <w:r>
        <w:rPr>
          <w:rFonts w:ascii="Nirmala UI" w:hAnsi="Nirmala UI" w:eastAsia="Nirmala UI" w:cs="Nirmala UI"/>
        </w:rPr>
        <w:t>पूजाहारीको</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गरियोस्।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बाछाको</w:t>
      </w:r>
      <w:r>
        <w:rPr>
          <w:rFonts w:ascii="Times New Roman" w:hAnsi="Times New Roman" w:eastAsia="Times New Roman" w:cs="Times New Roman"/>
        </w:rPr>
        <w:t xml:space="preserve"> </w:t>
      </w:r>
      <w:r>
        <w:rPr>
          <w:rFonts w:ascii="Nirmala UI" w:hAnsi="Nirmala UI" w:eastAsia="Nirmala UI" w:cs="Nirmala UI"/>
        </w:rPr>
        <w:t>विद्रोहमा</w:t>
      </w:r>
      <w:r>
        <w:rPr>
          <w:rFonts w:ascii="Times New Roman" w:hAnsi="Times New Roman" w:eastAsia="Times New Roman" w:cs="Times New Roman"/>
        </w:rPr>
        <w:t xml:space="preserve">, </w:t>
      </w:r>
      <w:r>
        <w:rPr>
          <w:rFonts w:ascii="Nirmala UI" w:hAnsi="Nirmala UI" w:eastAsia="Nirmala UI" w:cs="Nirmala UI"/>
        </w:rPr>
        <w:t>विद्रोहको</w:t>
      </w:r>
      <w:r>
        <w:rPr>
          <w:rFonts w:ascii="Times New Roman" w:hAnsi="Times New Roman" w:eastAsia="Times New Roman" w:cs="Times New Roman"/>
        </w:rPr>
        <w:t xml:space="preserve"> </w:t>
      </w:r>
      <w:r>
        <w:rPr>
          <w:rFonts w:ascii="Nirmala UI" w:hAnsi="Nirmala UI" w:eastAsia="Nirmala UI" w:cs="Nirmala UI"/>
        </w:rPr>
        <w:t>घडीमा</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उभिने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विश्वासीपनको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गोत्रका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जनलाई</w:t>
      </w:r>
      <w:r>
        <w:rPr>
          <w:rFonts w:ascii="Times New Roman" w:hAnsi="Times New Roman" w:eastAsia="Times New Roman" w:cs="Times New Roman"/>
        </w:rPr>
        <w:t xml:space="preserve"> </w:t>
      </w:r>
      <w:r>
        <w:rPr>
          <w:rFonts w:ascii="Nirmala UI" w:hAnsi="Nirmala UI" w:eastAsia="Nirmala UI" w:cs="Nirmala UI"/>
        </w:rPr>
        <w:t>पूजाहारीत्वमा</w:t>
      </w:r>
      <w:r>
        <w:rPr>
          <w:rFonts w:ascii="Times New Roman" w:hAnsi="Times New Roman" w:eastAsia="Times New Roman" w:cs="Times New Roman"/>
        </w:rPr>
        <w:t xml:space="preserve"> </w:t>
      </w:r>
      <w:r>
        <w:rPr>
          <w:rFonts w:ascii="Nirmala UI" w:hAnsi="Nirmala UI" w:eastAsia="Nirmala UI" w:cs="Nirmala UI"/>
        </w:rPr>
        <w:t>समर्पित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रद्द</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गोत्रहरूलाई</w:t>
      </w:r>
      <w:r>
        <w:rPr>
          <w:rFonts w:ascii="Times New Roman" w:hAnsi="Times New Roman" w:eastAsia="Times New Roman" w:cs="Times New Roman"/>
        </w:rPr>
        <w:t xml:space="preserve"> </w:t>
      </w:r>
      <w:r>
        <w:rPr>
          <w:rFonts w:ascii="Nirmala UI" w:hAnsi="Nirmala UI" w:eastAsia="Nirmala UI" w:cs="Nirmala UI"/>
        </w:rPr>
        <w:t>पन्छाउँदै</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गोत्रलाई</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पूजाहारीत्वको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दूतले</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छोराहरूलाई</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पार्छन्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अघिल्लो</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राखेर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जनहरू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गरिँदैछन्।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मिल्लेराइटहरू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1840 </w:t>
      </w:r>
      <w:r>
        <w:rPr>
          <w:rFonts w:ascii="Nirmala UI" w:hAnsi="Nirmala UI" w:eastAsia="Nirmala UI" w:cs="Nirmala UI"/>
        </w:rPr>
        <w:t>देखि</w:t>
      </w:r>
      <w:r>
        <w:rPr>
          <w:rFonts w:ascii="Times New Roman" w:hAnsi="Times New Roman" w:eastAsia="Times New Roman" w:cs="Times New Roman"/>
        </w:rPr>
        <w:t xml:space="preserve"> 1844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जाँचको</w:t>
      </w:r>
      <w:r>
        <w:rPr>
          <w:rFonts w:ascii="Times New Roman" w:hAnsi="Times New Roman" w:eastAsia="Times New Roman" w:cs="Times New Roman"/>
        </w:rPr>
        <w:t xml:space="preserve"> </w:t>
      </w:r>
      <w:r>
        <w:rPr>
          <w:rFonts w:ascii="Nirmala UI" w:hAnsi="Nirmala UI" w:eastAsia="Nirmala UI" w:cs="Nirmala UI"/>
        </w:rPr>
        <w:t>विषयद्वारा</w:t>
      </w:r>
      <w:r>
        <w:rPr>
          <w:rFonts w:ascii="Times New Roman" w:hAnsi="Times New Roman" w:eastAsia="Times New Roman" w:cs="Times New Roman"/>
        </w:rPr>
        <w:t xml:space="preserve"> </w:t>
      </w:r>
      <w:r>
        <w:rPr>
          <w:rFonts w:ascii="Nirmala UI" w:hAnsi="Nirmala UI" w:eastAsia="Nirmala UI" w:cs="Nirmala UI"/>
        </w:rPr>
        <w:t>शुद्धीकरणको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आउनुहुने</w:t>
      </w:r>
      <w:r>
        <w:rPr>
          <w:rFonts w:ascii="Times New Roman" w:hAnsi="Times New Roman" w:eastAsia="Times New Roman" w:cs="Times New Roman"/>
        </w:rPr>
        <w:t xml:space="preserve"> </w:t>
      </w:r>
      <w:r>
        <w:rPr>
          <w:rFonts w:ascii="Nirmala UI" w:hAnsi="Nirmala UI" w:eastAsia="Nirmala UI" w:cs="Nirmala UI"/>
        </w:rPr>
        <w:t>घटनासम्म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शुद्धीकरणको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1863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भएन।</w:t>
      </w:r>
    </w:p>
    <w:p>
      <w:pPr>
        <w:pStyle w:val="ArticleScripture"/>
        <w:jc w:val="left"/>
      </w:pPr>
      <w:r>
        <w:rPr>
          <w:rFonts w:ascii="Times New Roman" w:hAnsi="Times New Roman" w:eastAsia="Times New Roman" w:cs="Times New Roman"/>
        </w:rPr>
        <w:t>“Daniel 8:14-ի մարգարեությունը՝ «Մինչեւ երկու հազար երեք հարյուր երեկո եւ առաւօտ. ապա սրբարանը պիտի մաքրուի», եւ առաջին հրեշտակի պատգամը՝ «Վախեցէ՛ք Աստուծուց եւ փա՛ռք տուէք Նրան, որովհետեւ եկած է Նրա դատաստանի ժամը», երկուսն էլ մատնանշում էին Քրիստոսի սպասաւորութիւնը Սրբութիւնների Սրբոցում, քննչական դատաստանին, եւ ոչ թէ Քրիստոսի գալուստը՝ Իր ժողովրդին փրկելու եւ ամբարիշտներին կործանելու համար։ Սխալը չէր եղել մարգարէական ժամանակահատուածների հաշւարկի մէջ, այլ այն իրադարձութեան մէջ, որ պիտի տեղի ունենար 2300 օրերի վերջում։ Այս սխալի պատճառով հաւատացեալները յուսախաբութիւն էին կրել, սակայն այն ամէնը, ինչ մարգարեութեամբ կանխասացուած էր, եւ այն ամէնը, ինչ նրանք Սուրբ Գրքի հիման վրայ իրաւունք ունէին ակնկալելու, իրականացուած էր։ Ճիշդ այն ժամանակ, երբ նրանք ողբում էին իրենց յոյսերի խորտակումը, տեղի էր ունեցել այն իրադարձութիւնը, որ կանխասացուած էր պատգամով, եւ որը պէտք էր կատարուէր նախքան Տիրոջ յայտնուելը՝ Իր ծառաներին վարձատրութիւն տալու համար։”</w:t>
      </w:r>
    </w:p>
    <w:p>
      <w:pPr>
        <w:pStyle w:val="ArticleScripture"/>
        <w:jc w:val="left"/>
      </w:pPr>
      <w:r>
        <w:rPr>
          <w:rFonts w:ascii="Times New Roman" w:hAnsi="Times New Roman" w:eastAsia="Times New Roman" w:cs="Times New Roman"/>
        </w:rPr>
        <w:t>«Քրիստոսը եկել էր ոչ թե երկիր, ինչպես նրանք էին սպասում, այլ, ինչպես նախապատկերված էր խորհրդանշանի մեջ, երկնքում գտնվող Աստծո տաճարի Ամենասուրբ վայրը։ Մարգարե Դանիելը Նրան ներկայացնում է որպես այս ժամանակում Հինավուրց Օրերի մոտ եկողին. «Գիշերային տեսիլքներում տեսնում էի, և ահա մարդու Որդու նման մեկը գալիս էր երկնքի ամպերով և եկավ»՝ ոչ թե երկիր, այլ՝ «Հինավուրց Օրերի մոտ, և Նրան մոտեցրին Նրա առաջ»։ Դանիել 7:13։»</w:t>
      </w:r>
    </w:p>
    <w:p>
      <w:pPr>
        <w:pStyle w:val="ArticleScripture"/>
        <w:jc w:val="left"/>
      </w:pPr>
      <w:r>
        <w:rPr>
          <w:rFonts w:ascii="Times New Roman" w:hAnsi="Times New Roman" w:eastAsia="Times New Roman" w:cs="Times New Roman"/>
        </w:rPr>
        <w:t>«Гьал тӀекъам долу килса гӀаракь Малакъи пайхамарас аьлхинчила: „БетӀер, шуьга кхайкхина волу, гӀалатехь Суна храме кхочур ву, цуьнан а, шуьга безам болу Ахьд дийцархо; хьанна, Цуьнан кхочуш ву“, — олу Дуьнен тӀехь Долу Эзараллин БетӀер.» Малакъи 3:1. БетӀеран Суьна храме кхачар гӀалатехь, ца хеташ, Цуьнан халкъана дуьхьал даьлла. Уьш Цуьнан цига кхочур ву бохуш хьажа ца дийна. Уьш Цуьнан лаьтта кхочур ву тешна дара, «цӀе йовзаш долу цӀеран догӀахьа дӀакхачо, Дела ца довзаш болчарна а, Вангелин хьехамна муьтӀахь ца болуш болчарна а, гӀазот дохьуш». 2 Фессалоникехь 1:8.</w:t>
      </w:r>
    </w:p>
    <w:p>
      <w:pPr>
        <w:pStyle w:val="ArticleScripture"/>
        <w:jc w:val="left"/>
      </w:pPr>
      <w:r>
        <w:rPr>
          <w:rFonts w:ascii="Times New Roman" w:hAnsi="Times New Roman" w:eastAsia="Times New Roman" w:cs="Times New Roman"/>
        </w:rPr>
        <w:t>«Բայց ժողովուրդը դեռ պատրաստ չէր հանդիպելու իր Տիրոջը։ Դեռևս անհրաժեշտ էր նրանց համար կատարել պատրաստության մի գործ։ Պետք է լույս տրվեր՝ նրանց մտքերը ուղղելով դեպի երկնքում գտնվող Աստծո տաճարը, և երբ նրանք հավատքով հետևեին իրենց Քահանայապետին Նրա այնտեղյա ծառայության մեջ, նոր պարտականություններ պիտի հայտնվեին։ Եկեղեցուն պետք է տրվեր նախազգուշացման և խրատի ևս մի պատգամ։»</w:t>
      </w:r>
    </w:p>
    <w:p>
      <w:pPr>
        <w:pStyle w:val="ArticleScripture"/>
        <w:jc w:val="left"/>
      </w:pPr>
      <w:r>
        <w:rPr>
          <w:rFonts w:ascii="Times New Roman" w:hAnsi="Times New Roman" w:eastAsia="Times New Roman" w:cs="Times New Roman"/>
        </w:rPr>
        <w:t>“Ohrŋɔ ni nbi ‘Ɔnɔ de nyɛhɛ badzɛna no da no? na hena na obegyina sɛ ɔreba no? osi ɔyɛ tse dɛ dadehyewgya, na ɔtse dɛ ntarhohoraduru; na ɔbɛtsena ase dɛ dwetɛ dwinnyi na hohoranyi; na ɔbɛhohora Levi mba no, na ɔbɛpaapae hɔn mu dɛ sika na dwetɛ, ama wɔdze tsenenee afɔr abɔ Ewuradze no.’ Malachi 3:2, 3. Wɔn a wɔtse ase wɔ asaase do ber a Christ ne mpaebɔmu adwuma begyae wɔ sor santu hɔ no, ɔsɛ dɛ wogyina kronkron Nyankopɔn enyim a wɔnnyi gyidzikasafowanyi biara. Ɔsɛ dɛ hɔn ntar yɛ fɛfɛw; ɔsɛ dɛ wɔdze pɛsɛnpɛsɛn mogya no hohora hɔn suban fi bɔn ho. Nyankopɔn adom na hɔnankasa mbɔdzenbɔ a wɔdze si pi no ntsi, ɔsɛ dɛ wɔyɛ nkunyimdifo wɔ ko a wɔko tsia bɔn no mu. Ber a nhwehwɛmu atembu no rokɔ do wɔ sor no, ber a wɔreyi adzebɔnfakyɛ gyidzinyi hɔn bɔn efi santu hɔ no, ɔsɛ dɛ ahotew adwuma bi soronko, bɔn a wɔpa gu no, kɔ do wɔ Nyankopɔn nkorɔfo a wɔwɔ asaase do no mu. Wɔda adwuma yi edzi pefee kɛse wɔ Nkrasɛm 14 nkrahorow no mu.</w:t>
      </w:r>
    </w:p>
    <w:p>
      <w:pPr>
        <w:pStyle w:val="ArticleScripture"/>
        <w:jc w:val="left"/>
      </w:pPr>
      <w:r>
        <w:rPr>
          <w:rFonts w:ascii="Times New Roman" w:hAnsi="Times New Roman" w:eastAsia="Times New Roman" w:cs="Times New Roman"/>
        </w:rPr>
        <w:t>“</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ꯂꯩꯔꯕꯗꯥ</w:t>
      </w:r>
      <w:r>
        <w:rPr>
          <w:rFonts w:ascii="Times New Roman" w:hAnsi="Times New Roman" w:eastAsia="Times New Roman" w:cs="Times New Roman"/>
        </w:rPr>
        <w:t xml:space="preserve">, </w:t>
      </w:r>
      <w:r>
        <w:rPr>
          <w:rFonts w:ascii="Nirmala UI" w:hAnsi="Nirmala UI" w:eastAsia="Nirmala UI" w:cs="Nirmala UI"/>
        </w:rPr>
        <w:t>ꯈ꯭ꯔꯤꯁꯇꯒꯤ</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ꯄꯥꯡꯕꯁꯤꯡ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ꯎꯠꯄꯥꯗꯥ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ꯁꯦꯝꯁꯥꯔꯛꯄꯥ</w:t>
      </w:r>
      <w:r>
        <w:rPr>
          <w:rFonts w:ascii="Times New Roman" w:hAnsi="Times New Roman" w:eastAsia="Times New Roman" w:cs="Times New Roman"/>
        </w:rPr>
        <w:t xml:space="preserve"> </w:t>
      </w:r>
      <w:r>
        <w:rPr>
          <w:rFonts w:ascii="Nirmala UI" w:hAnsi="Nirmala UI" w:eastAsia="Nirmala UI" w:cs="Nirmala UI"/>
        </w:rPr>
        <w:t>ꯑꯣꯏꯔꯒꯅꯤ꯫</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ꯖꯨꯗꯥ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ꯖꯦꯔꯨꯁꯂꯦꯝꯒꯤ</w:t>
      </w:r>
      <w:r>
        <w:rPr>
          <w:rFonts w:ascii="Times New Roman" w:hAnsi="Times New Roman" w:eastAsia="Times New Roman" w:cs="Times New Roman"/>
        </w:rPr>
        <w:t xml:space="preserve"> </w:t>
      </w:r>
      <w:r>
        <w:rPr>
          <w:rFonts w:ascii="Nirmala UI" w:hAnsi="Nirmala UI" w:eastAsia="Nirmala UI" w:cs="Nirmala UI"/>
        </w:rPr>
        <w:t>ꯑꯣꯐꯔꯤꯡ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ꯅꯨꯃꯤৎꯁꯤꯗꯒꯤ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ꯆꯍꯤꯁꯤꯡꯗꯥ</w:t>
      </w:r>
      <w:r>
        <w:rPr>
          <w:rFonts w:ascii="Times New Roman" w:hAnsi="Times New Roman" w:eastAsia="Times New Roman" w:cs="Times New Roman"/>
        </w:rPr>
        <w:t xml:space="preserve"> </w:t>
      </w:r>
      <w:r>
        <w:rPr>
          <w:rFonts w:ascii="Nirmala UI" w:hAnsi="Nirmala UI" w:eastAsia="Nirmala UI" w:cs="Nirmala UI"/>
        </w:rPr>
        <w:t>ꯑꯣꯏꯈꯤꯕ</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ꯑꯗꯨꯒꯨꯝꯕꯅꯥ</w:t>
      </w:r>
      <w:r>
        <w:rPr>
          <w:rFonts w:ascii="Times New Roman" w:hAnsi="Times New Roman" w:eastAsia="Times New Roman" w:cs="Times New Roman"/>
        </w:rPr>
        <w:t xml:space="preserve"> </w:t>
      </w:r>
      <w:r>
        <w:rPr>
          <w:rFonts w:ascii="Nirmala UI" w:hAnsi="Nirmala UI" w:eastAsia="Nirmala UI" w:cs="Nirmala UI"/>
        </w:rPr>
        <w:t>ꯄ꯭ꯔꯚꯨꯗꯥ</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ꯑꯣꯏꯔꯒꯅꯤ꯫</w:t>
      </w:r>
      <w:r>
        <w:rPr>
          <w:rFonts w:ascii="Times New Roman" w:hAnsi="Times New Roman" w:eastAsia="Times New Roman" w:cs="Times New Roman"/>
        </w:rPr>
        <w:t xml:space="preserve">’ Malachi 3:4.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ꯑꯩꯈꯣꯌꯒꯤ</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ꯎꯠꯂꯛꯄꯗꯥ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ꯂꯧꯖꯤꯟꯕꯒꯤ</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ꯃꯌꯥꯡ</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ꯃꯥꯟ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ꯃꯁꯨꯝ</w:t>
      </w:r>
      <w:r>
        <w:rPr>
          <w:rFonts w:ascii="Times New Roman" w:hAnsi="Times New Roman" w:eastAsia="Times New Roman" w:cs="Times New Roman"/>
        </w:rPr>
        <w:t xml:space="preserve"> </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ꯑꯣꯏꯔꯒꯅꯤ꯫</w:t>
      </w:r>
      <w:r>
        <w:rPr>
          <w:rFonts w:ascii="Times New Roman" w:hAnsi="Times New Roman" w:eastAsia="Times New Roman" w:cs="Times New Roman"/>
        </w:rPr>
        <w:t xml:space="preserve"> Ephesians 5:27.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ꯅꯨꯡꯁꯤꯠꯒꯤ</w:t>
      </w:r>
      <w:r>
        <w:rPr>
          <w:rFonts w:ascii="Times New Roman" w:hAnsi="Times New Roman" w:eastAsia="Times New Roman" w:cs="Times New Roman"/>
        </w:rPr>
        <w:t xml:space="preserve"> </w:t>
      </w:r>
      <w:r>
        <w:rPr>
          <w:rFonts w:ascii="Nirmala UI" w:hAnsi="Nirmala UI" w:eastAsia="Nirmala UI" w:cs="Nirmala UI"/>
        </w:rPr>
        <w:t>ꯑꯣꯡꯄꯥꯛ</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ꯊꯥꯁꯤꯡ</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ꯐꯖꯕ</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ꯑꯃꯒꯨꯝꯕ</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ꯐꯤꯖꯣꯜ</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ꯂꯥꯟꯃꯤꯁꯦꯟꯥ</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ꯎꯠꯂꯛꯀꯅꯤ꯫</w:t>
      </w:r>
      <w:r>
        <w:rPr>
          <w:rFonts w:ascii="Times New Roman" w:hAnsi="Times New Roman" w:eastAsia="Times New Roman" w:cs="Times New Roman"/>
        </w:rPr>
        <w:t xml:space="preserve"> Song of Solomon 6:10.”</w:t>
      </w:r>
    </w:p>
    <w:p>
      <w:pPr>
        <w:pStyle w:val="ArticleScripture"/>
        <w:jc w:val="left"/>
      </w:pPr>
      <w:r>
        <w:rPr>
          <w:rFonts w:ascii="Times New Roman" w:hAnsi="Times New Roman" w:eastAsia="Times New Roman" w:cs="Times New Roman"/>
        </w:rPr>
        <w:t>“</w:t>
      </w:r>
      <w:r>
        <w:rPr>
          <w:rFonts w:ascii="Nirmala UI" w:hAnsi="Nirmala UI" w:eastAsia="Nirmala UI" w:cs="Nirmala UI"/>
        </w:rPr>
        <w:t>ब्यांत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यान्हें</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अलावा</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नज़दीक</w:t>
      </w:r>
      <w:r>
        <w:rPr>
          <w:rFonts w:ascii="Times New Roman" w:hAnsi="Times New Roman" w:eastAsia="Times New Roman" w:cs="Times New Roman"/>
        </w:rPr>
        <w:t xml:space="preserve"> </w:t>
      </w:r>
      <w:r>
        <w:rPr>
          <w:rFonts w:ascii="Nirmala UI" w:hAnsi="Nirmala UI" w:eastAsia="Nirmala UI" w:cs="Nirmala UI"/>
        </w:rPr>
        <w:t>आऊँगा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जादूगरन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व्यभिचारियन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खावइयन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मज़दूर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मज़दूरी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विधवा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हमसे</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3:5.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आवत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अभक्त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अभक्त</w:t>
      </w:r>
      <w:r>
        <w:rPr>
          <w:rFonts w:ascii="Times New Roman" w:hAnsi="Times New Roman" w:eastAsia="Times New Roman" w:cs="Times New Roman"/>
        </w:rPr>
        <w:t xml:space="preserve"> </w:t>
      </w:r>
      <w:r>
        <w:rPr>
          <w:rFonts w:ascii="Nirmala UI" w:hAnsi="Nirmala UI" w:eastAsia="Nirmala UI" w:cs="Nirmala UI"/>
        </w:rPr>
        <w:t>कामन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ठहरावे</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14, 15.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आवन</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घटनाएँ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ሊቀ</w:t>
      </w:r>
      <w:r>
        <w:rPr>
          <w:rFonts w:ascii="Times New Roman" w:hAnsi="Times New Roman" w:eastAsia="Times New Roman" w:cs="Times New Roman"/>
        </w:rPr>
        <w:t xml:space="preserve"> </w:t>
      </w:r>
      <w:r>
        <w:rPr>
          <w:rFonts w:ascii="Ebrima" w:hAnsi="Ebrima" w:eastAsia="Ebrima" w:cs="Ebrima"/>
        </w:rPr>
        <w:t>ካህናታችን</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ለመቅደሱ</w:t>
      </w:r>
      <w:r>
        <w:rPr>
          <w:rFonts w:ascii="Times New Roman" w:hAnsi="Times New Roman" w:eastAsia="Times New Roman" w:cs="Times New Roman"/>
        </w:rPr>
        <w:t xml:space="preserve"> </w:t>
      </w:r>
      <w:r>
        <w:rPr>
          <w:rFonts w:ascii="Ebrima" w:hAnsi="Ebrima" w:eastAsia="Ebrima" w:cs="Ebrima"/>
        </w:rPr>
        <w:t>መንጻት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ቅዱሱ</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መምጣቱ፣</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 xml:space="preserve">14 </w:t>
      </w:r>
      <w:r>
        <w:rPr>
          <w:rFonts w:ascii="Ebrima" w:hAnsi="Ebrima" w:eastAsia="Ebrima" w:cs="Ebrima"/>
        </w:rPr>
        <w:t>የተገለጠው፤</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ሽማግሌ</w:t>
      </w:r>
      <w:r>
        <w:rPr>
          <w:rFonts w:ascii="Times New Roman" w:hAnsi="Times New Roman" w:eastAsia="Times New Roman" w:cs="Times New Roman"/>
        </w:rPr>
        <w:t xml:space="preserve"> </w:t>
      </w:r>
      <w:r>
        <w:rPr>
          <w:rFonts w:ascii="Ebrima" w:hAnsi="Ebrima" w:eastAsia="Ebrima" w:cs="Ebrima"/>
        </w:rPr>
        <w:t>መምጣቱ፣</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7</w:t>
      </w:r>
      <w:r>
        <w:rPr>
          <w:rFonts w:ascii="Ebrima" w:hAnsi="Ebrima" w:eastAsia="Ebrima" w:cs="Ebrima"/>
        </w:rPr>
        <w:t>፥</w:t>
      </w:r>
      <w:r>
        <w:rPr>
          <w:rFonts w:ascii="Times New Roman" w:hAnsi="Times New Roman" w:eastAsia="Times New Roman" w:cs="Times New Roman"/>
        </w:rPr>
        <w:t xml:space="preserve">13 </w:t>
      </w:r>
      <w:r>
        <w:rPr>
          <w:rFonts w:ascii="Ebrima" w:hAnsi="Ebrima" w:eastAsia="Ebrima" w:cs="Ebrima"/>
        </w:rPr>
        <w:t>እንደቀረበው፤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መምጣቱ፣</w:t>
      </w:r>
      <w:r>
        <w:rPr>
          <w:rFonts w:ascii="Times New Roman" w:hAnsi="Times New Roman" w:eastAsia="Times New Roman" w:cs="Times New Roman"/>
        </w:rPr>
        <w:t xml:space="preserve"> </w:t>
      </w:r>
      <w:r>
        <w:rPr>
          <w:rFonts w:ascii="Ebrima" w:hAnsi="Ebrima" w:eastAsia="Ebrima" w:cs="Ebrima"/>
        </w:rPr>
        <w:t>በሚልክያስ</w:t>
      </w:r>
      <w:r>
        <w:rPr>
          <w:rFonts w:ascii="Times New Roman" w:hAnsi="Times New Roman" w:eastAsia="Times New Roman" w:cs="Times New Roman"/>
        </w:rPr>
        <w:t xml:space="preserve"> </w:t>
      </w:r>
      <w:r>
        <w:rPr>
          <w:rFonts w:ascii="Ebrima" w:hAnsi="Ebrima" w:eastAsia="Ebrima" w:cs="Ebrima"/>
        </w:rPr>
        <w:t>እንደተነበየው፣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የአንድና</w:t>
      </w:r>
      <w:r>
        <w:rPr>
          <w:rFonts w:ascii="Times New Roman" w:hAnsi="Times New Roman" w:eastAsia="Times New Roman" w:cs="Times New Roman"/>
        </w:rPr>
        <w:t xml:space="preserve"> </w:t>
      </w:r>
      <w:r>
        <w:rPr>
          <w:rFonts w:ascii="Ebrima" w:hAnsi="Ebrima" w:eastAsia="Ebrima" w:cs="Ebrima"/>
        </w:rPr>
        <w:t>የአንዲት</w:t>
      </w:r>
      <w:r>
        <w:rPr>
          <w:rFonts w:ascii="Times New Roman" w:hAnsi="Times New Roman" w:eastAsia="Times New Roman" w:cs="Times New Roman"/>
        </w:rPr>
        <w:t xml:space="preserve"> </w:t>
      </w:r>
      <w:r>
        <w:rPr>
          <w:rFonts w:ascii="Ebrima" w:hAnsi="Ebrima" w:eastAsia="Ebrima" w:cs="Ebrima"/>
        </w:rPr>
        <w:t>ክስተት</w:t>
      </w:r>
      <w:r>
        <w:rPr>
          <w:rFonts w:ascii="Times New Roman" w:hAnsi="Times New Roman" w:eastAsia="Times New Roman" w:cs="Times New Roman"/>
        </w:rPr>
        <w:t xml:space="preserve"> </w:t>
      </w:r>
      <w:r>
        <w:rPr>
          <w:rFonts w:ascii="Ebrima" w:hAnsi="Ebrima" w:eastAsia="Ebrima" w:cs="Ebrima"/>
        </w:rPr>
        <w:t>መግለጫዎች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በማቴዎስ</w:t>
      </w:r>
      <w:r>
        <w:rPr>
          <w:rFonts w:ascii="Times New Roman" w:hAnsi="Times New Roman" w:eastAsia="Times New Roman" w:cs="Times New Roman"/>
        </w:rPr>
        <w:t xml:space="preserve"> 25 </w:t>
      </w:r>
      <w:r>
        <w:rPr>
          <w:rFonts w:ascii="Ebrima" w:hAnsi="Ebrima" w:eastAsia="Ebrima" w:cs="Ebrima"/>
        </w:rPr>
        <w:t>በተጻፈው</w:t>
      </w:r>
      <w:r>
        <w:rPr>
          <w:rFonts w:ascii="Times New Roman" w:hAnsi="Times New Roman" w:eastAsia="Times New Roman" w:cs="Times New Roman"/>
        </w:rPr>
        <w:t xml:space="preserve"> </w:t>
      </w:r>
      <w:r>
        <w:rPr>
          <w:rFonts w:ascii="Ebrima" w:hAnsi="Ebrima" w:eastAsia="Ebrima" w:cs="Ebrima"/>
        </w:rPr>
        <w:t>የአሥሩ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እንደገለጸው</w:t>
      </w:r>
      <w:r>
        <w:rPr>
          <w:rFonts w:ascii="Times New Roman" w:hAnsi="Times New Roman" w:eastAsia="Times New Roman" w:cs="Times New Roman"/>
        </w:rPr>
        <w:t xml:space="preserve"> </w:t>
      </w:r>
      <w:r>
        <w:rPr>
          <w:rFonts w:ascii="Ebrima" w:hAnsi="Ebrima" w:eastAsia="Ebrima" w:cs="Ebrima"/>
        </w:rPr>
        <w:t>የሙሽራው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ሰርግ</w:t>
      </w:r>
      <w:r>
        <w:rPr>
          <w:rFonts w:ascii="Times New Roman" w:hAnsi="Times New Roman" w:eastAsia="Times New Roman" w:cs="Times New Roman"/>
        </w:rPr>
        <w:t xml:space="preserve"> </w:t>
      </w:r>
      <w:r>
        <w:rPr>
          <w:rFonts w:ascii="Ebrima" w:hAnsi="Ebrima" w:eastAsia="Ebrima" w:cs="Ebrima"/>
        </w:rPr>
        <w:t>መምጣት</w:t>
      </w:r>
      <w:r>
        <w:rPr>
          <w:rFonts w:ascii="Times New Roman" w:hAnsi="Times New Roman" w:eastAsia="Times New Roman" w:cs="Times New Roman"/>
        </w:rPr>
        <w:t xml:space="preserve"> </w:t>
      </w:r>
      <w:r>
        <w:rPr>
          <w:rFonts w:ascii="Ebrima" w:hAnsi="Ebrima" w:eastAsia="Ebrima" w:cs="Ebrima"/>
        </w:rPr>
        <w:t>በሚወክለው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ተወክሏል።</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ተጋድሎ፣</w:t>
      </w:r>
      <w:r>
        <w:rPr>
          <w:rFonts w:ascii="Times New Roman" w:hAnsi="Times New Roman" w:eastAsia="Times New Roman" w:cs="Times New Roman"/>
        </w:rPr>
        <w:t xml:space="preserve"> 424–426</w:t>
      </w:r>
      <w:r>
        <w:rPr>
          <w:rFonts w:ascii="Ebrima" w:hAnsi="Ebrima" w:eastAsia="Ebrima" w:cs="Ebrima"/>
        </w:rPr>
        <w:t>።</w:t>
      </w:r>
    </w:p>
    <w:p>
      <w:pPr>
        <w:pStyle w:val="ArticleBody"/>
        <w:jc w:val="left"/>
      </w:pP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“Ama-sikwa ukuba ndiqwalasele umzekeliso weentombi ezilishumi, ezintlanu kuzo zazilumkile, zaza ezintlanu zaba zizidenge. Lo mzekeliso uzalisekisiwe kwaye uya kuqhubeka uzalisekiswa ngokwentsingiselo yawo kanye, kuba unokusetyenziswa okukhethekileyo kweli xesha, yaye, njengomyalezo wengelosi yesithathu, uzalisekisiwe kwaye uya kuqhubeka uyinyaniso yangoku kude kube sekupheleni kwexesha.” Review and Herald, Agasti 19, 1890.</w:t>
      </w:r>
    </w:p>
    <w:p>
      <w:pPr>
        <w:pStyle w:val="ArticleBody"/>
        <w:jc w:val="left"/>
      </w:pPr>
      <w:r>
        <w:rPr>
          <w:rFonts w:ascii="Times New Roman" w:hAnsi="Times New Roman" w:eastAsia="Times New Roman" w:cs="Times New Roman"/>
        </w:rPr>
        <w:t>Kung ang apat na “pagparito” ay “mga paglalarawan ng iisang pangyayari,” kung gayon ang apat na “pagparito” na natupad sa pasimula ng Adventismo sa kilusang Millerita ay “matutupad” muli “sa bawat titik” sa kilusang Elias sa katapusan ng Adventismo.</w:t>
      </w:r>
    </w:p>
    <w:p>
      <w:pPr>
        <w:pStyle w:val="ArticleBody"/>
        <w:jc w:val="left"/>
      </w:pPr>
      <w:r>
        <w:rPr>
          <w:rFonts w:ascii="Times New Roman" w:hAnsi="Times New Roman" w:eastAsia="Times New Roman" w:cs="Times New Roman"/>
        </w:rPr>
        <w:t>William Miller y los Milleritas fueron los representantes del mensaje del primer ángel, y en el mismo pasaje de Early Writings que citamos recientemente, el mensaje del primer ángel poseía las mismas características de Juan el Bautista. Citamos el pasaje que dice que quienes rechazaron el mensaje de Juan el Bautista no podían beneficiarse de las enseñanzas de Jesús. En el párrafo siguiente ella dice: “Aquellos que rechazaron el primer mensaje no podían ser beneficiados por el segundo; ni tampoco fueron beneficiados por el clamor de medianoche, que había de prepararlos para entrar con Jesús por la fe en el lugar santísimo del santuario celestial.” Tanto William Miller como Juan el Bautista representan instrumentos de juicio.</w:t>
      </w:r>
    </w:p>
    <w:p>
      <w:pPr>
        <w:pStyle w:val="ArticleBody"/>
        <w:jc w:val="left"/>
      </w:pPr>
      <w:r>
        <w:rPr>
          <w:rFonts w:ascii="Times New Roman" w:hAnsi="Times New Roman" w:eastAsia="Times New Roman" w:cs="Times New Roman"/>
        </w:rPr>
        <w:t>Aneynkak ni hokturakaneng, kairang meam chakatgiminrangko seng∙aniko jechakani gimin dos gnangja ine chanako man∙jawa. Isol uni gni watatgiminrangko jakkalchi Laodiceani papni rimgimin bakko ra∙angaha, aro indake skang nirokgimin manderangni Laodiceani golgipa ong∙aniko mesokaha, indake ma∙sina gita sa sandesko ra∙baha je, uko ra∙chakgenma ba jechakgenma, bichalni somoio uan indine chin ong∙gen je katchinikgipa sa uamangni gisepo dongachim. 1840 ni saloni 1844 ni salona janggi tangkani itihasko Karmel A∙bri so∙otao Eliyani bolirangni kosako wa∙alni ong∙baani chi∙songanichi mesokaha. Beben katchinikgipako tol∙a katchinikgiparangoni dingtangatako man∙aha.</w:t>
      </w:r>
    </w:p>
    <w:p>
      <w:pPr>
        <w:pStyle w:val="ArticleBody"/>
        <w:jc w:val="left"/>
      </w:pP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तस्मिन्</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अस्माभिः</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अनन्तरं</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प्रवृत्तस्य</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w:t>
      </w:r>
      <w:r>
        <w:rPr>
          <w:rFonts w:ascii="Nirmala UI" w:hAnsi="Nirmala UI" w:eastAsia="Nirmala UI" w:cs="Nirmala UI"/>
        </w:rPr>
        <w:t>प्रक्रियायाः</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निर्देष्टव्या।</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उक्तवती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अनन्तरं</w:t>
      </w:r>
      <w:r>
        <w:rPr>
          <w:rFonts w:ascii="Times New Roman" w:hAnsi="Times New Roman" w:eastAsia="Times New Roman" w:cs="Times New Roman"/>
        </w:rPr>
        <w:t xml:space="preserve"> “the people were not yet ready to meet their Lord. There was still a work of preparation to be accomplished for them. Light was to be given, directing their minds to the temple of God in heaven; and as they should by faith follow their High Priest in His ministration there, new duties would be revealed. Another message of warning and instruction was to be given to the church.”</w:t>
      </w:r>
    </w:p>
    <w:p>
      <w:pPr>
        <w:pStyle w:val="ArticleBody"/>
        <w:jc w:val="left"/>
      </w:pPr>
      <w:r>
        <w:rPr>
          <w:rFonts w:ascii="Times New Roman" w:hAnsi="Times New Roman" w:eastAsia="Times New Roman" w:cs="Times New Roman"/>
        </w:rPr>
        <w:t>Ben xbe̱j̱in Adventism tenzde̱é laa “seven times” Leviticus twenty-six, da Daniel gí “oath” shí Moses, hadaał yaa naltsoosígíí hólǫ́ doo biniiyé da nitsáhákeesgo, t’áá ajiłiił da doo bee hadaał’į́į́ʼ da, díí t’áá nihá ályaa haneʼ bee naʼanishgo, t’áá ajiłiił da naaltsoos bee haneʼígíí biyiʼ yáʼátʼéego nidaalnishgo, át’éego t’áá hwiindzinííłígíí biyiʼ hólǫ́go, doo aałtso bílaʼashdlaʼii haneʼígíí biyiʼ hastiin da.</w:t>
      </w:r>
    </w:p>
    <w:p>
      <w:pPr>
        <w:pStyle w:val="ArticleBody"/>
        <w:jc w:val="left"/>
      </w:pPr>
      <w:r>
        <w:rPr>
          <w:rFonts w:ascii="Times New Roman" w:hAnsi="Times New Roman" w:eastAsia="Times New Roman" w:cs="Times New Roman"/>
        </w:rPr>
        <w:t>Asay yuyachisun hamuq qillqapi pichanapaq rurayninraq purisqanta, hinaspataq qallarisun 1840 watakunapi Millerita Adventismo chaskisqa cheqaq Protestantismoq waqran Republicanismoq waqranwan tinkuchiyta.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Էղիա — Թիվ Երրորդ</dc:title>
  <dc:subject>ᎬᏂᏳᏉ ᎠᏓᏟᎶᏍᏗᏱ ᎩᎶᏂᎨᏒᎢ</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