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Número Cuatro</w:t>
      </w:r>
    </w:p>
    <w:p>
      <w:pPr>
        <w:pStyle w:val="ArticleSubtitle"/>
        <w:jc w:val="left"/>
      </w:pPr>
      <w:r>
        <w:rPr>
          <w:rFonts w:ascii="Arial" w:hAnsi="Arial" w:eastAsia="Arial" w:cs="Arial"/>
        </w:rPr>
        <w:t>Esclavitud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Nzinzi Nya Eliya yandi yibandi ntangu yina yandi zabisaki nde mvula ta bua ko, kaka na ndinga na yandi, mvu tatu ne ndambu.</w:t>
      </w:r>
    </w:p>
    <w:p>
      <w:pPr>
        <w:pStyle w:val="ArticleScripture"/>
        <w:jc w:val="left"/>
      </w:pPr>
      <w:r>
        <w:rPr>
          <w:rFonts w:ascii="Times New Roman" w:hAnsi="Times New Roman" w:eastAsia="Times New Roman" w:cs="Times New Roman"/>
        </w:rPr>
        <w:t>Ñandejára Israel Jára oikovéva rérape, henondépe che aime hag̃ua, he’i Acab-pe Elías tisbita, Galaad-yguakuéra apytégua: ko’ã áño pukukue ndaiporimo’ãi ysapy ni ama, che ñe’ẽ rupínte añónte. 1 Reyes 17:1.</w:t>
      </w:r>
    </w:p>
    <w:p>
      <w:pPr>
        <w:pStyle w:val="ArticleBody"/>
        <w:jc w:val="left"/>
      </w:pPr>
      <w:r>
        <w:rPr>
          <w:rFonts w:ascii="Times New Roman" w:hAnsi="Times New Roman" w:eastAsia="Times New Roman" w:cs="Times New Roman"/>
        </w:rPr>
        <w:t>Sa tatlo’t kalahating taong iyon ay inilalarawan ang kasaysayan ng Thyatira mula 538 hanggang 1798. Noong 1798, sa katapusan ng panahon ng tagtuyot, tinawag ni Elias si Ahab sa Carmel. Ipinahayag ng mensahe ng unang anghel ang oras ng paghuhukom ng Diyos noong Oktubre 22, 1844. Ang mensahe ng unang anghel ang utos kay Ahab na tipunin ang buong Israel sa Carmel.</w:t>
      </w:r>
    </w:p>
    <w:p>
      <w:pPr>
        <w:pStyle w:val="ArticleScripture"/>
        <w:jc w:val="left"/>
      </w:pPr>
      <w:r>
        <w:rPr>
          <w:rFonts w:ascii="Times New Roman" w:hAnsi="Times New Roman" w:eastAsia="Times New Roman" w:cs="Times New Roman"/>
        </w:rPr>
        <w:t>Nangyari nga, nang makita ni Ahab si Elias, ay sinabi ni Ahab sa kaniya, Ikaw ba yaong bumabagabag sa Israel? At siya’y sumagot, Hindi ko binagabag ang Israel; kundi ikaw, at ang sangbahayan ng iyong ama, sapagkat inyong tinalikdan ang mga utos ng Panginoon, at ikaw ay sumunod sa mga Baal. Kaya nga ngayon ay magsugo ka, at tipunin mo sa akin ang buong Israel sa bundok ng Carmel, at ang apat na raan at limampung propeta ni Baal, at ang apat na raang propeta ng mga kakahuyan, na nagsisikain sa dulang ni Jezebel. Kaya nagsugo si Ahab sa lahat ng mga anak ni Israel, at tinipon ang mga propeta sa bundok ng Carmel. At lumapit si Elias sa buong bayan, at nagsabi, Hanggang kailan kayo mag-aatubili sa pagitan ng dalawang akala? kung ang Panginoon ay Diyos, sumunod kayo sa kaniya: ngunit kung si Baal, ay sumunod kayo sa kaniya. At hindi siya sinagot ng bayan ng kahit isang salita. 1 Hari 18:17–21.</w:t>
      </w:r>
    </w:p>
    <w:p>
      <w:pPr>
        <w:pStyle w:val="ArticleBody"/>
        <w:jc w:val="left"/>
      </w:pPr>
      <w:r>
        <w:rPr>
          <w:rFonts w:ascii="Segoe UI Historic" w:hAnsi="Segoe UI Historic" w:eastAsia="Segoe UI Historic" w:cs="Segoe UI Historic"/>
        </w:rPr>
        <w:t>ܟܠܗ</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ܐܬܟܢܫ</w:t>
      </w:r>
      <w:r>
        <w:rPr>
          <w:rFonts w:ascii="Times New Roman" w:hAnsi="Times New Roman" w:eastAsia="Times New Roman" w:cs="Times New Roman"/>
        </w:rPr>
        <w:t xml:space="preserve"> </w:t>
      </w:r>
      <w:r>
        <w:rPr>
          <w:rFonts w:ascii="Segoe UI Historic" w:hAnsi="Segoe UI Historic" w:eastAsia="Segoe UI Historic" w:cs="Segoe UI Historic"/>
        </w:rPr>
        <w:t>ܠܟܪܡܠܐ</w:t>
      </w:r>
      <w:r>
        <w:rPr>
          <w:rFonts w:ascii="Times New Roman" w:hAnsi="Times New Roman" w:eastAsia="Times New Roman" w:cs="Times New Roman"/>
        </w:rPr>
        <w:t xml:space="preserve"> </w:t>
      </w:r>
      <w:r>
        <w:rPr>
          <w:rFonts w:ascii="Segoe UI Historic" w:hAnsi="Segoe UI Historic" w:eastAsia="Segoe UI Historic" w:cs="Segoe UI Historic"/>
        </w:rPr>
        <w:t>ܒܙܒܢܗ</w:t>
      </w:r>
      <w:r>
        <w:rPr>
          <w:rFonts w:ascii="Times New Roman" w:hAnsi="Times New Roman" w:eastAsia="Times New Roman" w:cs="Times New Roman"/>
        </w:rPr>
        <w:t xml:space="preserve"> </w:t>
      </w:r>
      <w:r>
        <w:rPr>
          <w:rFonts w:ascii="Segoe UI Historic" w:hAnsi="Segoe UI Historic" w:eastAsia="Segoe UI Historic" w:cs="Segoe UI Historic"/>
        </w:rPr>
        <w:t>ܕܐܠܝܐ</w:t>
      </w:r>
      <w:r>
        <w:rPr>
          <w:rFonts w:ascii="Times New Roman" w:hAnsi="Times New Roman" w:eastAsia="Times New Roman" w:cs="Times New Roman"/>
        </w:rPr>
        <w:t xml:space="preserve">، </w:t>
      </w:r>
      <w:r>
        <w:rPr>
          <w:rFonts w:ascii="Segoe UI Historic" w:hAnsi="Segoe UI Historic" w:eastAsia="Segoe UI Historic" w:cs="Segoe UI Historic"/>
        </w:rPr>
        <w:t>ܘܗܕܐ</w:t>
      </w:r>
      <w:r>
        <w:rPr>
          <w:rFonts w:ascii="Times New Roman" w:hAnsi="Times New Roman" w:eastAsia="Times New Roman" w:cs="Times New Roman"/>
        </w:rPr>
        <w:t xml:space="preserve"> </w:t>
      </w:r>
      <w:r>
        <w:rPr>
          <w:rFonts w:ascii="Segoe UI Historic" w:hAnsi="Segoe UI Historic" w:eastAsia="Segoe UI Historic" w:cs="Segoe UI Historic"/>
        </w:rPr>
        <w:t>ܒܬܪܗ</w:t>
      </w:r>
      <w:r>
        <w:rPr>
          <w:rFonts w:ascii="Times New Roman" w:hAnsi="Times New Roman" w:eastAsia="Times New Roman" w:cs="Times New Roman"/>
        </w:rPr>
        <w:t xml:space="preserve"> </w:t>
      </w:r>
      <w:r>
        <w:rPr>
          <w:rFonts w:ascii="Segoe UI Historic" w:hAnsi="Segoe UI Historic" w:eastAsia="Segoe UI Historic" w:cs="Segoe UI Historic"/>
        </w:rPr>
        <w:t>ܡܝܲܨܦܐ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ܠܬܫܥܝܬܗ</w:t>
      </w:r>
      <w:r>
        <w:rPr>
          <w:rFonts w:ascii="Times New Roman" w:hAnsi="Times New Roman" w:eastAsia="Times New Roman" w:cs="Times New Roman"/>
        </w:rPr>
        <w:t xml:space="preserve"> </w:t>
      </w:r>
      <w:r>
        <w:rPr>
          <w:rFonts w:ascii="Segoe UI Historic" w:hAnsi="Segoe UI Historic" w:eastAsia="Segoe UI Historic" w:cs="Segoe UI Historic"/>
        </w:rPr>
        <w:t>ܕܘܝܠܝܐܡ</w:t>
      </w:r>
      <w:r>
        <w:rPr>
          <w:rFonts w:ascii="Times New Roman" w:hAnsi="Times New Roman" w:eastAsia="Times New Roman" w:cs="Times New Roman"/>
        </w:rPr>
        <w:t xml:space="preserve"> </w:t>
      </w:r>
      <w:r>
        <w:rPr>
          <w:rFonts w:ascii="Segoe UI Historic" w:hAnsi="Segoe UI Historic" w:eastAsia="Segoe UI Historic" w:cs="Segoe UI Historic"/>
        </w:rPr>
        <w:t>ܡܝܠܪ</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ܬܠܬ</w:t>
      </w:r>
      <w:r>
        <w:rPr>
          <w:rFonts w:ascii="Times New Roman" w:hAnsi="Times New Roman" w:eastAsia="Times New Roman" w:cs="Times New Roman"/>
        </w:rPr>
        <w:t xml:space="preserve"> </w:t>
      </w:r>
      <w:r>
        <w:rPr>
          <w:rFonts w:ascii="Segoe UI Historic" w:hAnsi="Segoe UI Historic" w:eastAsia="Segoe UI Historic" w:cs="Segoe UI Historic"/>
        </w:rPr>
        <w:t>ܥܕ</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ܕܓܠܝܢܐ</w:t>
      </w:r>
      <w:r>
        <w:rPr>
          <w:rFonts w:ascii="Times New Roman" w:hAnsi="Times New Roman" w:eastAsia="Times New Roman" w:cs="Times New Roman"/>
        </w:rPr>
        <w:t xml:space="preserve"> </w:t>
      </w:r>
      <w:r>
        <w:rPr>
          <w:rFonts w:ascii="Segoe UI Historic" w:hAnsi="Segoe UI Historic" w:eastAsia="Segoe UI Historic" w:cs="Segoe UI Historic"/>
        </w:rPr>
        <w:t>ܕܝܘܚܢܢ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ܐܬܟܢܫܘ</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ܥܕܬܐ</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ܥܪܩܬ</w:t>
      </w:r>
      <w:r>
        <w:rPr>
          <w:rFonts w:ascii="Times New Roman" w:hAnsi="Times New Roman" w:eastAsia="Times New Roman" w:cs="Times New Roman"/>
        </w:rPr>
        <w:t xml:space="preserve"> </w:t>
      </w:r>
      <w:r>
        <w:rPr>
          <w:rFonts w:ascii="Segoe UI Historic" w:hAnsi="Segoe UI Historic" w:eastAsia="Segoe UI Historic" w:cs="Segoe UI Historic"/>
        </w:rPr>
        <w:t>ܠܡܕܒܪܐ</w:t>
      </w:r>
      <w:r>
        <w:rPr>
          <w:rFonts w:ascii="Times New Roman" w:hAnsi="Times New Roman" w:eastAsia="Times New Roman" w:cs="Times New Roman"/>
        </w:rPr>
        <w:t xml:space="preserve"> </w:t>
      </w:r>
      <w:r>
        <w:rPr>
          <w:rFonts w:ascii="Segoe UI Historic" w:hAnsi="Segoe UI Historic" w:eastAsia="Segoe UI Historic" w:cs="Segoe UI Historic"/>
        </w:rPr>
        <w:t>ܒܫܢܬ</w:t>
      </w:r>
      <w:r>
        <w:rPr>
          <w:rFonts w:ascii="Times New Roman" w:hAnsi="Times New Roman" w:eastAsia="Times New Roman" w:cs="Times New Roman"/>
        </w:rPr>
        <w:t xml:space="preserve"> 538 </w:t>
      </w:r>
      <w:r>
        <w:rPr>
          <w:rFonts w:ascii="Segoe UI Historic" w:hAnsi="Segoe UI Historic" w:eastAsia="Segoe UI Historic" w:cs="Segoe UI Historic"/>
        </w:rPr>
        <w:t>ܕܬܬܦܨܐ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ܪܕܘܦܝܗ</w:t>
      </w:r>
      <w:r>
        <w:rPr>
          <w:rFonts w:ascii="Times New Roman" w:hAnsi="Times New Roman" w:eastAsia="Times New Roman" w:cs="Times New Roman"/>
        </w:rPr>
        <w:t xml:space="preserve">̇ </w:t>
      </w:r>
      <w:r>
        <w:rPr>
          <w:rFonts w:ascii="Segoe UI Historic" w:hAnsi="Segoe UI Historic" w:eastAsia="Segoe UI Historic" w:cs="Segoe UI Historic"/>
        </w:rPr>
        <w:t>ܕܐܝܙܒܝܠ</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ܕܡܬܡܲܨܦܐ</w:t>
      </w:r>
      <w:r>
        <w:rPr>
          <w:rFonts w:ascii="Times New Roman" w:hAnsi="Times New Roman" w:eastAsia="Times New Roman" w:cs="Times New Roman"/>
        </w:rPr>
        <w:t xml:space="preserve"> </w:t>
      </w:r>
      <w:r>
        <w:rPr>
          <w:rFonts w:ascii="Segoe UI Historic" w:hAnsi="Segoe UI Historic" w:eastAsia="Segoe UI Historic" w:cs="Segoe UI Historic"/>
        </w:rPr>
        <w:t>ܒܥܕܬܐ</w:t>
      </w:r>
      <w:r>
        <w:rPr>
          <w:rFonts w:ascii="Times New Roman" w:hAnsi="Times New Roman" w:eastAsia="Times New Roman" w:cs="Times New Roman"/>
        </w:rPr>
        <w:t xml:space="preserve"> </w:t>
      </w:r>
      <w:r>
        <w:rPr>
          <w:rFonts w:ascii="Segoe UI Historic" w:hAnsi="Segoe UI Historic" w:eastAsia="Segoe UI Historic" w:cs="Segoe UI Historic"/>
        </w:rPr>
        <w:t>ܕܬܝܐܛܝܪܐ</w:t>
      </w:r>
      <w:r>
        <w:rPr>
          <w:rFonts w:ascii="Times New Roman" w:hAnsi="Times New Roman" w:eastAsia="Times New Roman" w:cs="Times New Roman"/>
        </w:rPr>
        <w:t xml:space="preserve">، </w:t>
      </w:r>
      <w:r>
        <w:rPr>
          <w:rFonts w:ascii="Segoe UI Historic" w:hAnsi="Segoe UI Historic" w:eastAsia="Segoe UI Historic" w:cs="Segoe UI Historic"/>
        </w:rPr>
        <w:t>ܢܦܩܬ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ܡܕܒܪܐ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ܕܪܐ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ܕܢܬܩܒܠ</w:t>
      </w:r>
      <w:r>
        <w:rPr>
          <w:rFonts w:ascii="Times New Roman" w:hAnsi="Times New Roman" w:eastAsia="Times New Roman" w:cs="Times New Roman"/>
        </w:rPr>
        <w:t xml:space="preserve"> </w:t>
      </w:r>
      <w:r>
        <w:rPr>
          <w:rFonts w:ascii="Segoe UI Historic" w:hAnsi="Segoe UI Historic" w:eastAsia="Segoe UI Historic" w:cs="Segoe UI Historic"/>
        </w:rPr>
        <w:t>ܠܘܩܒܠ</w:t>
      </w:r>
      <w:r>
        <w:rPr>
          <w:rFonts w:ascii="Times New Roman" w:hAnsi="Times New Roman" w:eastAsia="Times New Roman" w:cs="Times New Roman"/>
        </w:rPr>
        <w:t xml:space="preserve"> </w:t>
      </w:r>
      <w:r>
        <w:rPr>
          <w:rFonts w:ascii="Segoe UI Historic" w:hAnsi="Segoe UI Historic" w:eastAsia="Segoe UI Historic" w:cs="Segoe UI Historic"/>
        </w:rPr>
        <w:t>ܡܠܟܬܗ</w:t>
      </w:r>
      <w:r>
        <w:rPr>
          <w:rFonts w:ascii="Times New Roman" w:hAnsi="Times New Roman" w:eastAsia="Times New Roman" w:cs="Times New Roman"/>
        </w:rPr>
        <w:t xml:space="preserve"> </w:t>
      </w:r>
      <w:r>
        <w:rPr>
          <w:rFonts w:ascii="Segoe UI Historic" w:hAnsi="Segoe UI Historic" w:eastAsia="Segoe UI Historic" w:cs="Segoe UI Historic"/>
        </w:rPr>
        <w:t>ܕܐܠܝܐ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ܕܡܬܡܲܨܦܐ</w:t>
      </w:r>
      <w:r>
        <w:rPr>
          <w:rFonts w:ascii="Times New Roman" w:hAnsi="Times New Roman" w:eastAsia="Times New Roman" w:cs="Times New Roman"/>
        </w:rPr>
        <w:t xml:space="preserve"> </w:t>
      </w:r>
      <w:r>
        <w:rPr>
          <w:rFonts w:ascii="Segoe UI Historic" w:hAnsi="Segoe UI Historic" w:eastAsia="Segoe UI Historic" w:cs="Segoe UI Historic"/>
        </w:rPr>
        <w:t>ܒܘܝܠܝܐܡ</w:t>
      </w:r>
      <w:r>
        <w:rPr>
          <w:rFonts w:ascii="Times New Roman" w:hAnsi="Times New Roman" w:eastAsia="Times New Roman" w:cs="Times New Roman"/>
        </w:rPr>
        <w:t xml:space="preserve"> </w:t>
      </w:r>
      <w:r>
        <w:rPr>
          <w:rFonts w:ascii="Segoe UI Historic" w:hAnsi="Segoe UI Historic" w:eastAsia="Segoe UI Historic" w:cs="Segoe UI Historic"/>
        </w:rPr>
        <w:t>ܡܝܠܪ</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ܚܝܘܬܐ</w:t>
      </w:r>
      <w:r>
        <w:rPr>
          <w:rFonts w:ascii="Times New Roman" w:hAnsi="Times New Roman" w:eastAsia="Times New Roman" w:cs="Times New Roman"/>
        </w:rPr>
        <w:t xml:space="preserve"> </w:t>
      </w:r>
      <w:r>
        <w:rPr>
          <w:rFonts w:ascii="Segoe UI Historic" w:hAnsi="Segoe UI Historic" w:eastAsia="Segoe UI Historic" w:cs="Segoe UI Historic"/>
        </w:rPr>
        <w:t>ܕܐܪܥܐ</w:t>
      </w:r>
      <w:r>
        <w:rPr>
          <w:rFonts w:ascii="Times New Roman" w:hAnsi="Times New Roman" w:eastAsia="Times New Roman" w:cs="Times New Roman"/>
        </w:rPr>
        <w:t xml:space="preserve"> </w:t>
      </w:r>
      <w:r>
        <w:rPr>
          <w:rFonts w:ascii="Segoe UI Historic" w:hAnsi="Segoe UI Historic" w:eastAsia="Segoe UI Historic" w:cs="Segoe UI Historic"/>
        </w:rPr>
        <w:t>ܦܬܚܬ</w:t>
      </w:r>
      <w:r>
        <w:rPr>
          <w:rFonts w:ascii="Times New Roman" w:hAnsi="Times New Roman" w:eastAsia="Times New Roman" w:cs="Times New Roman"/>
        </w:rPr>
        <w:t xml:space="preserve"> </w:t>
      </w:r>
      <w:r>
        <w:rPr>
          <w:rFonts w:ascii="Segoe UI Historic" w:hAnsi="Segoe UI Historic" w:eastAsia="Segoe UI Historic" w:cs="Segoe UI Historic"/>
        </w:rPr>
        <w:t>ܦܘܡܗ</w:t>
      </w:r>
      <w:r>
        <w:rPr>
          <w:rFonts w:ascii="Times New Roman" w:hAnsi="Times New Roman" w:eastAsia="Times New Roman" w:cs="Times New Roman"/>
        </w:rPr>
        <w:t xml:space="preserve">̇ </w:t>
      </w:r>
      <w:r>
        <w:rPr>
          <w:rFonts w:ascii="Segoe UI Historic" w:hAnsi="Segoe UI Historic" w:eastAsia="Segoe UI Historic" w:cs="Segoe UI Historic"/>
        </w:rPr>
        <w:t>ܘܒܠܥܬ</w:t>
      </w:r>
      <w:r>
        <w:rPr>
          <w:rFonts w:ascii="Times New Roman" w:hAnsi="Times New Roman" w:eastAsia="Times New Roman" w:cs="Times New Roman"/>
        </w:rPr>
        <w:t xml:space="preserve"> </w:t>
      </w:r>
      <w:r>
        <w:rPr>
          <w:rFonts w:ascii="Segoe UI Historic" w:hAnsi="Segoe UI Historic" w:eastAsia="Segoe UI Historic" w:cs="Segoe UI Historic"/>
        </w:rPr>
        <w:t>ܠܛܘܦܢܐ</w:t>
      </w:r>
      <w:r>
        <w:rPr>
          <w:rFonts w:ascii="Times New Roman" w:hAnsi="Times New Roman" w:eastAsia="Times New Roman" w:cs="Times New Roman"/>
        </w:rPr>
        <w:t xml:space="preserve"> </w:t>
      </w:r>
      <w:r>
        <w:rPr>
          <w:rFonts w:ascii="Segoe UI Historic" w:hAnsi="Segoe UI Historic" w:eastAsia="Segoe UI Historic" w:cs="Segoe UI Historic"/>
        </w:rPr>
        <w:t>ܕܪܕܘܦܝܐ</w:t>
      </w:r>
      <w:r>
        <w:rPr>
          <w:rFonts w:ascii="Times New Roman" w:hAnsi="Times New Roman" w:eastAsia="Times New Roman" w:cs="Times New Roman"/>
        </w:rPr>
        <w:t xml:space="preserve"> </w:t>
      </w:r>
      <w:r>
        <w:rPr>
          <w:rFonts w:ascii="Segoe UI Historic" w:hAnsi="Segoe UI Historic" w:eastAsia="Segoe UI Historic" w:cs="Segoe UI Historic"/>
        </w:rPr>
        <w:t>ܕܐܫܬܕܪ</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ܥܠܝܗ</w:t>
      </w:r>
      <w:r>
        <w:rPr>
          <w:rFonts w:ascii="Times New Roman" w:hAnsi="Times New Roman" w:eastAsia="Times New Roman" w:cs="Times New Roman"/>
        </w:rPr>
        <w:t xml:space="preserve">̇ </w:t>
      </w:r>
      <w:r>
        <w:rPr>
          <w:rFonts w:ascii="Segoe UI Historic" w:hAnsi="Segoe UI Historic" w:eastAsia="Segoe UI Historic" w:cs="Segoe UI Historic"/>
        </w:rPr>
        <w:t>ܠܬܪܥܣܪܐ</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ܘܫܬܝܢ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At duminig ti babai, ket inlukat ti daga ti ngiwatna, ket nilon-atna ti layus a inur-uray ti dragon manipud iti ngiwatna. Apocalipsis 12:16.</w:t>
      </w:r>
    </w:p>
    <w:p>
      <w:pPr>
        <w:pStyle w:val="ArticleBody"/>
        <w:jc w:val="left"/>
      </w:pPr>
      <w:r>
        <w:rPr>
          <w:rFonts w:ascii="Times New Roman" w:hAnsi="Times New Roman" w:eastAsia="Times New Roman" w:cs="Times New Roman"/>
        </w:rPr>
        <w:t>Pâquinsispewinik, “ê-âyimihk êkwa e-ayamihtâw ka-nitawêyihtamowin ona nêhiyaw-askiy” êkwa mîna ka-isi-miyo-nîtisânik otêhcihikanak êkwa ka-kiskinwahamâkêwinik ohci; êkwa 1789, ki-miyo-ôtinikwêw ka-miyo-isi-kiskinohamâkêwinik United States ka-isi-ôma “Constitution of the United States,” kêkway ka-kîspin kîhtwâm manitow wiyasowêwin êkwa ka-kakwê-isi-pakitinamakêwik ta-pimâcihowin êkwa tipenitamowin, êkotê ka-isi-kakwê-ayawâsowin ta-nakiskamâcik ê-kî-mâh-môsahkamikosiwak kîhc-okimâwak Europe ohci êkwa mîna ka-wanihk ka-pâstâhowin Catholic church.</w:t>
      </w:r>
    </w:p>
    <w:p>
      <w:pPr>
        <w:pStyle w:val="ArticleScripture"/>
        <w:jc w:val="left"/>
      </w:pPr>
      <w:r>
        <w:rPr>
          <w:rFonts w:ascii="Times New Roman" w:hAnsi="Times New Roman" w:eastAsia="Times New Roman" w:cs="Times New Roman"/>
        </w:rPr>
        <w:t>«Аймагтың сөйлеуі — оның заң шығарушы және сот биліктерінің іс-әрекеті». Ұлы күрес, 443.</w:t>
      </w:r>
    </w:p>
    <w:p>
      <w:pPr>
        <w:pStyle w:val="ArticleBody"/>
        <w:jc w:val="left"/>
      </w:pPr>
      <w:r>
        <w:rPr>
          <w:rFonts w:ascii="Times New Roman" w:hAnsi="Times New Roman" w:eastAsia="Times New Roman" w:cs="Times New Roman"/>
        </w:rPr>
        <w:t>1789-</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ആറാമത്തെ</w:t>
      </w:r>
      <w:r>
        <w:rPr>
          <w:rFonts w:ascii="Times New Roman" w:hAnsi="Times New Roman" w:eastAsia="Times New Roman" w:cs="Times New Roman"/>
        </w:rPr>
        <w:t xml:space="preserve"> </w:t>
      </w:r>
      <w:r>
        <w:rPr>
          <w:rFonts w:ascii="Nirmala UI" w:hAnsi="Nirmala UI" w:eastAsia="Nirmala UI" w:cs="Nirmala UI"/>
        </w:rPr>
        <w:t>രാജ്യമായി</w:t>
      </w:r>
      <w:r>
        <w:rPr>
          <w:rFonts w:ascii="Times New Roman" w:hAnsi="Times New Roman" w:eastAsia="Times New Roman" w:cs="Times New Roman"/>
        </w:rPr>
        <w:t xml:space="preserve"> </w:t>
      </w:r>
      <w:r>
        <w:rPr>
          <w:rFonts w:ascii="Nirmala UI" w:hAnsi="Nirmala UI" w:eastAsia="Nirmala UI" w:cs="Nirmala UI"/>
        </w:rPr>
        <w:t>ഐക്യനാടുകളുടെ</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പങ്ക്</w:t>
      </w:r>
      <w:r>
        <w:rPr>
          <w:rFonts w:ascii="Times New Roman" w:hAnsi="Times New Roman" w:eastAsia="Times New Roman" w:cs="Times New Roman"/>
        </w:rPr>
        <w:t xml:space="preserve"> </w:t>
      </w:r>
      <w:r>
        <w:rPr>
          <w:rFonts w:ascii="Nirmala UI" w:hAnsi="Nirmala UI" w:eastAsia="Nirmala UI" w:cs="Nirmala UI"/>
        </w:rPr>
        <w:t>ആരംഭിക്കുന്നതിനു</w:t>
      </w:r>
      <w:r>
        <w:rPr>
          <w:rFonts w:ascii="Times New Roman" w:hAnsi="Times New Roman" w:eastAsia="Times New Roman" w:cs="Times New Roman"/>
        </w:rPr>
        <w:t xml:space="preserve"> </w:t>
      </w:r>
      <w:r>
        <w:rPr>
          <w:rFonts w:ascii="Nirmala UI" w:hAnsi="Nirmala UI" w:eastAsia="Nirmala UI" w:cs="Nirmala UI"/>
        </w:rPr>
        <w:t>തൊട്ടുമുമ്പ്</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കുഞ്ഞാടിനെപ്പോലെ</w:t>
      </w:r>
      <w:r>
        <w:rPr>
          <w:rFonts w:ascii="Times New Roman" w:hAnsi="Times New Roman" w:eastAsia="Times New Roman" w:cs="Times New Roman"/>
        </w:rPr>
        <w:t xml:space="preserve"> </w:t>
      </w:r>
      <w:r>
        <w:rPr>
          <w:rFonts w:ascii="Nirmala UI" w:hAnsi="Nirmala UI" w:eastAsia="Nirmala UI" w:cs="Nirmala UI"/>
        </w:rPr>
        <w:t>സംസാരിച്ചു</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നിയമത്തിന്റെ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മഹാസർപ്പത്തെപ്പോലെ</w:t>
      </w:r>
      <w:r>
        <w:rPr>
          <w:rFonts w:ascii="Times New Roman" w:hAnsi="Times New Roman" w:eastAsia="Times New Roman" w:cs="Times New Roman"/>
        </w:rPr>
        <w:t xml:space="preserve"> </w:t>
      </w:r>
      <w:r>
        <w:rPr>
          <w:rFonts w:ascii="Nirmala UI" w:hAnsi="Nirmala UI" w:eastAsia="Nirmala UI" w:cs="Nirmala UI"/>
        </w:rPr>
        <w:t>സംസാരിക്കും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Apanbu taʼmá yáa shi beast siʔan da otáa jowɨtotai ɨpɨ mɨdɨkɨa; taʼmá yáa lamba nʉ́ai siʔan tuuwɨ jʉa, ba dragon nʉ́ai siʔan áwáimʉ. Revelation 13:11.</w:t>
      </w:r>
    </w:p>
    <w:p>
      <w:pPr>
        <w:pStyle w:val="ArticleBody"/>
        <w:jc w:val="left"/>
      </w:pPr>
      <w:r>
        <w:rPr>
          <w:rFonts w:ascii="Times New Roman" w:hAnsi="Times New Roman" w:eastAsia="Times New Roman" w:cs="Times New Roman"/>
        </w:rPr>
        <w:t>Txaʼñel ts’íib yéetel xuulil u ba’alil lu’umal k’aaba’an yéetel u t’aan. Ti’ 1798, Ajab tu t’aan tuláakal Israel ichil Witz Karmel, tu’ux Eliyas yan u ts’áik jump’éel prueba ti’ le máaxo’ob k’ajóolta’an, uti’al u ye’esik wa le Yuumil hebreoso’ob, wa le dios Jezabel, leti’ le noj Dios ka’ajóol. Jezabel yaan ti’ yéetel cuatrocientos cincuenta profeta’ob ti’ Baal yéetel cuatrocientos profeta’ob ti’ le k’aaxilo’. Le falso dios Baal jump’éel dios máak ti’ xiib, ka le falso dios Astarot jump’éel dios máak ti’ ko’olel.</w:t>
      </w:r>
    </w:p>
    <w:p>
      <w:pPr>
        <w:pStyle w:val="ArticleBody"/>
        <w:jc w:val="left"/>
      </w:pPr>
      <w:r>
        <w:rPr>
          <w:rFonts w:ascii="Nirmala UI" w:hAnsi="Nirmala UI" w:eastAsia="Nirmala UI" w:cs="Nirmala UI"/>
        </w:rPr>
        <w:t>दुका</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भविष्यवक्ताहारूले</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संयोजनलाई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स्त्रीलाई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स्त्रीले</w:t>
      </w:r>
      <w:r>
        <w:rPr>
          <w:rFonts w:ascii="Times New Roman" w:hAnsi="Times New Roman" w:eastAsia="Times New Roman" w:cs="Times New Roman"/>
        </w:rPr>
        <w:t xml:space="preserve"> </w:t>
      </w:r>
      <w:r>
        <w:rPr>
          <w:rFonts w:ascii="Nirmala UI" w:hAnsi="Nirmala UI" w:eastAsia="Nirmala UI" w:cs="Nirmala UI"/>
        </w:rPr>
        <w:t>मण्डलीलाई</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पुरुषले</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जनाविरुद्ध</w:t>
      </w:r>
      <w:r>
        <w:rPr>
          <w:rFonts w:ascii="Times New Roman" w:hAnsi="Times New Roman" w:eastAsia="Times New Roman" w:cs="Times New Roman"/>
        </w:rPr>
        <w:t xml:space="preserve"> </w:t>
      </w:r>
      <w:r>
        <w:rPr>
          <w:rFonts w:ascii="Nirmala UI" w:hAnsi="Nirmala UI" w:eastAsia="Nirmala UI" w:cs="Nirmala UI"/>
        </w:rPr>
        <w:t>एक्लै</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देवताहरूले</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ईजेबेलको</w:t>
      </w:r>
      <w:r>
        <w:rPr>
          <w:rFonts w:ascii="Times New Roman" w:hAnsi="Times New Roman" w:eastAsia="Times New Roman" w:cs="Times New Roman"/>
        </w:rPr>
        <w:t xml:space="preserve"> </w:t>
      </w:r>
      <w:r>
        <w:rPr>
          <w:rFonts w:ascii="Nirmala UI" w:hAnsi="Nirmala UI" w:eastAsia="Nirmala UI" w:cs="Nirmala UI"/>
        </w:rPr>
        <w:t>विवाहद्वारा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संयोजनको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ईजेबेलद्वारा</w:t>
      </w:r>
      <w:r>
        <w:rPr>
          <w:rFonts w:ascii="Times New Roman" w:hAnsi="Times New Roman" w:eastAsia="Times New Roman" w:cs="Times New Roman"/>
        </w:rPr>
        <w:t xml:space="preserve"> </w:t>
      </w:r>
      <w:r>
        <w:rPr>
          <w:rFonts w:ascii="Nirmala UI" w:hAnsi="Nirmala UI" w:eastAsia="Nirmala UI" w:cs="Nirmala UI"/>
        </w:rPr>
        <w:t>देखाइएको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दृष्टान्तले</w:t>
      </w:r>
      <w:r>
        <w:rPr>
          <w:rFonts w:ascii="Times New Roman" w:hAnsi="Times New Roman" w:eastAsia="Times New Roman" w:cs="Times New Roman"/>
        </w:rPr>
        <w:t xml:space="preserve"> </w:t>
      </w:r>
      <w:r>
        <w:rPr>
          <w:rFonts w:ascii="Nirmala UI" w:hAnsi="Nirmala UI" w:eastAsia="Nirmala UI" w:cs="Nirmala UI"/>
        </w:rPr>
        <w:t>रिपब्लिकनवादको</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भ्रष्टतालाई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अश्तारोतले</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भ्रष्टतालाई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Ña jekopyhyje ha’e va’ekue Elías remiñe’ẽ vai pe religión oñembyaíva rehe, ojehechaukáva Tiatíra-pe Apocalipsis capítulo mokoĩme. Elías ohechauka peteĩ protestánte, pórke pe definición añoite oĩva protestánte rehegua ha’e peteĩ opu’ãva Roma rehe. Elías remiñe’ẽ vai ohechauka pe ñe’ẽ vai oñemoĩva pe joaju iglesia ha estado apytépe rehe, ojejapóva pe joaju marangatu’ỹ rupive peteĩ estado oñembyaíva ha peteĩ iglesia oñembyaíva ndive.</w:t>
      </w:r>
    </w:p>
    <w:p>
      <w:pPr>
        <w:pStyle w:val="ArticleScripture"/>
        <w:jc w:val="left"/>
      </w:pPr>
      <w:r>
        <w:rPr>
          <w:rFonts w:ascii="Times New Roman" w:hAnsi="Times New Roman" w:eastAsia="Times New Roman" w:cs="Times New Roman"/>
        </w:rPr>
        <w:t>Però tenc unes poques coses contra tu: que permets aquella dona Jezabel, que es diu a si mateixa profetessa, d’ensenyar i de seduir els meus servents a cometre fornicació i a menjar coses sacrificades als ídols. I li he donat temps perquè es penedís de la seva fornicació, i no s’ha penedit. Heus aquí, jo la llançaré en un llit, i els qui cometen adulteri amb ella, en gran tribulació, si no es penedeixen de llurs obres. Apocalipsi 2:20–22.</w:t>
      </w:r>
    </w:p>
    <w:p>
      <w:pPr>
        <w:pStyle w:val="ArticleBody"/>
        <w:jc w:val="left"/>
      </w:pPr>
      <w:r>
        <w:rPr>
          <w:rFonts w:ascii="Times New Roman" w:hAnsi="Times New Roman" w:eastAsia="Times New Roman" w:cs="Times New Roman"/>
        </w:rPr>
        <w:t>Jî xwarinê re peyama ku hûn qebûl dikin tê temsîl kirin, û peyamek ku ji bo pûtan hatî qurban kirin, doktrînên Katolîsîzmê tê temsîl kirin, ev jî nîşana rastîn a perestina pûtan ya nefretbar e. Gelê Xwedê di Serdema Tarî de gelek ji doktrînên paganî yên Katolîsîzmê qebûl kiribûn, û bi taybetî perestina rojê.</w:t>
      </w:r>
    </w:p>
    <w:p>
      <w:pPr>
        <w:pStyle w:val="ArticleBody"/>
        <w:jc w:val="left"/>
      </w:pPr>
      <w:r>
        <w:rPr>
          <w:rFonts w:ascii="Times New Roman" w:hAnsi="Times New Roman" w:eastAsia="Times New Roman" w:cs="Times New Roman"/>
        </w:rPr>
        <w:t>پاخان کاری ایک ناجائز تعلق ہے اور نبوتی طور پر عین اُس جوہر کی نمائندگی کرتی ہے جس کی دستور ممانعت کرتا ہے؛ یعنی کلیسیا اور ریاست کا امتزاج۔ اخاب یزیبل کے ساتھ ایک ناجائز تعلق میں تھا، کیونکہ اسرائیل کے بادشاہ کی حیثیت سے اسے کسی مشرک شہزادی سے شادی نہیں کرنی چاہیے تھی۔ یسوع نے یوحنا بپتسمہ دینے والے کو ایلیاہ قرار دیا، اور یوحنا نے بھی اُسی غیر مقدس تعلق کا سامنا کیا جب اُس نے ہیرودیس کو ہیرودیاس، اپنے بھائی کی بیوی، سے شادی کرنے پر ملامت کی۔</w:t>
      </w:r>
    </w:p>
    <w:p>
      <w:pPr>
        <w:pStyle w:val="ArticleScripture"/>
        <w:jc w:val="left"/>
      </w:pPr>
      <w:r>
        <w:rPr>
          <w:rFonts w:ascii="Times New Roman" w:hAnsi="Times New Roman" w:eastAsia="Times New Roman" w:cs="Times New Roman"/>
        </w:rPr>
        <w:t>Porque Herodes había prendido a Juan, y le había atado y puesto en la cárcel por causa de Herodías, mujer de Felipe su hermano. Porque Juan le decía: No te es lícito tenerla. Mateo 14:3, 4.</w:t>
      </w:r>
    </w:p>
    <w:p>
      <w:pPr>
        <w:pStyle w:val="ArticleBody"/>
        <w:jc w:val="left"/>
      </w:pPr>
      <w:r>
        <w:rPr>
          <w:rFonts w:ascii="Times New Roman" w:hAnsi="Times New Roman" w:eastAsia="Times New Roman" w:cs="Times New Roman"/>
        </w:rPr>
        <w:t>Die Konfrontation Elias mit Ahab und Isebel bildete die Konfrontation des Johannes mit Herodes und Herodias im Voraus ab; denn beide Beziehungen stellten eine ungesetzliche Verbindung von Kirche und Staat dar. Zusammen verkörpern sie die Elia-Botschaft der Hundertvierundvierzigtausend, die dem Papsttum (Isebel und Herodias), den zehn Königen, die die Vereinten Nationen darstellen (Ahab und Herodes), und den Vereinigten Staaten, die den falschen Propheten darstellen (die falschen Propheten von Karmel und Salome, die Tochter der Herodias), entgegentritt.</w:t>
      </w:r>
    </w:p>
    <w:p>
      <w:pPr>
        <w:pStyle w:val="ArticleBody"/>
        <w:jc w:val="left"/>
      </w:pPr>
      <w:r>
        <w:rPr>
          <w:rFonts w:ascii="Times New Roman" w:hAnsi="Times New Roman" w:eastAsia="Times New Roman" w:cs="Times New Roman"/>
        </w:rPr>
        <w:t>Кармелдеги пайгамбарлык кырдаал Америка Кошмо Штаттарынын Конституциясын Илияс тарабынан коргоону да камтыйт; ал Конституция чиркөө менен мамлекеттин ажыратылышы принцибин бекемдейт.</w:t>
      </w:r>
    </w:p>
    <w:p>
      <w:pPr>
        <w:pStyle w:val="ArticleScripture"/>
        <w:jc w:val="left"/>
      </w:pPr>
      <w:r>
        <w:rPr>
          <w:rFonts w:ascii="Times New Roman" w:hAnsi="Times New Roman" w:eastAsia="Times New Roman" w:cs="Times New Roman"/>
        </w:rPr>
        <w:t>Ug Ahab nga nakakita kang Elias, miingon si Ahab kaniya, Ikaw ba siya nga nagasamok sa Israel? Ug siya mitubag, Wala ako magasamok sa Israel; kondili ikaw, ug ang balay sa imong amahan, tungod kay gibiyaan ninyo ang mga sugo sa Ginoo, ug ikaw misunod sa mga Baalim. 1 Hari 18:17, 18.</w:t>
      </w:r>
    </w:p>
    <w:p>
      <w:pPr>
        <w:pStyle w:val="ArticleBody"/>
        <w:jc w:val="left"/>
      </w:pPr>
      <w:r>
        <w:rPr>
          <w:rFonts w:ascii="Times New Roman" w:hAnsi="Times New Roman" w:eastAsia="Times New Roman" w:cs="Times New Roman"/>
        </w:rPr>
        <w:t>Constitución ukax utt’ayäna, republicanismo ukat protestantismo sat pä qillqañanakax sapakïpuniw maynit maynikama jaljatäpuniñapa. Ukampis Apocalipsisax uñt’ayiwa, kunapachatï Estados Unidos markax qhipharux dragonjam parlkani ukhaxa, ukax kunapachatï Estados Unidos markan apostata iglesianakax control katoqapxani ukat apostata gobiernompi mayacht’asipkani ukhawa.</w:t>
      </w:r>
    </w:p>
    <w:p>
      <w:pPr>
        <w:pStyle w:val="ArticleScripture"/>
        <w:jc w:val="left"/>
      </w:pPr>
      <w:r>
        <w:rPr>
          <w:rFonts w:ascii="Times New Roman" w:hAnsi="Times New Roman" w:eastAsia="Times New Roman" w:cs="Times New Roman"/>
        </w:rPr>
        <w:t>“Ngunit ano ang ‘larawan sa halimaw’? at paano ito mabubuo? Ang larawan ay ginagawa ng halimaw na may dalawang sungay, at ito ay isang larawan sa halimaw. Tinatawag din itong larawan ng halimaw. Kaya upang malaman kung ano ang anyo ng larawan at kung paano ito mabubuo, kailangan nating pag-aralan ang mga katangian ng halimaw mismo—ang kapapahan.</w:t>
      </w:r>
    </w:p>
    <w:p>
      <w:pPr>
        <w:pStyle w:val="ArticleScripture"/>
        <w:jc w:val="left"/>
      </w:pPr>
      <w:r>
        <w:rPr>
          <w:rFonts w:ascii="Times New Roman" w:hAnsi="Times New Roman" w:eastAsia="Times New Roman" w:cs="Times New Roman"/>
        </w:rPr>
        <w:t>«ئککئم نۆک ئىنت نێن ئاشم ئیسەجىلەن سادەلەننەن ئايرىلىپ، بوت‌پەرەسلىك آيىنلىرى ۋە ئورپ-ئادەتلىرىنى قوبۇل قىلىش ئارقىلىق بۇزۇلغاندا، ئۇ خۇدانىڭ روھى ۋە قۇدرىتىنى يوقاتتى؛ ۋە خەلقنىڭ ۋىجدانلىرىنى كونترول قىلىش ئۈچۈن، دۇنياۋى ھۆكۈمەت كۈچىنىڭ ياردىمىنى ئىزدىدى. بۇنىڭ نەتىجىسى پاپالىق بولدى، يەنى دۆلەت ھاكىمىيىتىنى كونترول قىلغان ۋە ئۇنى ئۆزىنىڭ مەقسەتلىرىنى ئىلگىرى سۈرۈش ئۈچۈن، بولۇپمۇ «بىدئەت»نى جازالاش ئۈچۈن قوللانغان بىر چىرکەۋ بولدى. ئامېرىكا قوشما شتاتلىرى ھايۋاننىڭ بىر سۈرىتىنى ياسىشى ئۈچۈن، دىنىي ھاكىمىيەت پۇقرالىق ھۆكۈمەتنى شۇ دەرىجىدە كونترول قىلىشى كېرەككى، دۆلەت ھوقۇقىمۇ چىركەۋ تەرىپىدىن ئۆزىنىڭ مەقسەتلىرىنى ئەمەلگە ئاشۇرۇش ئۈچۈن قوللىنىلىدىغان بولسۇن.» The Great Controversy, 443.</w:t>
      </w:r>
    </w:p>
    <w:p>
      <w:pPr>
        <w:pStyle w:val="ArticleBody"/>
        <w:jc w:val="left"/>
      </w:pPr>
      <w:r>
        <w:rPr>
          <w:rFonts w:ascii="Times New Roman" w:hAnsi="Times New Roman" w:eastAsia="Times New Roman" w:cs="Times New Roman"/>
        </w:rPr>
        <w:t>إلياس على جبل الكرمل مثَّل عمل الميليّين، وقد أُقيم الميليّون بوصفهم النبيَّ الحق في مقابل أولئك الذين كانوا قد خرجوا حديثًا من تحت تأثير الكاثوليكية، لكنهم اختاروا، من خلال رفضهم لنور الملاك الأول، أن يعودوا إلى روما. وهكذا، تكوَّنت رسالة الملاك الثاني في ربيع سنة 1844 من تحديد الطوائف البروتستانتية على أنها بنات بابل، والميليّين على أنهم القرن البروتستانتي الحقيقي.</w:t>
      </w:r>
    </w:p>
    <w:p>
      <w:pPr>
        <w:pStyle w:val="ArticleBody"/>
        <w:jc w:val="left"/>
      </w:pPr>
      <w:r>
        <w:rPr>
          <w:rFonts w:ascii="Times New Roman" w:hAnsi="Times New Roman" w:eastAsia="Times New Roman" w:cs="Times New Roman"/>
        </w:rPr>
        <w:t>Khi Đức Chúa Trời đem Y-sơ-ra-ên thời cổ ra khỏi ách nô lệ của Ê-díp-tô và qua làn nước của Biển Đỏ, Ngài đã khởi sự một tiến trình thử luyện từng bước, bắt đầu bằng sự thử nghiệm về ma-na từ trời.</w:t>
      </w:r>
    </w:p>
    <w:p>
      <w:pPr>
        <w:pStyle w:val="ArticleScripture"/>
        <w:jc w:val="left"/>
      </w:pPr>
      <w:r>
        <w:rPr>
          <w:rFonts w:ascii="Times New Roman" w:hAnsi="Times New Roman" w:eastAsia="Times New Roman" w:cs="Times New Roman"/>
        </w:rPr>
        <w:t>«Біздің үстімізге өткен ғасырлардың жиналған нұры жарқырап тұр. Исраилдің ұмытшақтығы туралы жазба біздің ағартылуымыз үшін сақталған. Осы дәуірде Құдай әрбір ұлттан, ру-тайпадан және тілден Өзіне бір халықты жинау үшін Өз қолын созды. Адвенттік қозғалыста Ол Өз мұрасы үшін әрекет етті, Мысырдан алып шыққанда исраилдіктер үшін қалай әрекет еткен болса, дәл солай. 1844 жылғы ұлы күйзелісте Оның халқының сенімі Қызыл теңіз жағасында еврейлердің сенімі сыналғандай сыналды». Testimonies, volume 8, 115, 116.</w:t>
      </w:r>
    </w:p>
    <w:p>
      <w:pPr>
        <w:pStyle w:val="ArticleBody"/>
        <w:jc w:val="left"/>
      </w:pPr>
      <w:r>
        <w:rPr>
          <w:rFonts w:ascii="Nirmala UI" w:hAnsi="Nirmala UI" w:eastAsia="Nirmala UI" w:cs="Nirmala UI"/>
        </w:rPr>
        <w:t>᱑᱘᱔᱔</w:t>
      </w:r>
      <w:r>
        <w:rPr>
          <w:rFonts w:ascii="Times New Roman" w:hAnsi="Times New Roman" w:eastAsia="Times New Roman" w:cs="Times New Roman"/>
        </w:rPr>
        <w:t xml:space="preserve"> </w:t>
      </w:r>
      <w:r>
        <w:rPr>
          <w:rFonts w:ascii="Nirmala UI" w:hAnsi="Nirmala UI" w:eastAsia="Nirmala UI" w:cs="Nirmala UI"/>
        </w:rPr>
        <w:t>ᱥᱟᱞᱞᱤ</w:t>
      </w:r>
      <w:r>
        <w:rPr>
          <w:rFonts w:ascii="Times New Roman" w:hAnsi="Times New Roman" w:eastAsia="Times New Roman" w:cs="Times New Roman"/>
        </w:rPr>
        <w:t xml:space="preserve"> </w:t>
      </w:r>
      <w:r>
        <w:rPr>
          <w:rFonts w:ascii="Nirmala UI" w:hAnsi="Nirmala UI" w:eastAsia="Nirmala UI" w:cs="Nirmala UI"/>
        </w:rPr>
        <w:t>ᱚᱠᱴᱳᱵᱚᱨ</w:t>
      </w:r>
      <w:r>
        <w:rPr>
          <w:rFonts w:ascii="Times New Roman" w:hAnsi="Times New Roman" w:eastAsia="Times New Roman" w:cs="Times New Roman"/>
        </w:rPr>
        <w:t xml:space="preserve"> 22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ᱵᱷᱟᱹᱜᱤᱥ</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ᱥᱣᱚᱨᱜᱤᱭ</w:t>
      </w:r>
      <w:r>
        <w:rPr>
          <w:rFonts w:ascii="Times New Roman" w:hAnsi="Times New Roman" w:eastAsia="Times New Roman" w:cs="Times New Roman"/>
        </w:rPr>
        <w:t xml:space="preserve"> </w:t>
      </w:r>
      <w:r>
        <w:rPr>
          <w:rFonts w:ascii="Nirmala UI" w:hAnsi="Nirmala UI" w:eastAsia="Nirmala UI" w:cs="Nirmala UI"/>
        </w:rPr>
        <w:t>ᱥᱟᱱᱠᱴᱩᱣᱟᱨᱤ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ᱮᱱᱠᱟᱜᱼᱜᱮ</w:t>
      </w:r>
      <w:r>
        <w:rPr>
          <w:rFonts w:ascii="Times New Roman" w:hAnsi="Times New Roman" w:eastAsia="Times New Roman" w:cs="Times New Roman"/>
        </w:rPr>
        <w:t xml:space="preserve"> </w:t>
      </w:r>
      <w:r>
        <w:rPr>
          <w:rFonts w:ascii="Nirmala UI" w:hAnsi="Nirmala UI" w:eastAsia="Nirmala UI" w:cs="Nirmala UI"/>
        </w:rPr>
        <w:t>ᱥᱟᱵᱟᱛ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ᱥᱟᱢᱱᱟᱝ</w:t>
      </w:r>
      <w:r>
        <w:rPr>
          <w:rFonts w:ascii="Times New Roman" w:hAnsi="Times New Roman" w:eastAsia="Times New Roman" w:cs="Times New Roman"/>
        </w:rPr>
        <w:t xml:space="preserve"> </w:t>
      </w:r>
      <w:r>
        <w:rPr>
          <w:rFonts w:ascii="Nirmala UI" w:hAnsi="Nirmala UI" w:eastAsia="Nirmala UI" w:cs="Nirmala UI"/>
        </w:rPr>
        <w:t>ᱟᱱᱟ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ᱢᱟᱱᱱᱟ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ᱯᱨᱟᱹᱪᱤᱱ</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ᱞᱟᱜᱤᱫ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ᱜᱮᱞ</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ᱯᱟᱨᱤᱠᱷᱟ</w:t>
      </w:r>
      <w:r>
        <w:rPr>
          <w:rFonts w:ascii="Times New Roman" w:hAnsi="Times New Roman" w:eastAsia="Times New Roman" w:cs="Times New Roman"/>
        </w:rPr>
        <w:t xml:space="preserve"> </w:t>
      </w:r>
      <w:r>
        <w:rPr>
          <w:rFonts w:ascii="Nirmala UI" w:hAnsi="Nirmala UI" w:eastAsia="Nirmala UI" w:cs="Nirmala UI"/>
        </w:rPr>
        <w:t>ᱛᱟᱦᱮᱸᱠᱟᱱᱟ।</w:t>
      </w:r>
    </w:p>
    <w:p>
      <w:pPr>
        <w:pStyle w:val="ArticleScripture"/>
        <w:jc w:val="left"/>
      </w:pPr>
      <w:r>
        <w:rPr>
          <w:rFonts w:ascii="Times New Roman" w:hAnsi="Times New Roman" w:eastAsia="Times New Roman" w:cs="Times New Roman"/>
        </w:rPr>
        <w:t>«خداوند در سال ۱۸۴۷، هنگامی که برادران در روز سَبَّت در تاپشامِ مین گرد آمده بودند، رؤیای زیر را به من عطا فرمود.»</w:t>
      </w:r>
    </w:p>
    <w:p>
      <w:pPr>
        <w:pStyle w:val="ArticleScripture"/>
        <w:jc w:val="left"/>
      </w:pPr>
      <w:r>
        <w:rPr>
          <w:rFonts w:ascii="Times New Roman" w:hAnsi="Times New Roman" w:eastAsia="Times New Roman" w:cs="Times New Roman"/>
        </w:rPr>
        <w:t>“Ñuqanchikqa huk mana rikuchisqa mañakuy espirituta musyarkanchik. Hinaspataq mañakusqanchikpiqa Santo Espíritu uraykamurqan ñuqanchikman. Ancha kusisqañam karqanchik. Manaraq unayllataq kay pachapi kaqkunamanta chinkasqa rikukurqani, hinaspataq Diospa glorianpa rikuyñinwan muyusqa karqani. Rikurqani huk angelta, ancha utqaylla ñuqaman phawamushaqta. Payqa utqayllam apawarqan kay pachamanta Santo Llaqtaman. Llaqtapiqa rikurqani huk templota, chaymanmi yaykurqani. Ñawpaq cortinaman chayanaypaqqa huk punkuta pasarkani. Chay cortina hoqarisqa karqan, hinaspataq chayanta pasaspa yaykurqani santo cheqaman. Chaypim rikurqani inciensopa altarninta, qanchis mechayuq candelabrota, hinaspataq mesata, maypichus karqan tantakuna rikuchisqa t’anta. Santo cheqapa glorianta qawasqaymanta qhipamanqa, Jesusqa hoqarirqan iskay ñiqin cortinata, hinaspataq yaykurqani santísimo cheqaman.”</w:t>
      </w:r>
    </w:p>
    <w:p>
      <w:pPr>
        <w:pStyle w:val="ArticleScripture"/>
        <w:jc w:val="left"/>
      </w:pPr>
      <w:r>
        <w:rPr>
          <w:rFonts w:ascii="Times New Roman" w:hAnsi="Times New Roman" w:eastAsia="Times New Roman" w:cs="Times New Roman"/>
        </w:rPr>
        <w:t>«احُجْرِ اللّٰەی سەرووترین تابوتم بینی؛ سەرەوە و لاوەکانی لە زێڕی پاکترین بوو. لە هەر دوو کۆتایی تابووتەکە، کەروبیەکی جوان هەبوو کە باڵەکانی بەسەر تابووتەکەدا بڵاو کردبووەوە. ڕووەکانیان بەرەو یەکتر بوو، و سەرەوەیان بۆ خوارەوە دەڕوانی. لە نێوان فریشتەکاندا مەجمەریەکی زێڕین هەبوو. سەرەوەی تابووتەکە، لەو شوێنەی فریشتەکان وەستابوون، شکۆیەکی زۆر درەوشاوە هەبوو کە وەک تەختێک دەردەکەوت کە خودا لەوێدا نیشتەجێ بوو. عیسا لەلای تابووتەکە وەستابوو، و کاتێک نوێژەکانی پیرۆزان بۆ لای ئەو بەرز دەبوونەوە، بخوورەکە لە مەجمەرەکەدا دەکەوتە دووکەڵ، و ئەو نوێژەکانیان لەگەڵ دووکەڵی بخوورەکە بەرز دەکردەوە بۆ باوکی خۆی. لە ناو تابووتەکەدا گۆزە زێڕینەکەی مەنا، دارەکەی هارون کە گەلا کردبوو، و تەختە بەردینەکان هەبوون کە وەک کتێبێک پێکەوە دادەخران. عیسا ئەوانی کردەوە، و من دە فرمانەکانی خوایەتی بینی کە بە پەنجەی خودا لەسەریان نووسرابوون. لەسەر یەک تەختە چوار بوون، و لەسەر ئەوی دیکە شەش. ئەو چوارەی سەر تەختەی یەکەم زیاتریان دەدرەوشانەوە لەو شەشەی دیکە. بەڵام چوارەم، واتە فرمانی شەممە، لە هەموویان زیاتر دەدرەوشایەوە؛ چونکە شەممە تەرخان کرابوو بۆ ئەوەی بە ڕێزگرتن لە ناوی پیرۆزی خودا بپارێزرێت. شەممەی پیرۆز پرشنگدار دیار بوو—هالۆیەکی شکۆ بە دەوری هەمووی دا بوو. من بینی کە فرمانی شەممە لەسەر خاچ نەچەقیندراوە. ئەگەر وابووایە، ئەوا نوو فرمانەکەی دیکەش نەچەقیندرابوون؛ و ئێمە ئازاد دەبووین هەموویان بشکێنین، هەروەها چوارەمیش بشکێنین. من بینی کە خودا شەممەی نەگۆڕیوە، چونکە هەرگیز ناگۆڕێت. بەڵام پاپا ئەوی لە حەوتەمین ڕۆژی هەفتەوە بۆ یەکەمین ڕۆژی هەفتە گۆڕیوە؛ چونکە دەبوو کاتەکان و یاساکان بگۆڕێت.» Early Writings, 32.</w:t>
      </w:r>
    </w:p>
    <w:p>
      <w:pPr>
        <w:pStyle w:val="ArticleBody"/>
        <w:jc w:val="left"/>
      </w:pPr>
      <w:r>
        <w:rPr>
          <w:rFonts w:ascii="Times New Roman" w:hAnsi="Times New Roman" w:eastAsia="Times New Roman" w:cs="Times New Roman"/>
        </w:rPr>
        <w:t>Cuando los protestantes salieron de la Edad Oscura en 1798 y el libro de Daniel fue desellado, el sexto reino de la profecía bíblica, la bestia terrestre de dos cuernos de Apocalipsis trece, comenzó su marcha a través de la historia profética. El protestantismo fue fundado sobre el documento sagrado llamado la Santa Biblia, y el republicanismo fue fundado sobre el documento sagrado llamado la Constitución. Dios había sacado de la Edad Oscura a Su iglesia en el desierto, pero, así como sucedió con el antiguo Israel durante el período egipcio de esclavitud, el mandamiento del sábado había sido olvidado. Así como Israel cruzó el Mar Rojo en camino a la promulgación de la ley en el Sinaí, el Israel moderno cruzó el Atlántico en camino al 22 de octubre de 1844, donde la ley sería una vez más revelada. El Señor estaba levantando nuevamente a un pueblo que sería depositario de Su ley, depositario de Sus revelaciones proféticas y que llevaría el manto del protestantismo. Al antiguo Israel se le dieron las dos tablas de los Diez Mandamientos como símbolo de su obra de ser depositario de Su ley, y al Israel moderno se le dieron las dos tablas de Habacuc como símbolo de su obra como depositario de Su Palabra profética.</w:t>
      </w:r>
    </w:p>
    <w:p>
      <w:pPr>
        <w:pStyle w:val="ArticleBody"/>
        <w:jc w:val="left"/>
      </w:pP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इस्राएललाई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संसारसमक्ष</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आवरण</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गर्नेहरूले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समुच्चय</w:t>
      </w:r>
      <w:r>
        <w:rPr>
          <w:rFonts w:ascii="Times New Roman" w:hAnsi="Times New Roman" w:eastAsia="Times New Roman" w:cs="Times New Roman"/>
        </w:rPr>
        <w:t xml:space="preserve"> </w:t>
      </w:r>
      <w:r>
        <w:rPr>
          <w:rFonts w:ascii="Nirmala UI" w:hAnsi="Nirmala UI" w:eastAsia="Nirmala UI" w:cs="Nirmala UI"/>
        </w:rPr>
        <w:t>वहन</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युगबाट</w:t>
      </w:r>
      <w:r>
        <w:rPr>
          <w:rFonts w:ascii="Times New Roman" w:hAnsi="Times New Roman" w:eastAsia="Times New Roman" w:cs="Times New Roman"/>
        </w:rPr>
        <w:t xml:space="preserve"> </w:t>
      </w:r>
      <w:r>
        <w:rPr>
          <w:rFonts w:ascii="Nirmala UI" w:hAnsi="Nirmala UI" w:eastAsia="Nirmala UI" w:cs="Nirmala UI"/>
        </w:rPr>
        <w:t>निस्केको</w:t>
      </w:r>
      <w:r>
        <w:rPr>
          <w:rFonts w:ascii="Times New Roman" w:hAnsi="Times New Roman" w:eastAsia="Times New Roman" w:cs="Times New Roman"/>
        </w:rPr>
        <w:t xml:space="preserve"> </w:t>
      </w:r>
      <w:r>
        <w:rPr>
          <w:rFonts w:ascii="Nirmala UI" w:hAnsi="Nirmala UI" w:eastAsia="Nirmala UI" w:cs="Nirmala UI"/>
        </w:rPr>
        <w:t>प्रोटेस्टेन्टवाद</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प्रोटेस्टेन्टवादले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मूलमन्त्रको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मूर्तिहरूलाई</w:t>
      </w:r>
      <w:r>
        <w:rPr>
          <w:rFonts w:ascii="Times New Roman" w:hAnsi="Times New Roman" w:eastAsia="Times New Roman" w:cs="Times New Roman"/>
        </w:rPr>
        <w:t xml:space="preserve"> </w:t>
      </w:r>
      <w:r>
        <w:rPr>
          <w:rFonts w:ascii="Nirmala UI" w:hAnsi="Nirmala UI" w:eastAsia="Nirmala UI" w:cs="Nirmala UI"/>
        </w:rPr>
        <w:t>चढाइएका</w:t>
      </w:r>
      <w:r>
        <w:rPr>
          <w:rFonts w:ascii="Times New Roman" w:hAnsi="Times New Roman" w:eastAsia="Times New Roman" w:cs="Times New Roman"/>
        </w:rPr>
        <w:t xml:space="preserve"> </w:t>
      </w:r>
      <w:r>
        <w:rPr>
          <w:rFonts w:ascii="Nirmala UI" w:hAnsi="Nirmala UI" w:eastAsia="Nirmala UI" w:cs="Nirmala UI"/>
        </w:rPr>
        <w:t>वस्तुहरूजस्ता</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शताब्दीयौंदेखि</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आएकाले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अपूर्ण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प्रोटेस्टेन्टले</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अगमवक्ताहरू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प्रतीकित</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समुच्चय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दुवैलाई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दुवैका</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हुनेथिए।</w:t>
      </w:r>
    </w:p>
    <w:p>
      <w:pPr>
        <w:pStyle w:val="ArticleScripture"/>
        <w:jc w:val="left"/>
      </w:pPr>
      <w:r>
        <w:rPr>
          <w:rFonts w:ascii="Times New Roman" w:hAnsi="Times New Roman" w:eastAsia="Times New Roman" w:cs="Times New Roman"/>
        </w:rPr>
        <w:t>“Dios hanan Qan Iglesiata kay p’unchaypi, imaynatachus ñawpaq Israelta waqyasqa karqan hinata, kay pachapi achki hina sayarinanpaq. Cheqaq kay atiyuq rakinaqwan, ñawpaq, iskay kaq, kinsa kaq angelkunapa willakuyninkunawan, Iglesiataqa iglesiakunamanta hinallataq kay pachamanta t’aqwarqan Paywan ch’uya qayllayman pusananpaq. Payqa paykunata Rimanapa waqaychaqninman tukuchirqan, hinallataq kay p’unchaypaq hatun profeciapa cheqaqkayninkunata paykunaman churapurqan. Imaynatachus ñawpaq Israelman churasqa karqan ch’uya rimaykuna hinata, chaykunapas huk ch’uya qatiykuymi, kay pachaman willasqa kananpaq. Apocalipsis 14 nisqapi kinsa angelkunaqa Diospa willakuyninkunapa achkinta chaskiq runakunatan rikuchin, paykunaq ranti hina lluqsinankupaq, kay pachapa tukuy suniyninpi, tukuy anchayninpi ima, waqyayta waqachinanpaq.” Testimonies, volumen 5, 455.</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ᱥᱟᱵᱰᱷᱟᱱ</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ᱯᱨᱚᱠᱞᱟᱢ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ᱪᱟᱦᱤ</w:t>
      </w:r>
      <w:r>
        <w:rPr>
          <w:rFonts w:ascii="Times New Roman" w:hAnsi="Times New Roman" w:eastAsia="Times New Roman" w:cs="Times New Roman"/>
        </w:rPr>
        <w:t xml:space="preserve"> </w:t>
      </w:r>
      <w:r>
        <w:rPr>
          <w:rFonts w:ascii="Nirmala UI" w:hAnsi="Nirmala UI" w:eastAsia="Nirmala UI" w:cs="Nirmala UI"/>
        </w:rPr>
        <w:t>ᱡᱟᱹᱦᱟᱸ</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ᱥᱮᱴ</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ᱯᱟᱴᱤ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ᱫᱷᱟᱨᱚᱱᱤᱭᱟᱹ</w:t>
      </w:r>
      <w:r>
        <w:rPr>
          <w:rFonts w:ascii="Times New Roman" w:hAnsi="Times New Roman" w:eastAsia="Times New Roman" w:cs="Times New Roman"/>
        </w:rPr>
        <w:t xml:space="preserve"> </w:t>
      </w:r>
      <w:r>
        <w:rPr>
          <w:rFonts w:ascii="Nirmala UI" w:hAnsi="Nirmala UI" w:eastAsia="Nirmala UI" w:cs="Nirmala UI"/>
        </w:rPr>
        <w:t>ᱞᱮᱠᱟᱛᱮ</w:t>
      </w:r>
      <w:r>
        <w:rPr>
          <w:rFonts w:ascii="Times New Roman" w:hAnsi="Times New Roman" w:eastAsia="Times New Roman" w:cs="Times New Roman"/>
        </w:rPr>
        <w:t xml:space="preserve"> </w:t>
      </w:r>
      <w:r>
        <w:rPr>
          <w:rFonts w:ascii="Nirmala UI" w:hAnsi="Nirmala UI" w:eastAsia="Nirmala UI" w:cs="Nirmala UI"/>
        </w:rPr>
        <w:t>ᱪᱤᱱᱦᱟᱹᱯ</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ᱥᱮᱴᱟᱜ</w:t>
      </w:r>
      <w:r>
        <w:rPr>
          <w:rFonts w:ascii="Times New Roman" w:hAnsi="Times New Roman" w:eastAsia="Times New Roman" w:cs="Times New Roman"/>
        </w:rPr>
        <w:t xml:space="preserve"> </w:t>
      </w:r>
      <w:r>
        <w:rPr>
          <w:rFonts w:ascii="Nirmala UI" w:hAnsi="Nirmala UI" w:eastAsia="Nirmala UI" w:cs="Nirmala UI"/>
        </w:rPr>
        <w:t>ᱠᱟᱛᱷᱚᱞᱤᱠ</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ᱪᱤᱦᱱᱟᱹ</w:t>
      </w:r>
      <w:r>
        <w:rPr>
          <w:rFonts w:ascii="Times New Roman" w:hAnsi="Times New Roman" w:eastAsia="Times New Roman" w:cs="Times New Roman"/>
        </w:rPr>
        <w:t xml:space="preserve"> </w:t>
      </w:r>
      <w:r>
        <w:rPr>
          <w:rFonts w:ascii="Nirmala UI" w:hAnsi="Nirmala UI" w:eastAsia="Nirmala UI" w:cs="Nirmala UI"/>
        </w:rPr>
        <w:t>ᱦᱟᱛᱟᱣ</w:t>
      </w:r>
      <w:r>
        <w:rPr>
          <w:rFonts w:ascii="Times New Roman" w:hAnsi="Times New Roman" w:eastAsia="Times New Roman" w:cs="Times New Roman"/>
        </w:rPr>
        <w:t xml:space="preserve"> </w:t>
      </w:r>
      <w:r>
        <w:rPr>
          <w:rFonts w:ascii="Nirmala UI" w:hAnsi="Nirmala UI" w:eastAsia="Nirmala UI" w:cs="Nirmala UI"/>
        </w:rPr>
        <w:t>ᱮᱴᱠᱟᱣ</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ᱯᱨᱚᱛᱤᱵᱟᱫ</w:t>
      </w:r>
      <w:r>
        <w:rPr>
          <w:rFonts w:ascii="Times New Roman" w:hAnsi="Times New Roman" w:eastAsia="Times New Roman" w:cs="Times New Roman"/>
        </w:rPr>
        <w:t xml:space="preserve"> </w:t>
      </w:r>
      <w:r>
        <w:rPr>
          <w:rFonts w:ascii="Nirmala UI" w:hAnsi="Nirmala UI" w:eastAsia="Nirmala UI" w:cs="Nirmala UI"/>
        </w:rPr>
        <w:t>ᱟᱦᱟᱵ</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ᱡᱮᱡᱮᱵᱮᱞ</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ᱵᱮᱦᱟᱹᱭᱟᱹ</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ᱵᱤᱨᱩᱫ</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ᱮᱞᱤᱭᱟᱦ</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ᱢᱟᱩᱱᱴ</w:t>
      </w:r>
      <w:r>
        <w:rPr>
          <w:rFonts w:ascii="Times New Roman" w:hAnsi="Times New Roman" w:eastAsia="Times New Roman" w:cs="Times New Roman"/>
        </w:rPr>
        <w:t xml:space="preserve"> </w:t>
      </w:r>
      <w:r>
        <w:rPr>
          <w:rFonts w:ascii="Nirmala UI" w:hAnsi="Nirmala UI" w:eastAsia="Nirmala UI" w:cs="Nirmala UI"/>
        </w:rPr>
        <w:t>ᱠᱟᱨᱢᱮᱞ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ᱩᱯᱩᱨᱩᱢ</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ᱢᱟᱩᱱᱴ</w:t>
      </w:r>
      <w:r>
        <w:rPr>
          <w:rFonts w:ascii="Times New Roman" w:hAnsi="Times New Roman" w:eastAsia="Times New Roman" w:cs="Times New Roman"/>
        </w:rPr>
        <w:t xml:space="preserve"> </w:t>
      </w:r>
      <w:r>
        <w:rPr>
          <w:rFonts w:ascii="Nirmala UI" w:hAnsi="Nirmala UI" w:eastAsia="Nirmala UI" w:cs="Nirmala UI"/>
        </w:rPr>
        <w:t>ᱥᱤᱱᱟᱭ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ᱯᱟᱴᱤ</w:t>
      </w:r>
      <w:r>
        <w:rPr>
          <w:rFonts w:ascii="Times New Roman" w:hAnsi="Times New Roman" w:eastAsia="Times New Roman" w:cs="Times New Roman"/>
        </w:rPr>
        <w:t xml:space="preserve"> </w:t>
      </w:r>
      <w:r>
        <w:rPr>
          <w:rFonts w:ascii="Nirmala UI" w:hAnsi="Nirmala UI" w:eastAsia="Nirmala UI" w:cs="Nirmala UI"/>
        </w:rPr>
        <w:t>ᱫᱷᱤᱨᱤ</w:t>
      </w:r>
      <w:r>
        <w:rPr>
          <w:rFonts w:ascii="Times New Roman" w:hAnsi="Times New Roman" w:eastAsia="Times New Roman" w:cs="Times New Roman"/>
        </w:rPr>
        <w:t xml:space="preserve"> </w:t>
      </w:r>
      <w:r>
        <w:rPr>
          <w:rFonts w:ascii="Nirmala UI" w:hAnsi="Nirmala UI" w:eastAsia="Nirmala UI" w:cs="Nirmala UI"/>
        </w:rPr>
        <w:t>ᱮᱢᱚᱜ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1842 </w:t>
      </w:r>
      <w:r>
        <w:rPr>
          <w:rFonts w:ascii="Nirmala UI" w:hAnsi="Nirmala UI" w:eastAsia="Nirmala UI" w:cs="Nirmala UI"/>
        </w:rPr>
        <w:t>ᱠᱷᱚᱱ</w:t>
      </w:r>
      <w:r>
        <w:rPr>
          <w:rFonts w:ascii="Times New Roman" w:hAnsi="Times New Roman" w:eastAsia="Times New Roman" w:cs="Times New Roman"/>
        </w:rPr>
        <w:t xml:space="preserve"> 1849 </w:t>
      </w:r>
      <w:r>
        <w:rPr>
          <w:rFonts w:ascii="Nirmala UI" w:hAnsi="Nirmala UI" w:eastAsia="Nirmala UI" w:cs="Nirmala UI"/>
        </w:rPr>
        <w:t>ᱛᱷᱮᱱ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ᱦᱟᱵᱟᱠᱠᱩᱠ</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ᱯᱟᱴᱤ</w:t>
      </w:r>
      <w:r>
        <w:rPr>
          <w:rFonts w:ascii="Times New Roman" w:hAnsi="Times New Roman" w:eastAsia="Times New Roman" w:cs="Times New Roman"/>
        </w:rPr>
        <w:t xml:space="preserve"> </w:t>
      </w:r>
      <w:r>
        <w:rPr>
          <w:rFonts w:ascii="Nirmala UI" w:hAnsi="Nirmala UI" w:eastAsia="Nirmala UI" w:cs="Nirmala UI"/>
        </w:rPr>
        <w:t>ᱠᱟᱯᱲᱟ</w:t>
      </w:r>
      <w:r>
        <w:rPr>
          <w:rFonts w:ascii="Times New Roman" w:hAnsi="Times New Roman" w:eastAsia="Times New Roman" w:cs="Times New Roman"/>
        </w:rPr>
        <w:t xml:space="preserve"> </w:t>
      </w:r>
      <w:r>
        <w:rPr>
          <w:rFonts w:ascii="Nirmala UI" w:hAnsi="Nirmala UI" w:eastAsia="Nirmala UI" w:cs="Nirmala UI"/>
        </w:rPr>
        <w:t>ᱮᱢᱚᱜ</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ᱪᱤᱱᱦᱟᱹᱯ</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ᱦᱟᱵᱟᱠᱠᱩᱠ</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ᱯᱟᱴᱤ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ᱯᱨᱚᱴᱮᱥᱴᱟᱱᱴ</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ᱪᱩᱠᱛᱤᱭᱟᱹ</w:t>
      </w:r>
      <w:r>
        <w:rPr>
          <w:rFonts w:ascii="Times New Roman" w:hAnsi="Times New Roman" w:eastAsia="Times New Roman" w:cs="Times New Roman"/>
        </w:rPr>
        <w:t xml:space="preserve"> </w:t>
      </w:r>
      <w:r>
        <w:rPr>
          <w:rFonts w:ascii="Nirmala UI" w:hAnsi="Nirmala UI" w:eastAsia="Nirmala UI" w:cs="Nirmala UI"/>
        </w:rPr>
        <w:t>ᱥᱚᱢᱯᱚᱨᱠ</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ᱯᱟᱴᱤ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ᱟᱹᱡᱦᱤᱨ</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ᱢᱟᱹᱨᱟᱝ</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ᱹᱟᱹᱭᱤᱱ</w:t>
      </w:r>
      <w:r>
        <w:rPr>
          <w:rFonts w:ascii="Times New Roman" w:hAnsi="Times New Roman" w:eastAsia="Times New Roman" w:cs="Times New Roman"/>
        </w:rPr>
        <w:t xml:space="preserve"> </w:t>
      </w:r>
      <w:r>
        <w:rPr>
          <w:rFonts w:ascii="Nirmala UI" w:hAnsi="Nirmala UI" w:eastAsia="Nirmala UI" w:cs="Nirmala UI"/>
        </w:rPr>
        <w:t>ᱟᱹᱡᱦᱤᱨ</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ᱥᱟᱢᱟᱱ</w:t>
      </w:r>
      <w:r>
        <w:rPr>
          <w:rFonts w:ascii="Times New Roman" w:hAnsi="Times New Roman" w:eastAsia="Times New Roman" w:cs="Times New Roman"/>
        </w:rPr>
        <w:t xml:space="preserve"> </w:t>
      </w:r>
      <w:r>
        <w:rPr>
          <w:rFonts w:ascii="Nirmala UI" w:hAnsi="Nirmala UI" w:eastAsia="Nirmala UI" w:cs="Nirmala UI"/>
        </w:rPr>
        <w:t>ᱛᱮᱭᱟᱜᱼᱟ।</w:t>
      </w:r>
    </w:p>
    <w:p>
      <w:pPr>
        <w:pStyle w:val="ArticleBody"/>
        <w:jc w:val="left"/>
      </w:pPr>
      <w:r>
        <w:rPr>
          <w:rFonts w:ascii="Times New Roman" w:hAnsi="Times New Roman" w:eastAsia="Times New Roman" w:cs="Times New Roman"/>
        </w:rPr>
        <w:t>Los Milleritas entraron en el Lugar Santísimo y recibieron la luz del sábado, pero el proceso de prueba aún no había concluido. Simultáneamente, el cuerno del Republicanismo avanzaba a través de esa misma historia. Y ambos cuernos alcanzarían un hito en su marcha conjunta en 1863.</w:t>
      </w:r>
    </w:p>
    <w:p>
      <w:pPr>
        <w:pStyle w:val="ArticleBody"/>
        <w:jc w:val="left"/>
      </w:pPr>
      <w:r>
        <w:rPr>
          <w:rFonts w:ascii="Times New Roman" w:hAnsi="Times New Roman" w:eastAsia="Times New Roman" w:cs="Times New Roman"/>
        </w:rPr>
        <w:t>Millers Eliyahu-botschaft häa hervorgebracht a fortschreitenda Reinigungsprozess mit em beabsichtigta Zweck, s protestantische Horn z etabliera; und in dr identischa Gschicht isch s republikanische Horn in a fortschreitenda Prozess vo dr politische Entwicklig ibezoga gsi. Beide Hörner sin uf em glicha Erd-Tier, also müend si dur dr ganz Gschicht vo dem Erd-Tier im Gleichschritt ga.</w:t>
      </w:r>
    </w:p>
    <w:p>
      <w:pPr>
        <w:pStyle w:val="ArticleBody"/>
        <w:jc w:val="left"/>
      </w:pPr>
      <w:r>
        <w:rPr>
          <w:rFonts w:ascii="Times New Roman" w:hAnsi="Times New Roman" w:eastAsia="Times New Roman" w:cs="Times New Roman"/>
        </w:rPr>
        <w:t>Աշխարհային գազանի Հանրապետական եղջյուրի առաջին մարգարեական բնութագիրը Սահմանադրությունը 1789 թվականին գործի մեջ դնելու՝ խոսելու գործողությունն էր։ 1798 թվականին (վախճանի ժամանակ, երբ Դանիելի գիրքը բացվեց), երկրային գազանը պիտի առաջին անգամ խոսեր որպես Աստվածաշնչյան մարգարեության վեցերորդ թագավորություն։ 1798 թվականը Միացյալ Նահանգների՝ որպես Աստվածաշնչյան մարգարեության վեցերորդ թագավորության սկիզբն էր, և 1798 թվականին երկրային գազանի պատմության սկզբում տեղի ունեցած այդ խոսելը պիտի նախատիպար այն վերջին ժամանակը, երբ վեցերորդ թագավորությունը պիտի խոսեր, և այդ ժամանակը ներկայացված է որպես վիշապի ձայնը։ Երբ քննենք Միացյալ Նահանգներում Հանրապետական եղջյուրի կողմից 1798 թվականին ընդունված օրենքները, պետք է ակնկալենք տեսնել այն օրենքների նախատիպը, որոնք պիտի ընդունվեն կիրակնօրյա օրենքի հետ կապված, երբ Միացյալ Նահանգները խոսի որպես վիշապ։ Մինչ կքննենք հետևյալ չորս օրենքները, ինքներդ ձեզ հարց տվեք՝ արդյո՞ք 1798 թվականին ընդունված այդ չորս օրենքներն ունեն Ալֆայի և Օմեգայի մարգարեական կնիքը։</w:t>
      </w:r>
    </w:p>
    <w:p>
      <w:pPr>
        <w:pStyle w:val="ArticleBody"/>
        <w:jc w:val="left"/>
      </w:pPr>
      <w:r>
        <w:rPr>
          <w:rFonts w:ascii="Times New Roman" w:hAnsi="Times New Roman" w:eastAsia="Times New Roman" w:cs="Times New Roman"/>
        </w:rPr>
        <w:t>1798-жылы Америка Қошма Штатлары «Бөгде жұртлықлар және Бүлікші сөзлер туралы актлар» деп аталған бир неше муhim заңларды қабыл етти. Бул актлар Федералистлер назорат қылған Конгресс тәрепинен қабыл етилип, Америка Қошма Штатларының екинчи президенти һәм Жорж Вашингтонның сабық вице-президенти болған Президент Джон Адамс тәрепинен қол қоюлып заң күчигә игә болған төрт заңдин ибарәт еди.</w:t>
      </w:r>
    </w:p>
    <w:p>
      <w:pPr>
        <w:pStyle w:val="ArticleBody"/>
        <w:jc w:val="left"/>
      </w:pPr>
      <w:r>
        <w:rPr>
          <w:rFonts w:ascii="Times New Roman" w:hAnsi="Times New Roman" w:eastAsia="Times New Roman" w:cs="Times New Roman"/>
        </w:rPr>
        <w:t>Законът за натурализацията: Този закон удължи изискването за пребиваване на имигрантите, за да станат граждани на Съединените щати, от 5 на 14 години. Той бе насочен главно към ограничаване на влиянието на новопристигналите имигранти, които често бяха свързани с опозиционната партия — Демократическо-републиканците.</w:t>
      </w:r>
    </w:p>
    <w:p>
      <w:pPr>
        <w:pStyle w:val="ArticleBody"/>
        <w:jc w:val="left"/>
      </w:pPr>
      <w:r>
        <w:rPr>
          <w:rFonts w:ascii="Times New Roman" w:hAnsi="Times New Roman" w:eastAsia="Times New Roman" w:cs="Times New Roman"/>
        </w:rPr>
        <w:t>اَکتِ اَیلِیَن فرېنډز: دې اَکت صدر ته واک ورکولو چې د سولې په وخت کې هغه غیرتابعان چې د متحده ایالاتو د امنیت لپاره ګواښ بلل کېدل، تبعید کړي. دې اَکت صدر ته اجازه ورکوله چې هر هغه غیرتابع توقیف او تبعید کړي چې هغه یې خطرناک باله.</w:t>
      </w:r>
    </w:p>
    <w:p>
      <w:pPr>
        <w:pStyle w:val="ArticleBody"/>
        <w:jc w:val="left"/>
      </w:pPr>
      <w:r>
        <w:rPr>
          <w:rFonts w:ascii="Times New Roman" w:hAnsi="Times New Roman" w:eastAsia="Times New Roman" w:cs="Times New Roman"/>
        </w:rPr>
        <w:t>Acta contra los enemigos extranjeros: Esta ley disponía la aprehensión, la restricción y la deportación de ciudadanos procedentes de países en guerra con los Estados Unidos. Fue promulgada como medida de precaución durante el tenso ambiente de finales de la década de 1790.</w:t>
      </w:r>
    </w:p>
    <w:p>
      <w:pPr>
        <w:pStyle w:val="ArticleBody"/>
        <w:jc w:val="left"/>
      </w:pPr>
      <w:r>
        <w:rPr>
          <w:rFonts w:ascii="Times New Roman" w:hAnsi="Times New Roman" w:eastAsia="Times New Roman" w:cs="Times New Roman"/>
        </w:rPr>
        <w:t>قانۇنۇتارنىڭ ۋە قۇزغىلاڭچىلىق ھەققىدىكى قانۇن: بۇ «ئەللىكلەر ۋە قۇزغىلاڭچىلىق قانۇنلىرى» ئىچىدىكى ئەڭ زور تالاش-تارتىش قوزغىغانىدۇر. ئۇ ھۆكۈمەت ياكى ئۇنىڭ مەسئۇللىرىغا قارشى، ئۇلارنى تۆھمەت قىلىش ياكى نام-ئابرويىنى تۆكۈش نىيىتىدە «يالغان، شەرەپكە تېگىدىغان ۋە ئەدەۋەتلىك» يازمىلارنى نەشر قىلىشنى جىنايى جىنايەت دەپ بەلگىلىدى. تەنقىدچىلەر بۇنى سۆز ئەركىنلىكى ۋە مەتبۇئات ئەركىنلىكىگە قارىتىلغان بىۋاسىتە بىر ھۇجۇم دەپ قارىدى.</w:t>
      </w:r>
    </w:p>
    <w:p>
      <w:pPr>
        <w:pStyle w:val="ArticleBody"/>
        <w:jc w:val="left"/>
      </w:pPr>
      <w:r>
        <w:rPr>
          <w:rFonts w:ascii="Times New Roman" w:hAnsi="Times New Roman" w:eastAsia="Times New Roman" w:cs="Times New Roman"/>
        </w:rPr>
        <w:t>Acts de Alien y Sedición tumu'ẽ la i kontroversiálit senu i na'guahẽ oposisión signifikánti hosi Democratic-Republicans, sira-ne'ebé fiar katak lei hirak-ne'e viola direitu konstitusionál fundamentais no dirije ba sira-nia partidu polítiku. Sira argumenta katak lei hirak-ne'e nu'udar violasaun ida ba Primeira Emenda, ne'ebé proteje liberdade de expressão no imprensa. Ikusmai, lei hirak-ne'e hala'o papel ida iha eleisaun tinan 1800, bainhira Thomas Jefferson no Democratic-Republicans manan presidénsia no Kongresu, ne'ebé lori ba revogasaun husi Act de Sedición.</w:t>
      </w:r>
    </w:p>
    <w:p>
      <w:pPr>
        <w:pStyle w:val="ArticleBody"/>
        <w:jc w:val="left"/>
      </w:pPr>
      <w:r>
        <w:rPr>
          <w:rFonts w:ascii="Times New Roman" w:hAnsi="Times New Roman" w:eastAsia="Times New Roman" w:cs="Times New Roman"/>
        </w:rPr>
        <w:t>Parti Demokratik-Repibliken ti krwar ki sa bann lalwa ti pe vyol drwa fondamantal ki Lasanble Konstitisyon ti soutenir, e zot ti krwar osi ki sa bann lalwa ti pe vize parti politik opoze a. I pa enportan ki sa bann lalwa ti ganny aboli oubyen ki zot ti ekspire pli tar; Alpha ek Omega i ilistre lafen atraver konmansman. Dan sa listwar kot sa bann lalwa ti ganny adopte oubyen “koze” pour vin lalwa, Parti Federalis ti ganny opoze par en parti ki ti apel Demokrat-Repibliken. Levolisyon Parti Demokrat-Repibliken finalman i prodwir Parti Repibliken. En parti politik ki an prensipal ti ini ansanm lo baz en pozisyon kont lesklavaz.</w:t>
      </w:r>
    </w:p>
    <w:p>
      <w:pPr>
        <w:pStyle w:val="ArticleBody"/>
        <w:jc w:val="left"/>
      </w:pPr>
      <w:r>
        <w:rPr>
          <w:rFonts w:ascii="Nirmala UI" w:hAnsi="Nirmala UI" w:eastAsia="Nirmala UI" w:cs="Nirmala UI"/>
        </w:rPr>
        <w:t>इतिहासकारहरू</w:t>
      </w:r>
      <w:r>
        <w:rPr>
          <w:rFonts w:ascii="Times New Roman" w:hAnsi="Times New Roman" w:eastAsia="Times New Roman" w:cs="Times New Roman"/>
        </w:rPr>
        <w:t xml:space="preserve"> 1863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दासत्वको</w:t>
      </w:r>
      <w:r>
        <w:rPr>
          <w:rFonts w:ascii="Times New Roman" w:hAnsi="Times New Roman" w:eastAsia="Times New Roman" w:cs="Times New Roman"/>
        </w:rPr>
        <w:t xml:space="preserve"> </w:t>
      </w:r>
      <w:r>
        <w:rPr>
          <w:rFonts w:ascii="Nirmala UI" w:hAnsi="Nirmala UI" w:eastAsia="Nirmala UI" w:cs="Nirmala UI"/>
        </w:rPr>
        <w:t>प्रश्नमा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गृहयुद्धको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मध्यबिन्दुका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1863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सिङ्गका</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मानकवाहकहरूको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मार्गचिन्ह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स्वर्गदूतहरूद्वारा</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साधारण</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दासत्वसम्बन्धी</w:t>
      </w:r>
      <w:r>
        <w:rPr>
          <w:rFonts w:ascii="Times New Roman" w:hAnsi="Times New Roman" w:eastAsia="Times New Roman" w:cs="Times New Roman"/>
        </w:rPr>
        <w:t xml:space="preserve"> </w:t>
      </w:r>
      <w:r>
        <w:rPr>
          <w:rFonts w:ascii="Nirmala UI" w:hAnsi="Nirmala UI" w:eastAsia="Nirmala UI" w:cs="Nirmala UI"/>
        </w:rPr>
        <w:t>व्यवस्थाहरूमा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लेवीव्यवस्थाको</w:t>
      </w:r>
      <w:r>
        <w:rPr>
          <w:rFonts w:ascii="Times New Roman" w:hAnsi="Times New Roman" w:eastAsia="Times New Roman" w:cs="Times New Roman"/>
        </w:rPr>
        <w:t xml:space="preserve"> </w:t>
      </w:r>
      <w:r>
        <w:rPr>
          <w:rFonts w:ascii="Nirmala UI" w:hAnsi="Nirmala UI" w:eastAsia="Nirmala UI" w:cs="Nirmala UI"/>
        </w:rPr>
        <w:t>अघिल्लो</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25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व्यवस्थाहरूको</w:t>
      </w:r>
      <w:r>
        <w:rPr>
          <w:rFonts w:ascii="Times New Roman" w:hAnsi="Times New Roman" w:eastAsia="Times New Roman" w:cs="Times New Roman"/>
        </w:rPr>
        <w:t xml:space="preserve"> </w:t>
      </w:r>
      <w:r>
        <w:rPr>
          <w:rFonts w:ascii="Nirmala UI" w:hAnsi="Nirmala UI" w:eastAsia="Nirmala UI" w:cs="Nirmala UI"/>
        </w:rPr>
        <w:t>अवज्ञा</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दासत्वमा</w:t>
      </w:r>
      <w:r>
        <w:rPr>
          <w:rFonts w:ascii="Times New Roman" w:hAnsi="Times New Roman" w:eastAsia="Times New Roman" w:cs="Times New Roman"/>
        </w:rPr>
        <w:t xml:space="preserve"> </w:t>
      </w:r>
      <w:r>
        <w:rPr>
          <w:rFonts w:ascii="Nirmala UI" w:hAnsi="Nirmala UI" w:eastAsia="Nirmala UI" w:cs="Nirmala UI"/>
        </w:rPr>
        <w:t>फर्किएर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जसबाट</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यात्रा</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1798’ден 1863’ке дейін саяси партия — Демократиялық-республикалық партия — бірқатар тазартулар мен сілкіністерден өтті. 1798 жылдан бастап, әсіресе 1840 жылғы 11 тамыздан бастап 1863 жылға дейін Миллерит қозғалысы да бірқатар тазартулар мен сілкіністерден өтті.</w:t>
      </w:r>
    </w:p>
    <w:p>
      <w:pPr>
        <w:pStyle w:val="ArticleBody"/>
        <w:jc w:val="left"/>
      </w:pPr>
      <w:r>
        <w:rPr>
          <w:rFonts w:ascii="Times New Roman" w:hAnsi="Times New Roman" w:eastAsia="Times New Roman" w:cs="Times New Roman"/>
        </w:rPr>
        <w:t>دەموکرات-کۆمارییەکان، کە یەکێک بوون لە پارتە سیاسییە سەرەتاییەکانی ویلایەتە یەکگرتووەکان، بە ڕاستەوخۆ نەگۆڕان بۆ ئەو پارتە کۆمارییە نوێیەی کە ئەمڕۆ هەیە. بەڵکو، لە ماوەی کاتدا بە ژمارەیەک گۆڕانکاری و دابەشبوون تێپەڕی، و لە کۆتاییدا پێکهاتنی چەندین پارتەی سیاسیی جیاواز لێکەوتەوە پێش ئەوەی پارتە کۆمارییەکە سەرهەڵبدات.</w:t>
      </w:r>
    </w:p>
    <w:p>
      <w:pPr>
        <w:pStyle w:val="ArticleBody"/>
        <w:jc w:val="left"/>
      </w:pPr>
      <w:r>
        <w:rPr>
          <w:rFonts w:ascii="Times New Roman" w:hAnsi="Times New Roman" w:eastAsia="Times New Roman" w:cs="Times New Roman"/>
        </w:rPr>
        <w:t>Партія демократів-республіканців, яку часто пов’язують із Томасом Джефферсоном і Джеймсом Медісоном, була заснована наприкінці XVIII століття як відповідь на Партію федералістів. Демократи-республіканці обстоювали суворе тлумачення Конституції, права штатів і аграрні інтереси.</w:t>
      </w:r>
    </w:p>
    <w:p>
      <w:pPr>
        <w:pStyle w:val="ArticleBody"/>
        <w:jc w:val="left"/>
      </w:pPr>
      <w:r>
        <w:rPr>
          <w:rFonts w:ascii="Times New Roman" w:hAnsi="Times New Roman" w:eastAsia="Times New Roman" w:cs="Times New Roman"/>
        </w:rPr>
        <w:t>Adəwulabɛ 1820-sum mɛra, Democratic-Republican Party maŋa yira ka pɔri kɔlɔŋ-kɔlɔŋ ayi yihiri ani sɔŋsɔŋi n-ti. Pɔribu wulɔŋ pãa ti Era of Good Feelings (1817–1825) mɛra, waati n na mɔri n-yɛli n-kpɛri kɛ James Monroe ka perezidansi la. Siyasibu hɛri n-ti waati-kani mɔri Democratic-Republican Party ka yɔribu diɛri. Kɛ party la pãa yira ka pɔri kɛ pɔli-pɔli yitaayi, ani ka lebiri ka kɛ siyasibu tɔbisi n-ti:</w:t>
      </w:r>
    </w:p>
    <w:p>
      <w:pPr>
        <w:pStyle w:val="ArticleBody"/>
        <w:jc w:val="left"/>
      </w:pPr>
      <w:r>
        <w:rPr>
          <w:rFonts w:ascii="Times New Roman" w:hAnsi="Times New Roman" w:eastAsia="Times New Roman" w:cs="Times New Roman"/>
        </w:rPr>
        <w:t>Парти т демократийу: Ittawen n Andrew Jackson, win yellan d aselway wis sa n yiman-is deg 1829, snulfan Парти т демократийу. Демократийен ижаксонйен ttusmersen tasqamut tamselwayt iǧehden, asemḍer ar utaram, akked usiɛed n uzref n uvut i yirgazen imellalen.</w:t>
      </w:r>
    </w:p>
    <w:p>
      <w:pPr>
        <w:pStyle w:val="ArticleBody"/>
        <w:jc w:val="left"/>
      </w:pP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नैसियोनाल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पार्टिडो</w:t>
      </w:r>
      <w:r>
        <w:rPr>
          <w:rFonts w:ascii="Times New Roman" w:hAnsi="Times New Roman" w:eastAsia="Times New Roman" w:cs="Times New Roman"/>
        </w:rPr>
        <w:t xml:space="preserve"> </w:t>
      </w:r>
      <w:r>
        <w:rPr>
          <w:rFonts w:ascii="Nirmala UI" w:hAnsi="Nirmala UI" w:eastAsia="Nirmala UI" w:cs="Nirmala UI"/>
        </w:rPr>
        <w:t>आन्द्रेउ</w:t>
      </w:r>
      <w:r>
        <w:rPr>
          <w:rFonts w:ascii="Times New Roman" w:hAnsi="Times New Roman" w:eastAsia="Times New Roman" w:cs="Times New Roman"/>
        </w:rPr>
        <w:t xml:space="preserve"> </w:t>
      </w:r>
      <w:r>
        <w:rPr>
          <w:rFonts w:ascii="Nirmala UI" w:hAnsi="Nirmala UI" w:eastAsia="Nirmala UI" w:cs="Nirmala UI"/>
        </w:rPr>
        <w:t>जैक्सन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प्रेसिदेन्सिया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उभरल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जैक्सन</w:t>
      </w:r>
      <w:r>
        <w:rPr>
          <w:rFonts w:ascii="Times New Roman" w:hAnsi="Times New Roman" w:eastAsia="Times New Roman" w:cs="Times New Roman"/>
        </w:rPr>
        <w:t>-</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गुटन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विलीन</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पार्टी</w:t>
      </w:r>
      <w:r>
        <w:rPr>
          <w:rFonts w:ascii="Times New Roman" w:hAnsi="Times New Roman" w:eastAsia="Times New Roman" w:cs="Times New Roman"/>
        </w:rPr>
        <w:t xml:space="preserve"> </w:t>
      </w:r>
      <w:r>
        <w:rPr>
          <w:rFonts w:ascii="Nirmala UI" w:hAnsi="Nirmala UI" w:eastAsia="Nirmala UI" w:cs="Nirmala UI"/>
        </w:rPr>
        <w:t>विग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नैसियोनाल</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एगो</w:t>
      </w:r>
      <w:r>
        <w:rPr>
          <w:rFonts w:ascii="Times New Roman" w:hAnsi="Times New Roman" w:eastAsia="Times New Roman" w:cs="Times New Roman"/>
        </w:rPr>
        <w:t xml:space="preserve"> </w:t>
      </w:r>
      <w:r>
        <w:rPr>
          <w:rFonts w:ascii="Nirmala UI" w:hAnsi="Nirmala UI" w:eastAsia="Nirmala UI" w:cs="Nirmala UI"/>
        </w:rPr>
        <w:t>मजबूत</w:t>
      </w:r>
      <w:r>
        <w:rPr>
          <w:rFonts w:ascii="Times New Roman" w:hAnsi="Times New Roman" w:eastAsia="Times New Roman" w:cs="Times New Roman"/>
        </w:rPr>
        <w:t xml:space="preserve"> </w:t>
      </w:r>
      <w:r>
        <w:rPr>
          <w:rFonts w:ascii="Nirmala UI" w:hAnsi="Nirmala UI" w:eastAsia="Nirmala UI" w:cs="Nirmala UI"/>
        </w:rPr>
        <w:t>फेदेराल</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विकास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रहलें।</w:t>
      </w:r>
    </w:p>
    <w:p>
      <w:pPr>
        <w:pStyle w:val="ArticleBody"/>
        <w:jc w:val="left"/>
      </w:pPr>
      <w:r>
        <w:rPr>
          <w:rFonts w:ascii="Times New Roman" w:hAnsi="Times New Roman" w:eastAsia="Times New Roman" w:cs="Times New Roman"/>
        </w:rPr>
        <w:t>حزب ضدّ الماسونية: كان هذا حزبًا سياسيًا قصيرَ العمر ظهر في عشرينيات القرن التاسع عشر، أساسًا استجابةً لمخاوف بشأن نفوذ الأخوية الماسونية السريّة. وقد استوعب بعض الأعضاء السابقين من الجمهوريين الديمقراطيين.</w:t>
      </w:r>
    </w:p>
    <w:p>
      <w:pPr>
        <w:pStyle w:val="ArticleBody"/>
        <w:jc w:val="left"/>
      </w:pP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ዊግ፡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1830</w:t>
      </w:r>
      <w:r>
        <w:rPr>
          <w:rFonts w:ascii="Ebrima" w:hAnsi="Ebrima" w:eastAsia="Ebrima" w:cs="Ebrima"/>
        </w:rPr>
        <w:t>ዎቹ</w:t>
      </w:r>
      <w:r>
        <w:rPr>
          <w:rFonts w:ascii="Times New Roman" w:hAnsi="Times New Roman" w:eastAsia="Times New Roman" w:cs="Times New Roman"/>
        </w:rPr>
        <w:t xml:space="preserve"> </w:t>
      </w:r>
      <w:r>
        <w:rPr>
          <w:rFonts w:ascii="Ebrima" w:hAnsi="Ebrima" w:eastAsia="Ebrima" w:cs="Ebrima"/>
        </w:rPr>
        <w:t>የተመሠረተው</w:t>
      </w:r>
      <w:r>
        <w:rPr>
          <w:rFonts w:ascii="Times New Roman" w:hAnsi="Times New Roman" w:eastAsia="Times New Roman" w:cs="Times New Roman"/>
        </w:rPr>
        <w:t xml:space="preserve"> </w:t>
      </w:r>
      <w:r>
        <w:rPr>
          <w:rFonts w:ascii="Ebrima" w:hAnsi="Ebrima" w:eastAsia="Ebrima" w:cs="Ebrima"/>
        </w:rPr>
        <w:t>የዊግ</w:t>
      </w:r>
      <w:r>
        <w:rPr>
          <w:rFonts w:ascii="Times New Roman" w:hAnsi="Times New Roman" w:eastAsia="Times New Roman" w:cs="Times New Roman"/>
        </w:rPr>
        <w:t xml:space="preserve"> </w:t>
      </w:r>
      <w:r>
        <w:rPr>
          <w:rFonts w:ascii="Ebrima" w:hAnsi="Ebrima" w:eastAsia="Ebrima" w:cs="Ebrima"/>
        </w:rPr>
        <w:t>ወገን</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የነበሩ</w:t>
      </w:r>
      <w:r>
        <w:rPr>
          <w:rFonts w:ascii="Times New Roman" w:hAnsi="Times New Roman" w:eastAsia="Times New Roman" w:cs="Times New Roman"/>
        </w:rPr>
        <w:t xml:space="preserve"> </w:t>
      </w:r>
      <w:r>
        <w:rPr>
          <w:rFonts w:ascii="Ebrima" w:hAnsi="Ebrima" w:eastAsia="Ebrima" w:cs="Ebrima"/>
        </w:rPr>
        <w:t>ብሔራዊ</w:t>
      </w:r>
      <w:r>
        <w:rPr>
          <w:rFonts w:ascii="Times New Roman" w:hAnsi="Times New Roman" w:eastAsia="Times New Roman" w:cs="Times New Roman"/>
        </w:rPr>
        <w:t xml:space="preserve"> </w:t>
      </w:r>
      <w:r>
        <w:rPr>
          <w:rFonts w:ascii="Ebrima" w:hAnsi="Ebrima" w:eastAsia="Ebrima" w:cs="Ebrima"/>
        </w:rPr>
        <w:t>ሪፐብሊካኖችን፣</w:t>
      </w:r>
      <w:r>
        <w:rPr>
          <w:rFonts w:ascii="Times New Roman" w:hAnsi="Times New Roman" w:eastAsia="Times New Roman" w:cs="Times New Roman"/>
        </w:rPr>
        <w:t xml:space="preserve"> </w:t>
      </w:r>
      <w:r>
        <w:rPr>
          <w:rFonts w:ascii="Ebrima" w:hAnsi="Ebrima" w:eastAsia="Ebrima" w:cs="Ebrima"/>
        </w:rPr>
        <w:t>ፀረ</w:t>
      </w:r>
      <w:r>
        <w:rPr>
          <w:rFonts w:ascii="Times New Roman" w:hAnsi="Times New Roman" w:eastAsia="Times New Roman" w:cs="Times New Roman"/>
        </w:rPr>
        <w:t>-</w:t>
      </w:r>
      <w:r>
        <w:rPr>
          <w:rFonts w:ascii="Ebrima" w:hAnsi="Ebrima" w:eastAsia="Ebrima" w:cs="Ebrima"/>
        </w:rPr>
        <w:t>ሜሶኖችን፣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የተቃዋሚ</w:t>
      </w:r>
      <w:r>
        <w:rPr>
          <w:rFonts w:ascii="Times New Roman" w:hAnsi="Times New Roman" w:eastAsia="Times New Roman" w:cs="Times New Roman"/>
        </w:rPr>
        <w:t xml:space="preserve"> </w:t>
      </w:r>
      <w:r>
        <w:rPr>
          <w:rFonts w:ascii="Ebrima" w:hAnsi="Ebrima" w:eastAsia="Ebrima" w:cs="Ebrima"/>
        </w:rPr>
        <w:t>ቡድኖችን</w:t>
      </w:r>
      <w:r>
        <w:rPr>
          <w:rFonts w:ascii="Times New Roman" w:hAnsi="Times New Roman" w:eastAsia="Times New Roman" w:cs="Times New Roman"/>
        </w:rPr>
        <w:t xml:space="preserve"> </w:t>
      </w:r>
      <w:r>
        <w:rPr>
          <w:rFonts w:ascii="Ebrima" w:hAnsi="Ebrima" w:eastAsia="Ebrima" w:cs="Ebrima"/>
        </w:rPr>
        <w:t>ያካተተ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በጃክሰናዊ</w:t>
      </w:r>
      <w:r>
        <w:rPr>
          <w:rFonts w:ascii="Times New Roman" w:hAnsi="Times New Roman" w:eastAsia="Times New Roman" w:cs="Times New Roman"/>
        </w:rPr>
        <w:t xml:space="preserve"> </w:t>
      </w:r>
      <w:r>
        <w:rPr>
          <w:rFonts w:ascii="Ebrima" w:hAnsi="Ebrima" w:eastAsia="Ebrima" w:cs="Ebrima"/>
        </w:rPr>
        <w:t>ፖሊሲዎች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ተቃውሞ፣</w:t>
      </w:r>
      <w:r>
        <w:rPr>
          <w:rFonts w:ascii="Times New Roman" w:hAnsi="Times New Roman" w:eastAsia="Times New Roman" w:cs="Times New Roman"/>
        </w:rPr>
        <w:t xml:space="preserve"> </w:t>
      </w:r>
      <w:r>
        <w:rPr>
          <w:rFonts w:ascii="Ebrima" w:hAnsi="Ebrima" w:eastAsia="Ebrima" w:cs="Ebrima"/>
        </w:rPr>
        <w:t>ጠንካራ</w:t>
      </w:r>
      <w:r>
        <w:rPr>
          <w:rFonts w:ascii="Times New Roman" w:hAnsi="Times New Roman" w:eastAsia="Times New Roman" w:cs="Times New Roman"/>
        </w:rPr>
        <w:t xml:space="preserve"> </w:t>
      </w:r>
      <w:r>
        <w:rPr>
          <w:rFonts w:ascii="Ebrima" w:hAnsi="Ebrima" w:eastAsia="Ebrima" w:cs="Ebrima"/>
        </w:rPr>
        <w:t>የፌዴራል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የኢንዱስትሪና</w:t>
      </w:r>
      <w:r>
        <w:rPr>
          <w:rFonts w:ascii="Times New Roman" w:hAnsi="Times New Roman" w:eastAsia="Times New Roman" w:cs="Times New Roman"/>
        </w:rPr>
        <w:t xml:space="preserve"> </w:t>
      </w:r>
      <w:r>
        <w:rPr>
          <w:rFonts w:ascii="Ebrima" w:hAnsi="Ebrima" w:eastAsia="Ebrima" w:cs="Ebrima"/>
        </w:rPr>
        <w:t>የኢኮኖሚ</w:t>
      </w:r>
      <w:r>
        <w:rPr>
          <w:rFonts w:ascii="Times New Roman" w:hAnsi="Times New Roman" w:eastAsia="Times New Roman" w:cs="Times New Roman"/>
        </w:rPr>
        <w:t xml:space="preserve"> </w:t>
      </w:r>
      <w:r>
        <w:rPr>
          <w:rFonts w:ascii="Ebrima" w:hAnsi="Ebrima" w:eastAsia="Ebrima" w:cs="Ebrima"/>
        </w:rPr>
        <w:t>እድገት</w:t>
      </w:r>
      <w:r>
        <w:rPr>
          <w:rFonts w:ascii="Times New Roman" w:hAnsi="Times New Roman" w:eastAsia="Times New Roman" w:cs="Times New Roman"/>
        </w:rPr>
        <w:t xml:space="preserve"> </w:t>
      </w:r>
      <w:r>
        <w:rPr>
          <w:rFonts w:ascii="Ebrima" w:hAnsi="Ebrima" w:eastAsia="Ebrima" w:cs="Ebrima"/>
        </w:rPr>
        <w:t>ማበረታታት</w:t>
      </w:r>
      <w:r>
        <w:rPr>
          <w:rFonts w:ascii="Times New Roman" w:hAnsi="Times New Roman" w:eastAsia="Times New Roman" w:cs="Times New Roman"/>
        </w:rPr>
        <w:t xml:space="preserve"> </w:t>
      </w:r>
      <w:r>
        <w:rPr>
          <w:rFonts w:ascii="Ebrima" w:hAnsi="Ebrima" w:eastAsia="Ebrima" w:cs="Ebrima"/>
        </w:rPr>
        <w:t>የመለያ</w:t>
      </w:r>
      <w:r>
        <w:rPr>
          <w:rFonts w:ascii="Times New Roman" w:hAnsi="Times New Roman" w:eastAsia="Times New Roman" w:cs="Times New Roman"/>
        </w:rPr>
        <w:t xml:space="preserve"> </w:t>
      </w:r>
      <w:r>
        <w:rPr>
          <w:rFonts w:ascii="Ebrima" w:hAnsi="Ebrima" w:eastAsia="Ebrima" w:cs="Ebrima"/>
        </w:rPr>
        <w:t>ባህሪያቸው</w:t>
      </w:r>
      <w:r>
        <w:rPr>
          <w:rFonts w:ascii="Times New Roman" w:hAnsi="Times New Roman" w:eastAsia="Times New Roman" w:cs="Times New Roman"/>
        </w:rPr>
        <w:t xml:space="preserve"> </w:t>
      </w:r>
      <w:r>
        <w:rPr>
          <w:rFonts w:ascii="Ebrima" w:hAnsi="Ebrima" w:eastAsia="Ebrima" w:cs="Ebrima"/>
        </w:rPr>
        <w:t>ነበሩ።</w:t>
      </w:r>
    </w:p>
    <w:p>
      <w:pPr>
        <w:pStyle w:val="ArticleBody"/>
        <w:jc w:val="left"/>
      </w:pPr>
      <w:r>
        <w:rPr>
          <w:rFonts w:ascii="Gadugi" w:hAnsi="Gadugi" w:eastAsia="Gadugi" w:cs="Gadugi"/>
        </w:rPr>
        <w:t>ᎪᎵᏍᏓᏴᏗ</w:t>
      </w:r>
      <w:r>
        <w:rPr>
          <w:rFonts w:ascii="Times New Roman" w:hAnsi="Times New Roman" w:eastAsia="Times New Roman" w:cs="Times New Roman"/>
        </w:rPr>
        <w:t xml:space="preserve"> </w:t>
      </w:r>
      <w:r>
        <w:rPr>
          <w:rFonts w:ascii="Gadugi" w:hAnsi="Gadugi" w:eastAsia="Gadugi" w:cs="Gadugi"/>
        </w:rPr>
        <w:t>ᎵᏍᎪᎯᏓ</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ᏍᏓᏱ</w:t>
      </w:r>
      <w:r>
        <w:rPr>
          <w:rFonts w:ascii="Times New Roman" w:hAnsi="Times New Roman" w:eastAsia="Times New Roman" w:cs="Times New Roman"/>
        </w:rPr>
        <w:t xml:space="preserve"> </w:t>
      </w:r>
      <w:r>
        <w:rPr>
          <w:rFonts w:ascii="Gadugi" w:hAnsi="Gadugi" w:eastAsia="Gadugi" w:cs="Gadugi"/>
        </w:rPr>
        <w:t>ᏕᎦᏚᎲ</w:t>
      </w:r>
      <w:r>
        <w:rPr>
          <w:rFonts w:ascii="Times New Roman" w:hAnsi="Times New Roman" w:eastAsia="Times New Roman" w:cs="Times New Roman"/>
        </w:rPr>
        <w:t xml:space="preserve"> 1850-</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ᏗᎧᎿᎭᎥ</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ᎤᎵᏍᏆᏂᎪᏗ</w:t>
      </w:r>
      <w:r>
        <w:rPr>
          <w:rFonts w:ascii="Times New Roman" w:hAnsi="Times New Roman" w:eastAsia="Times New Roman" w:cs="Times New Roman"/>
        </w:rPr>
        <w:t xml:space="preserve"> </w:t>
      </w:r>
      <w:r>
        <w:rPr>
          <w:rFonts w:ascii="Gadugi" w:hAnsi="Gadugi" w:eastAsia="Gadugi" w:cs="Gadugi"/>
        </w:rPr>
        <w:t>ᎤᏕᏅᎯ</w:t>
      </w:r>
      <w:r>
        <w:rPr>
          <w:rFonts w:ascii="Times New Roman" w:hAnsi="Times New Roman" w:eastAsia="Times New Roman" w:cs="Times New Roman"/>
        </w:rPr>
        <w:t xml:space="preserve"> </w:t>
      </w:r>
      <w:r>
        <w:rPr>
          <w:rFonts w:ascii="Gadugi" w:hAnsi="Gadugi" w:eastAsia="Gadugi" w:cs="Gadugi"/>
        </w:rPr>
        <w:t>ᏗᎦᏃᎮᏍᎬ</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ᎤᏅᏁᏍᎬ</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ᎤᏛᏛᎢ</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ᎤᎾᏍᏓᏩᏗ</w:t>
      </w:r>
      <w:r>
        <w:rPr>
          <w:rFonts w:ascii="Times New Roman" w:hAnsi="Times New Roman" w:eastAsia="Times New Roman" w:cs="Times New Roman"/>
        </w:rPr>
        <w:t xml:space="preserve"> </w:t>
      </w:r>
      <w:r>
        <w:rPr>
          <w:rFonts w:ascii="Gadugi" w:hAnsi="Gadugi" w:eastAsia="Gadugi" w:cs="Gadugi"/>
        </w:rPr>
        <w:t>ᎤᏕᏅᎯ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ᏚᏩᏛᎮ</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ᏫᎩᏍ</w:t>
      </w:r>
      <w:r>
        <w:rPr>
          <w:rFonts w:ascii="Times New Roman" w:hAnsi="Times New Roman" w:eastAsia="Times New Roman" w:cs="Times New Roman"/>
        </w:rPr>
        <w:t xml:space="preserve">, </w:t>
      </w:r>
      <w:r>
        <w:rPr>
          <w:rFonts w:ascii="Gadugi" w:hAnsi="Gadugi" w:eastAsia="Gadugi" w:cs="Gadugi"/>
        </w:rPr>
        <w:t>ᏗᎬᏩᏓᏡᎬ</w:t>
      </w:r>
      <w:r>
        <w:rPr>
          <w:rFonts w:ascii="Times New Roman" w:hAnsi="Times New Roman" w:eastAsia="Times New Roman" w:cs="Times New Roman"/>
        </w:rPr>
        <w:t xml:space="preserve"> </w:t>
      </w:r>
      <w:r>
        <w:rPr>
          <w:rFonts w:ascii="Gadugi" w:hAnsi="Gadugi" w:eastAsia="Gadugi" w:cs="Gadugi"/>
        </w:rPr>
        <w:t>ᎠᏂᏛᏁᎲ</w:t>
      </w:r>
      <w:r>
        <w:rPr>
          <w:rFonts w:ascii="Times New Roman" w:hAnsi="Times New Roman" w:eastAsia="Times New Roman" w:cs="Times New Roman"/>
        </w:rPr>
        <w:t xml:space="preserve"> </w:t>
      </w:r>
      <w:r>
        <w:rPr>
          <w:rFonts w:ascii="Gadugi" w:hAnsi="Gadugi" w:eastAsia="Gadugi" w:cs="Gadugi"/>
        </w:rPr>
        <w:t>ᏧᏂᎦᏎᏍᏗ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ᎤᏅᏁᏍᎬ</w:t>
      </w:r>
      <w:r>
        <w:rPr>
          <w:rFonts w:ascii="Times New Roman" w:hAnsi="Times New Roman" w:eastAsia="Times New Roman" w:cs="Times New Roman"/>
        </w:rPr>
        <w:t xml:space="preserve">, </w:t>
      </w:r>
      <w:r>
        <w:rPr>
          <w:rFonts w:ascii="Gadugi" w:hAnsi="Gadugi" w:eastAsia="Gadugi" w:cs="Gadugi"/>
        </w:rPr>
        <w:t>ᏍᎪᎵ</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ᎠᏂᎨᏒ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ᎤᎾᏓᏍᎦᎸᎩ</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ᎤᏅᏁᏍᎬ</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ᎤᎾᏓᏁᎸ</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ᎤᏂᏁᎬᎢ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ᎵᏍᎪᎯᏓ</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ᏍᏓᏱ</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ᎤᏪᏘᎭ</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John C. Fremont, 1856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ᎠᎵᏍᎪᎸᏙᏗ</w:t>
      </w:r>
      <w:r>
        <w:rPr>
          <w:rFonts w:ascii="Times New Roman" w:hAnsi="Times New Roman" w:eastAsia="Times New Roman" w:cs="Times New Roman"/>
        </w:rPr>
        <w:t xml:space="preserve"> </w:t>
      </w:r>
      <w:r>
        <w:rPr>
          <w:rFonts w:ascii="Gadugi" w:hAnsi="Gadugi" w:eastAsia="Gadugi" w:cs="Gadugi"/>
        </w:rPr>
        <w:t>ᏧᏓᏑᏯᏍᏗ</w:t>
      </w:r>
      <w:r>
        <w:rPr>
          <w:rFonts w:ascii="Times New Roman" w:hAnsi="Times New Roman" w:eastAsia="Times New Roman" w:cs="Times New Roman"/>
        </w:rPr>
        <w:t xml:space="preserve"> </w:t>
      </w:r>
      <w:r>
        <w:rPr>
          <w:rFonts w:ascii="Gadugi" w:hAnsi="Gadugi" w:eastAsia="Gadugi" w:cs="Gadugi"/>
        </w:rPr>
        <w:t>ᎤᏮᏔᏅᎩ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ᎤᏂᎪᎯᏳ</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Abraham Lincoln, 1860 </w:t>
      </w:r>
      <w:r>
        <w:rPr>
          <w:rFonts w:ascii="Gadugi" w:hAnsi="Gadugi" w:eastAsia="Gadugi" w:cs="Gadugi"/>
        </w:rPr>
        <w:t>ᎢᏳ</w:t>
      </w:r>
      <w:r>
        <w:rPr>
          <w:rFonts w:ascii="Times New Roman" w:hAnsi="Times New Roman" w:eastAsia="Times New Roman" w:cs="Times New Roman"/>
        </w:rPr>
        <w:t xml:space="preserve"> </w:t>
      </w:r>
      <w:r>
        <w:rPr>
          <w:rFonts w:ascii="Gadugi" w:hAnsi="Gadugi" w:eastAsia="Gadugi" w:cs="Gadugi"/>
        </w:rPr>
        <w:t>ᎠᏥᏑᏰᏒᎩ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ᎵᏍᎪᎯᏓ</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ᏍᏓᏱ</w:t>
      </w:r>
      <w:r>
        <w:rPr>
          <w:rFonts w:ascii="Times New Roman" w:hAnsi="Times New Roman" w:eastAsia="Times New Roman" w:cs="Times New Roman"/>
        </w:rPr>
        <w:t xml:space="preserve"> </w:t>
      </w:r>
      <w:r>
        <w:rPr>
          <w:rFonts w:ascii="Gadugi" w:hAnsi="Gadugi" w:eastAsia="Gadugi" w:cs="Gadugi"/>
        </w:rPr>
        <w:t>ᏧᏓᏓᎴᎩ</w:t>
      </w:r>
      <w:r>
        <w:rPr>
          <w:rFonts w:ascii="Times New Roman" w:hAnsi="Times New Roman" w:eastAsia="Times New Roman" w:cs="Times New Roman"/>
        </w:rPr>
        <w:t xml:space="preserve"> </w:t>
      </w:r>
      <w:r>
        <w:rPr>
          <w:rFonts w:ascii="Gadugi" w:hAnsi="Gadugi" w:eastAsia="Gadugi" w:cs="Gadugi"/>
        </w:rPr>
        <w:t>ᎤᏂᏰᎸᏒ</w:t>
      </w:r>
      <w:r>
        <w:rPr>
          <w:rFonts w:ascii="Times New Roman" w:hAnsi="Times New Roman" w:eastAsia="Times New Roman" w:cs="Times New Roman"/>
        </w:rPr>
        <w:t xml:space="preserve"> </w:t>
      </w:r>
      <w:r>
        <w:rPr>
          <w:rFonts w:ascii="Gadugi" w:hAnsi="Gadugi" w:eastAsia="Gadugi" w:cs="Gadugi"/>
        </w:rPr>
        <w:t>ᎬᏩᎵᎪᎯᏍᏗ</w:t>
      </w:r>
      <w:r>
        <w:rPr>
          <w:rFonts w:ascii="Times New Roman" w:hAnsi="Times New Roman" w:eastAsia="Times New Roman" w:cs="Times New Roman"/>
        </w:rPr>
        <w:t>-</w:t>
      </w:r>
      <w:r>
        <w:rPr>
          <w:rFonts w:ascii="Gadugi" w:hAnsi="Gadugi" w:eastAsia="Gadugi" w:cs="Gadugi"/>
        </w:rPr>
        <w:t>ᎵᏍᎪᎯᏓ</w:t>
      </w:r>
      <w:r>
        <w:rPr>
          <w:rFonts w:ascii="Times New Roman" w:hAnsi="Times New Roman" w:eastAsia="Times New Roman" w:cs="Times New Roman"/>
        </w:rPr>
        <w:t xml:space="preserve"> </w:t>
      </w:r>
      <w:r>
        <w:rPr>
          <w:rFonts w:ascii="Gadugi" w:hAnsi="Gadugi" w:eastAsia="Gadugi" w:cs="Gadugi"/>
        </w:rPr>
        <w:t>ᎤᏂᏰᎸᏒ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ᎠᏂᏛᏁᎲ</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ᎠᎹᏰᏟᎵ</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ᎠᏂᏛᏁᎲ</w:t>
      </w:r>
      <w:r>
        <w:rPr>
          <w:rFonts w:ascii="Times New Roman" w:hAnsi="Times New Roman" w:eastAsia="Times New Roman" w:cs="Times New Roman"/>
        </w:rPr>
        <w:t xml:space="preserve"> </w:t>
      </w:r>
      <w:r>
        <w:rPr>
          <w:rFonts w:ascii="Gadugi" w:hAnsi="Gadugi" w:eastAsia="Gadugi" w:cs="Gadugi"/>
        </w:rPr>
        <w:t>ᏗᎧᎿᎭᎥ</w:t>
      </w:r>
      <w:r>
        <w:rPr>
          <w:rFonts w:ascii="Times New Roman" w:hAnsi="Times New Roman" w:eastAsia="Times New Roman" w:cs="Times New Roman"/>
        </w:rPr>
        <w:t xml:space="preserve"> </w:t>
      </w:r>
      <w:r>
        <w:rPr>
          <w:rFonts w:ascii="Gadugi" w:hAnsi="Gadugi" w:eastAsia="Gadugi" w:cs="Gadugi"/>
        </w:rPr>
        <w:t>ᎠᎬᏱᎶᏗᏢ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By 1860, ti Partido Republicano pinili na ti umuna nga presidente na. Naibatay dayta iti maysa a koalisyon dagiti partido politikal a kumontra iti pannakaadipen. Idi 1863, ti Emancipation Proclamation “nagsao” a nangikkat iti pannakaadipen iti panagbiag na. Idi 1863, ti sungay a Republicano, a nairepresentar idiay iti Partido Republicano, “nagsao” a nangikkat iti pannakaadipen iti panagbiag na, bayat a ti Protestante a sungay nagsardeng a panagbalin a maysa a galaw ken nagbalin a Iglesia Adventista del Séptimo Día. Ti galaw dagiti Millerita legal ken opisial a nagpatingga idi Mayo ti 1863, ken iti dayta a tawen, ti sapata ni Moises, ti padto maipapan iti pannakaadipen, ket tinukiad. Ti addaan lapayagna, denggenna koma.</w:t>
      </w:r>
    </w:p>
    <w:p>
      <w:pPr>
        <w:pStyle w:val="ArticleBody"/>
        <w:jc w:val="left"/>
      </w:pPr>
      <w:r>
        <w:rPr>
          <w:rFonts w:ascii="Times New Roman" w:hAnsi="Times New Roman" w:eastAsia="Times New Roman" w:cs="Times New Roman"/>
        </w:rPr>
        <w:t>Na mangloloñña na tiempo, maba’någe yang un magaik guini tinakhalelu na tinige’ pot i “sengsong asuntun Moses” sigún gi inafa’maolek ni profeta Daniel.</w:t>
      </w:r>
    </w:p>
    <w:p>
      <w:pPr>
        <w:pStyle w:val="ArticleScripture"/>
        <w:jc w:val="left"/>
      </w:pP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ܟܠܗ</w:t>
      </w:r>
      <w:r>
        <w:rPr>
          <w:rFonts w:ascii="Times New Roman" w:hAnsi="Times New Roman" w:eastAsia="Times New Roman" w:cs="Times New Roman"/>
        </w:rPr>
        <w:t xml:space="preserve"> </w:t>
      </w:r>
      <w:r>
        <w:rPr>
          <w:rFonts w:ascii="Segoe UI Historic" w:hAnsi="Segoe UI Historic" w:eastAsia="Segoe UI Historic" w:cs="Segoe UI Historic"/>
        </w:rPr>
        <w:t>ܐܝܣܪܐܝܠ</w:t>
      </w:r>
      <w:r>
        <w:rPr>
          <w:rFonts w:ascii="Times New Roman" w:hAnsi="Times New Roman" w:eastAsia="Times New Roman" w:cs="Times New Roman"/>
        </w:rPr>
        <w:t xml:space="preserve"> </w:t>
      </w:r>
      <w:r>
        <w:rPr>
          <w:rFonts w:ascii="Segoe UI Historic" w:hAnsi="Segoe UI Historic" w:eastAsia="Segoe UI Historic" w:cs="Segoe UI Historic"/>
        </w:rPr>
        <w:t>ܥܒܪܘ</w:t>
      </w:r>
      <w:r>
        <w:rPr>
          <w:rFonts w:ascii="Times New Roman" w:hAnsi="Times New Roman" w:eastAsia="Times New Roman" w:cs="Times New Roman"/>
        </w:rPr>
        <w:t xml:space="preserve"> </w:t>
      </w:r>
      <w:r>
        <w:rPr>
          <w:rFonts w:ascii="Segoe UI Historic" w:hAnsi="Segoe UI Historic" w:eastAsia="Segoe UI Historic" w:cs="Segoe UI Historic"/>
        </w:rPr>
        <w:t>ܢܡܘܣܟ</w:t>
      </w:r>
      <w:r>
        <w:rPr>
          <w:rFonts w:ascii="Times New Roman" w:hAnsi="Times New Roman" w:eastAsia="Times New Roman" w:cs="Times New Roman"/>
        </w:rPr>
        <w:t xml:space="preserve">، </w:t>
      </w:r>
      <w:r>
        <w:rPr>
          <w:rFonts w:ascii="Segoe UI Historic" w:hAnsi="Segoe UI Historic" w:eastAsia="Segoe UI Historic" w:cs="Segoe UI Historic"/>
        </w:rPr>
        <w:t>ܘܐܦ</w:t>
      </w:r>
      <w:r>
        <w:rPr>
          <w:rFonts w:ascii="Times New Roman" w:hAnsi="Times New Roman" w:eastAsia="Times New Roman" w:cs="Times New Roman"/>
        </w:rPr>
        <w:t xml:space="preserve"> </w:t>
      </w:r>
      <w:r>
        <w:rPr>
          <w:rFonts w:ascii="Segoe UI Historic" w:hAnsi="Segoe UI Historic" w:eastAsia="Segoe UI Historic" w:cs="Segoe UI Historic"/>
        </w:rPr>
        <w:t>ܒܡܦܪܩܬܐ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ܢܫܡܥܘ</w:t>
      </w:r>
      <w:r>
        <w:rPr>
          <w:rFonts w:ascii="Times New Roman" w:hAnsi="Times New Roman" w:eastAsia="Times New Roman" w:cs="Times New Roman"/>
        </w:rPr>
        <w:t xml:space="preserve"> </w:t>
      </w:r>
      <w:r>
        <w:rPr>
          <w:rFonts w:ascii="Segoe UI Historic" w:hAnsi="Segoe UI Historic" w:eastAsia="Segoe UI Historic" w:cs="Segoe UI Historic"/>
        </w:rPr>
        <w:t>ܩܠܟ</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ܐܫܬܦܟܬ</w:t>
      </w:r>
      <w:r>
        <w:rPr>
          <w:rFonts w:ascii="Times New Roman" w:hAnsi="Times New Roman" w:eastAsia="Times New Roman" w:cs="Times New Roman"/>
        </w:rPr>
        <w:t xml:space="preserve"> </w:t>
      </w:r>
      <w:r>
        <w:rPr>
          <w:rFonts w:ascii="Segoe UI Historic" w:hAnsi="Segoe UI Historic" w:eastAsia="Segoe UI Historic" w:cs="Segoe UI Historic"/>
        </w:rPr>
        <w:t>ܥܠܝܢ</w:t>
      </w:r>
      <w:r>
        <w:rPr>
          <w:rFonts w:ascii="Times New Roman" w:hAnsi="Times New Roman" w:eastAsia="Times New Roman" w:cs="Times New Roman"/>
        </w:rPr>
        <w:t xml:space="preserve"> </w:t>
      </w:r>
      <w:r>
        <w:rPr>
          <w:rFonts w:ascii="Segoe UI Historic" w:hAnsi="Segoe UI Historic" w:eastAsia="Segoe UI Historic" w:cs="Segoe UI Historic"/>
        </w:rPr>
        <w:t>ܠܘܛܬܐ</w:t>
      </w:r>
      <w:r>
        <w:rPr>
          <w:rFonts w:ascii="Times New Roman" w:hAnsi="Times New Roman" w:eastAsia="Times New Roman" w:cs="Times New Roman"/>
        </w:rPr>
        <w:t xml:space="preserve">، </w:t>
      </w:r>
      <w:r>
        <w:rPr>
          <w:rFonts w:ascii="Segoe UI Historic" w:hAnsi="Segoe UI Historic" w:eastAsia="Segoe UI Historic" w:cs="Segoe UI Historic"/>
        </w:rPr>
        <w:t>ܘܡܘܡܬܐ</w:t>
      </w:r>
      <w:r>
        <w:rPr>
          <w:rFonts w:ascii="Times New Roman" w:hAnsi="Times New Roman" w:eastAsia="Times New Roman" w:cs="Times New Roman"/>
        </w:rPr>
        <w:t xml:space="preserve"> </w:t>
      </w:r>
      <w:r>
        <w:rPr>
          <w:rFonts w:ascii="Segoe UI Historic" w:hAnsi="Segoe UI Historic" w:eastAsia="Segoe UI Historic" w:cs="Segoe UI Historic"/>
        </w:rPr>
        <w:t>ܕܟܬܝܒܐ</w:t>
      </w:r>
      <w:r>
        <w:rPr>
          <w:rFonts w:ascii="Times New Roman" w:hAnsi="Times New Roman" w:eastAsia="Times New Roman" w:cs="Times New Roman"/>
        </w:rPr>
        <w:t xml:space="preserve"> </w:t>
      </w:r>
      <w:r>
        <w:rPr>
          <w:rFonts w:ascii="Segoe UI Historic" w:hAnsi="Segoe UI Historic" w:eastAsia="Segoe UI Historic" w:cs="Segoe UI Historic"/>
        </w:rPr>
        <w:t>ܒܢܡܘܣܗ</w:t>
      </w:r>
      <w:r>
        <w:rPr>
          <w:rFonts w:ascii="Times New Roman" w:hAnsi="Times New Roman" w:eastAsia="Times New Roman" w:cs="Times New Roman"/>
        </w:rPr>
        <w:t xml:space="preserve"> </w:t>
      </w:r>
      <w:r>
        <w:rPr>
          <w:rFonts w:ascii="Segoe UI Historic" w:hAnsi="Segoe UI Historic" w:eastAsia="Segoe UI Historic" w:cs="Segoe UI Historic"/>
        </w:rPr>
        <w:t>ܕܡܘܫܐ</w:t>
      </w:r>
      <w:r>
        <w:rPr>
          <w:rFonts w:ascii="Times New Roman" w:hAnsi="Times New Roman" w:eastAsia="Times New Roman" w:cs="Times New Roman"/>
        </w:rPr>
        <w:t xml:space="preserve"> </w:t>
      </w:r>
      <w:r>
        <w:rPr>
          <w:rFonts w:ascii="Segoe UI Historic" w:hAnsi="Segoe UI Historic" w:eastAsia="Segoe UI Historic" w:cs="Segoe UI Historic"/>
        </w:rPr>
        <w:t>ܥܒܕܗ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ܕܚܛܝܢ</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9:11</w:t>
      </w:r>
    </w:p>
    <w:p>
      <w:pPr>
        <w:pStyle w:val="ArticleBody"/>
        <w:jc w:val="left"/>
      </w:pPr>
      <w:r>
        <w:rPr>
          <w:rFonts w:ascii="Gadugi" w:hAnsi="Gadugi" w:eastAsia="Gadugi" w:cs="Gadugi"/>
        </w:rPr>
        <w:t>ᎤᏫᎵᏯᎻ</w:t>
      </w:r>
      <w:r>
        <w:rPr>
          <w:rFonts w:ascii="Times New Roman" w:hAnsi="Times New Roman" w:eastAsia="Times New Roman" w:cs="Times New Roman"/>
        </w:rPr>
        <w:t xml:space="preserve"> </w:t>
      </w:r>
      <w:r>
        <w:rPr>
          <w:rFonts w:ascii="Gadugi" w:hAnsi="Gadugi" w:eastAsia="Gadugi" w:cs="Gadugi"/>
        </w:rPr>
        <w:t>ᎻᎵᎵᎵᎵᏒ</w:t>
      </w:r>
      <w:r>
        <w:rPr>
          <w:rFonts w:ascii="Times New Roman" w:hAnsi="Times New Roman" w:eastAsia="Times New Roman" w:cs="Times New Roman"/>
        </w:rPr>
        <w:t xml:space="preserve">, </w:t>
      </w:r>
      <w:r>
        <w:rPr>
          <w:rFonts w:ascii="Gadugi" w:hAnsi="Gadugi" w:eastAsia="Gadugi" w:cs="Gadugi"/>
        </w:rPr>
        <w:t>ᎦᏈᎵᎡᎵ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ᎤᏂᏘᏂᎬᎬ</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ᎤᏕᏲᏅᎯ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ᎤᏘᏃᎸᏔᏅ</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ᏗᏕᏘᏴᏛ</w:t>
      </w:r>
      <w:r>
        <w:rPr>
          <w:rFonts w:ascii="Times New Roman" w:hAnsi="Times New Roman" w:eastAsia="Times New Roman" w:cs="Times New Roman"/>
        </w:rPr>
        <w:t xml:space="preserve">” </w:t>
      </w:r>
      <w:r>
        <w:rPr>
          <w:rFonts w:ascii="Gadugi" w:hAnsi="Gadugi" w:eastAsia="Gadugi" w:cs="Gadugi"/>
        </w:rPr>
        <w:t>ᎵᏫᏗᎦ</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ᎻᎵᎵᎵᎵᏒ</w:t>
      </w:r>
      <w:r>
        <w:rPr>
          <w:rFonts w:ascii="Times New Roman" w:hAnsi="Times New Roman" w:eastAsia="Times New Roman" w:cs="Times New Roman"/>
        </w:rPr>
        <w:t xml:space="preserve"> </w:t>
      </w:r>
      <w:r>
        <w:rPr>
          <w:rFonts w:ascii="Gadugi" w:hAnsi="Gadugi" w:eastAsia="Gadugi" w:cs="Gadugi"/>
        </w:rPr>
        <w:t>ᎤᏬᎯᏳᏔᏅ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ᎠᏥᎪᎵᏰᏗᏍᎬ</w:t>
      </w:r>
      <w:r>
        <w:rPr>
          <w:rFonts w:ascii="Times New Roman" w:hAnsi="Times New Roman" w:eastAsia="Times New Roman" w:cs="Times New Roman"/>
        </w:rPr>
        <w:t xml:space="preserve"> </w:t>
      </w:r>
      <w:r>
        <w:rPr>
          <w:rFonts w:ascii="Gadugi" w:hAnsi="Gadugi" w:eastAsia="Gadugi" w:cs="Gadugi"/>
        </w:rPr>
        <w:t>ᏧᏓᎴᎰᎯ</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ᏫᎦᎵᏍᏔᏅ</w:t>
      </w:r>
      <w:r>
        <w:rPr>
          <w:rFonts w:ascii="Times New Roman" w:hAnsi="Times New Roman" w:eastAsia="Times New Roman" w:cs="Times New Roman"/>
        </w:rPr>
        <w:t xml:space="preserve"> </w:t>
      </w:r>
      <w:r>
        <w:rPr>
          <w:rFonts w:ascii="Gadugi" w:hAnsi="Gadugi" w:eastAsia="Gadugi" w:cs="Gadugi"/>
        </w:rPr>
        <w:t>ᎡᏂᏏᏏᏍ</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ᎤᏓᎴᎲᏍᎬ</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ᎵᏫᏗᎦ</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ᎢᎬᏱ</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ᏚᎵᏍᏓᏁᎸ</w:t>
      </w:r>
      <w:r>
        <w:rPr>
          <w:rFonts w:ascii="Times New Roman" w:hAnsi="Times New Roman" w:eastAsia="Times New Roman" w:cs="Times New Roman"/>
        </w:rPr>
        <w:t xml:space="preserve"> </w:t>
      </w:r>
      <w:r>
        <w:rPr>
          <w:rFonts w:ascii="Gadugi" w:hAnsi="Gadugi" w:eastAsia="Gadugi" w:cs="Gadugi"/>
        </w:rPr>
        <w:t>ᏔᎵᎢᏧ</w:t>
      </w:r>
      <w:r>
        <w:rPr>
          <w:rFonts w:ascii="Times New Roman" w:hAnsi="Times New Roman" w:eastAsia="Times New Roman" w:cs="Times New Roman"/>
        </w:rPr>
        <w:t xml:space="preserve"> </w:t>
      </w:r>
      <w:r>
        <w:rPr>
          <w:rFonts w:ascii="Gadugi" w:hAnsi="Gadugi" w:eastAsia="Gadugi" w:cs="Gadugi"/>
        </w:rPr>
        <w:t>ᏧᏈ</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ᏦᎢᏧ</w:t>
      </w:r>
      <w:r>
        <w:rPr>
          <w:rFonts w:ascii="Times New Roman" w:hAnsi="Times New Roman" w:eastAsia="Times New Roman" w:cs="Times New Roman"/>
        </w:rPr>
        <w:t xml:space="preserve"> </w:t>
      </w:r>
      <w:r>
        <w:rPr>
          <w:rFonts w:ascii="Gadugi" w:hAnsi="Gadugi" w:eastAsia="Gadugi" w:cs="Gadugi"/>
        </w:rPr>
        <w:t>ᏗᎾᏕᏘᏴᏛ</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ᎤᎪᎵᏰᏗ</w:t>
      </w:r>
      <w:r>
        <w:rPr>
          <w:rFonts w:ascii="Times New Roman" w:hAnsi="Times New Roman" w:eastAsia="Times New Roman" w:cs="Times New Roman"/>
        </w:rPr>
        <w:t xml:space="preserve"> </w:t>
      </w:r>
      <w:r>
        <w:rPr>
          <w:rFonts w:ascii="Gadugi" w:hAnsi="Gadugi" w:eastAsia="Gadugi" w:cs="Gadugi"/>
        </w:rPr>
        <w:t>ᎦᏔᎬ</w:t>
      </w:r>
      <w:r>
        <w:rPr>
          <w:rFonts w:ascii="Times New Roman" w:hAnsi="Times New Roman" w:eastAsia="Times New Roman" w:cs="Times New Roman"/>
        </w:rPr>
        <w:t xml:space="preserve"> 8:14. </w:t>
      </w:r>
      <w:r>
        <w:rPr>
          <w:rFonts w:ascii="Gadugi" w:hAnsi="Gadugi" w:eastAsia="Gadugi" w:cs="Gadugi"/>
        </w:rPr>
        <w:t>ᎠᏗᏒ</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ᎦᎷᏕᏂ</w:t>
      </w:r>
      <w:r>
        <w:rPr>
          <w:rFonts w:ascii="Times New Roman" w:hAnsi="Times New Roman" w:eastAsia="Times New Roman" w:cs="Times New Roman"/>
        </w:rPr>
        <w:t xml:space="preserve"> </w:t>
      </w:r>
      <w:r>
        <w:rPr>
          <w:rFonts w:ascii="Gadugi" w:hAnsi="Gadugi" w:eastAsia="Gadugi" w:cs="Gadugi"/>
        </w:rPr>
        <w:t>ᎤᏃᎮᏛ</w:t>
      </w:r>
      <w:r>
        <w:rPr>
          <w:rFonts w:ascii="Times New Roman" w:hAnsi="Times New Roman" w:eastAsia="Times New Roman" w:cs="Times New Roman"/>
        </w:rPr>
        <w:t xml:space="preserve"> </w:t>
      </w:r>
      <w:r>
        <w:rPr>
          <w:rFonts w:ascii="Gadugi" w:hAnsi="Gadugi" w:eastAsia="Gadugi" w:cs="Gadugi"/>
        </w:rPr>
        <w:t>ᎠᏓᏟᎶᏍᏗ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ᎠᏓᏅᏖᏍᎬ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Concordance Cruden nã nekkit referância ba palávra hebraiku ka gregu nebé depois traduzidu ba lian Ingrés iha Bíblia King James. Miller konsidera “kontekstu” hosi pásajen nebé nia estuda atu orienta nia komprensaun kona-ba liafuan ka pásajen Escritura nian. Bainhira to’o ba nia komprensaun kona-ba “tempu hitu”, simples tebes atu haree katak kontekstu ba “tempu hitu” iha kapítulu rua-nulu resin neen hosi Levítiku mak kapítulu rua-nulu resin lima.</w:t>
      </w:r>
    </w:p>
    <w:p>
      <w:pPr>
        <w:pStyle w:val="ArticleBody"/>
        <w:jc w:val="left"/>
      </w:pPr>
      <w:r>
        <w:rPr>
          <w:rFonts w:ascii="Times New Roman" w:hAnsi="Times New Roman" w:eastAsia="Times New Roman" w:cs="Times New Roman"/>
        </w:rPr>
        <w:t>Bapta isñi phisqha tunka phisqan t’aqanx uraqin samarañapa, Jubileo marana ukhamarak esclavitud tuqit kamachinaka uñacht’ayi. Bapta isñi phisqha tunka phisqan t’aqan kamachinakax “Diosan luqtir Moisesan kamachip” taypinkiwa; ukar ist’asax bendición utji, jan ukham lurañax “maldición” apani. Bapta isñi phisqha tunka suxtanxa, “paqallqu kuti” sat maldicionax pä waranqa phisqha pataka pä tunk maranakamp chikachasi, ukatx uraqin samarañapataki kamachinaka ukhamarak esclavitud tuqit principiosan qhana contexto-pan uñt’ayatawa. Bapta isñi phisqha tunka suxtanxa, uka castigojj “nayan arust’äwijan ch’axwäwipa” sasaw sutichasi.</w:t>
      </w:r>
    </w:p>
    <w:p>
      <w:pPr>
        <w:pStyle w:val="ArticleScripture"/>
        <w:jc w:val="left"/>
      </w:pPr>
      <w:r>
        <w:rPr>
          <w:rFonts w:ascii="Times New Roman" w:hAnsi="Times New Roman" w:eastAsia="Times New Roman" w:cs="Times New Roman"/>
        </w:rPr>
        <w:t>Axoŋ xel ngeen, te dinaa leen mbugal ba juróom-ñaari yoon ndax seeni bàkkaar. Dinaa indi ci yéen sabar buy feyoo ak yàqanteg sama kóllëre; te bu ngeen dajaloo ci seen dëkk yi, dinaa yónnee ci seen biir mbas mi; te dees na leen jébbal ci loxoy noon yi. Leviticus 26:24, 25.</w:t>
      </w:r>
    </w:p>
    <w:p>
      <w:pPr>
        <w:pStyle w:val="ArticleBody"/>
        <w:jc w:val="left"/>
      </w:pPr>
      <w:r>
        <w:rPr>
          <w:rFonts w:ascii="Times New Roman" w:hAnsi="Times New Roman" w:eastAsia="Times New Roman" w:cs="Times New Roman"/>
        </w:rPr>
        <w:t>Ayatna, “ahd” tā jis de bāre vich Khudā nū̃ “jhagaṛā” hai, ohi ahd hovēgā jo is tō̃ pahilā̃ pachchīvē̃ bāb vich zikr kītā giā hai. Satt vāriā̃ dī sazā nū̃ Khudā de “ahd de jhagaṛe” ākhiyā giā hai, ate is nāl juṛī “lānat” ih hai ki Isrāʾīl nū̃ “uhnā̃ de dushmanā̃ de hāth vich sauṃp dittā jāvēgā,” ate dushmanā̃ de mulk vich pahuñch ke, (jiwẽ Daniyyel sī,) Isrāʾīl āpṇe dushmanā̃ de ghulām baṇ jāvēgā.</w:t>
      </w:r>
    </w:p>
    <w:p>
      <w:pPr>
        <w:pStyle w:val="ArticleBody"/>
        <w:jc w:val="left"/>
      </w:pPr>
      <w:r>
        <w:rPr>
          <w:rFonts w:ascii="Times New Roman" w:hAnsi="Times New Roman" w:eastAsia="Times New Roman" w:cs="Times New Roman"/>
        </w:rPr>
        <w:t>Egin yi Musa kyerɛw Lewifoɔ Nwoma aduonu nsia no, na wɔagye tete Israel afi Misraim nkoasom mu foforo, na nkoasom nnyinasosɛm a wɔda no adi wɔ aduonu num no bɛma aba nhyira anaa nnome. Tete Israel anhyɛ Yobele no mmara no da, na awiei koraa no, wɔhweteɛ atifi ahenni ne anafo ahenni no mu maa “mprɛnson,” de wiee nea Daniel frɛ no “Musa nnome” no.</w:t>
      </w:r>
    </w:p>
    <w:p>
      <w:pPr>
        <w:pStyle w:val="ArticleBody"/>
        <w:jc w:val="left"/>
      </w:pPr>
      <w:r>
        <w:rPr>
          <w:rFonts w:ascii="Times New Roman" w:hAnsi="Times New Roman" w:eastAsia="Times New Roman" w:cs="Times New Roman"/>
        </w:rPr>
        <w:t>Ang kaugnayang tipan sa pagitan ng Diyos at ng Israel na nagsimula sa kanilang pagkaalipin sa Egipto ay nagtapos sa kanilang pagkaalipin sa Asiria at Babilonia. Ang “pitong panahon” laban sa hilagang kaharian ay nagtapos noong 1798, at ang “pitong panahon” laban sa timog na kaharian ay nagtapos noong 1844. Ang panimulang punto ng dalawang yugto ng pitong panahon ay itinatakda sa Isaias kabanata pito sa pamamagitan ng isang propesiya ng animnapu’t limang taon na ipinahayag ni Isaias kay haring Ahaz ng Juda noong 742 BC.</w:t>
      </w:r>
    </w:p>
    <w:p>
      <w:pPr>
        <w:pStyle w:val="ArticleScripture"/>
        <w:jc w:val="left"/>
      </w:pPr>
      <w:r>
        <w:rPr>
          <w:rFonts w:ascii="Times New Roman" w:hAnsi="Times New Roman" w:eastAsia="Times New Roman" w:cs="Times New Roman"/>
        </w:rPr>
        <w:t>بەڕاستی سەری سووریا دیمەشقە، و سەری دیمەشق ڕەزینە؛ و لە ناو شەستو پێنج ساڵدا ئەفرایم دەشکێندرێت، تاکوو گەلێک نەبێت. و سەری ئەفرایم سامیریایە، و سەری سامیریا کوڕی ڕەمالیاست. ئەگەر باوەڕ نەهێنن، بەڕاستی جێگیر نابن. ئیشایا ٧:٨، ٩</w:t>
      </w:r>
    </w:p>
    <w:p>
      <w:pPr>
        <w:pStyle w:val="ArticleBody"/>
        <w:jc w:val="left"/>
      </w:pPr>
      <w:r>
        <w:rPr>
          <w:rFonts w:ascii="Nirmala UI" w:hAnsi="Nirmala UI" w:eastAsia="Nirmala UI" w:cs="Nirmala UI"/>
        </w:rPr>
        <w:t>ଆଇଜାୟା</w:t>
      </w:r>
      <w:r>
        <w:rPr>
          <w:rFonts w:ascii="Times New Roman" w:hAnsi="Times New Roman" w:eastAsia="Times New Roman" w:cs="Times New Roman"/>
        </w:rPr>
        <w:t xml:space="preserve"> </w:t>
      </w:r>
      <w:r>
        <w:rPr>
          <w:rFonts w:ascii="Nirmala UI" w:hAnsi="Nirmala UI" w:eastAsia="Nirmala UI" w:cs="Nirmala UI"/>
        </w:rPr>
        <w:t>ଚିହ୍ନଟ</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ଭବିଷ୍ୟଦ୍ବାଣୀଟି</w:t>
      </w:r>
      <w:r>
        <w:rPr>
          <w:rFonts w:ascii="Times New Roman" w:hAnsi="Times New Roman" w:eastAsia="Times New Roman" w:cs="Times New Roman"/>
        </w:rPr>
        <w:t xml:space="preserve"> 742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ପାଞ୍ଚଷଷ୍ଠି</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ଭିତରେ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ଭଞ୍ଜିତ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723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ଅଶ୍ଶୂରର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ଦାସତ୍ୱକୁ</w:t>
      </w:r>
      <w:r>
        <w:rPr>
          <w:rFonts w:ascii="Times New Roman" w:hAnsi="Times New Roman" w:eastAsia="Times New Roman" w:cs="Times New Roman"/>
        </w:rPr>
        <w:t xml:space="preserve"> </w:t>
      </w:r>
      <w:r>
        <w:rPr>
          <w:rFonts w:ascii="Nirmala UI" w:hAnsi="Nirmala UI" w:eastAsia="Nirmala UI" w:cs="Nirmala UI"/>
        </w:rPr>
        <w:t>ନିଆଯାଇଥିଲା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ଛୟାଳିଶ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677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ବାବିଲୋନର</w:t>
      </w:r>
      <w:r>
        <w:rPr>
          <w:rFonts w:ascii="Times New Roman" w:hAnsi="Times New Roman" w:eastAsia="Times New Roman" w:cs="Times New Roman"/>
        </w:rPr>
        <w:t xml:space="preserve"> </w:t>
      </w:r>
      <w:r>
        <w:rPr>
          <w:rFonts w:ascii="Nirmala UI" w:hAnsi="Nirmala UI" w:eastAsia="Nirmala UI" w:cs="Nirmala UI"/>
        </w:rPr>
        <w:t>ରାଜା</w:t>
      </w:r>
      <w:r>
        <w:rPr>
          <w:rFonts w:ascii="Times New Roman" w:hAnsi="Times New Roman" w:eastAsia="Times New Roman" w:cs="Times New Roman"/>
        </w:rPr>
        <w:t xml:space="preserve"> </w:t>
      </w:r>
      <w:r>
        <w:rPr>
          <w:rFonts w:ascii="Nirmala UI" w:hAnsi="Nirmala UI" w:eastAsia="Nirmala UI" w:cs="Nirmala UI"/>
        </w:rPr>
        <w:t>ଦକ୍ଷିଣ</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ଯିହୁଦାକୁ</w:t>
      </w:r>
      <w:r>
        <w:rPr>
          <w:rFonts w:ascii="Times New Roman" w:hAnsi="Times New Roman" w:eastAsia="Times New Roman" w:cs="Times New Roman"/>
        </w:rPr>
        <w:t xml:space="preserve"> </w:t>
      </w:r>
      <w:r>
        <w:rPr>
          <w:rFonts w:ascii="Nirmala UI" w:hAnsi="Nirmala UI" w:eastAsia="Nirmala UI" w:cs="Nirmala UI"/>
        </w:rPr>
        <w:t>ଦାସତ୍ୱକୁ</w:t>
      </w:r>
      <w:r>
        <w:rPr>
          <w:rFonts w:ascii="Times New Roman" w:hAnsi="Times New Roman" w:eastAsia="Times New Roman" w:cs="Times New Roman"/>
        </w:rPr>
        <w:t xml:space="preserve"> </w:t>
      </w:r>
      <w:r>
        <w:rPr>
          <w:rFonts w:ascii="Nirmala UI" w:hAnsi="Nirmala UI" w:eastAsia="Nirmala UI" w:cs="Nirmala UI"/>
        </w:rPr>
        <w:t>ନିଆଯାଇଥିଲେ।</w:t>
      </w:r>
      <w:r>
        <w:rPr>
          <w:rFonts w:ascii="Times New Roman" w:hAnsi="Times New Roman" w:eastAsia="Times New Roman" w:cs="Times New Roman"/>
        </w:rPr>
        <w:t xml:space="preserve"> </w:t>
      </w:r>
      <w:r>
        <w:rPr>
          <w:rFonts w:ascii="Nirmala UI" w:hAnsi="Nirmala UI" w:eastAsia="Nirmala UI" w:cs="Nirmala UI"/>
        </w:rPr>
        <w:t>ପାଞ୍ଚଷଷ୍ଠି</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ଛଅଟି</w:t>
      </w:r>
      <w:r>
        <w:rPr>
          <w:rFonts w:ascii="Times New Roman" w:hAnsi="Times New Roman" w:eastAsia="Times New Roman" w:cs="Times New Roman"/>
        </w:rPr>
        <w:t xml:space="preserve"> </w:t>
      </w:r>
      <w:r>
        <w:rPr>
          <w:rFonts w:ascii="Nirmala UI" w:hAnsi="Nirmala UI" w:eastAsia="Nirmala UI" w:cs="Nirmala UI"/>
        </w:rPr>
        <w:t>ଐତିହାସିକ</w:t>
      </w:r>
      <w:r>
        <w:rPr>
          <w:rFonts w:ascii="Times New Roman" w:hAnsi="Times New Roman" w:eastAsia="Times New Roman" w:cs="Times New Roman"/>
        </w:rPr>
        <w:t xml:space="preserve"> </w:t>
      </w:r>
      <w:r>
        <w:rPr>
          <w:rFonts w:ascii="Nirmala UI" w:hAnsi="Nirmala UI" w:eastAsia="Nirmala UI" w:cs="Nirmala UI"/>
        </w:rPr>
        <w:t>ଚିହ୍ନସ୍ଥଳ</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ପ୍ରଥମଟି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742 BC,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ପୂର୍ବବାଣୀ</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723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ଉତ୍ତର</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ଅଶ୍ଶୂରୀୟମାନଙ୍କ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ଦାସତ୍ୱକୁ</w:t>
      </w:r>
      <w:r>
        <w:rPr>
          <w:rFonts w:ascii="Times New Roman" w:hAnsi="Times New Roman" w:eastAsia="Times New Roman" w:cs="Times New Roman"/>
        </w:rPr>
        <w:t xml:space="preserve"> </w:t>
      </w:r>
      <w:r>
        <w:rPr>
          <w:rFonts w:ascii="Nirmala UI" w:hAnsi="Nirmala UI" w:eastAsia="Nirmala UI" w:cs="Nirmala UI"/>
        </w:rPr>
        <w:t>ନିଆଯାଇଥିଲା।</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ଛୟାଳିଶ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677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ଦକ୍ଷିଣ</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ବାବିଲୋନୀୟମାନଙ୍କ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ଦାସତ୍ୱକୁ</w:t>
      </w:r>
      <w:r>
        <w:rPr>
          <w:rFonts w:ascii="Times New Roman" w:hAnsi="Times New Roman" w:eastAsia="Times New Roman" w:cs="Times New Roman"/>
        </w:rPr>
        <w:t xml:space="preserve"> </w:t>
      </w:r>
      <w:r>
        <w:rPr>
          <w:rFonts w:ascii="Nirmala UI" w:hAnsi="Nirmala UI" w:eastAsia="Nirmala UI" w:cs="Nirmala UI"/>
        </w:rPr>
        <w:t>ନିଆଯାଇଥିଲା।</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723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ପାଞ୍ଚଶେ</w:t>
      </w:r>
      <w:r>
        <w:rPr>
          <w:rFonts w:ascii="Times New Roman" w:hAnsi="Times New Roman" w:eastAsia="Times New Roman" w:cs="Times New Roman"/>
        </w:rPr>
        <w:t xml:space="preserve"> </w:t>
      </w:r>
      <w:r>
        <w:rPr>
          <w:rFonts w:ascii="Nirmala UI" w:hAnsi="Nirmala UI" w:eastAsia="Nirmala UI" w:cs="Nirmala UI"/>
        </w:rPr>
        <w:t>କୁଡ଼ି</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1798</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ତା</w:t>
      </w:r>
      <w:r>
        <w:rPr>
          <w:rFonts w:ascii="Times New Roman" w:hAnsi="Times New Roman" w:eastAsia="Times New Roman" w:cs="Times New Roman"/>
        </w:rPr>
        <w:t>’</w:t>
      </w:r>
      <w:r>
        <w:rPr>
          <w:rFonts w:ascii="Nirmala UI" w:hAnsi="Nirmala UI" w:eastAsia="Nirmala UI" w:cs="Nirmala UI"/>
        </w:rPr>
        <w:t>ପରେ</w:t>
      </w:r>
      <w:r>
        <w:rPr>
          <w:rFonts w:ascii="Times New Roman" w:hAnsi="Times New Roman" w:eastAsia="Times New Roman" w:cs="Times New Roman"/>
        </w:rPr>
        <w:t xml:space="preserve"> 1844</w:t>
      </w:r>
      <w:r>
        <w:rPr>
          <w:rFonts w:ascii="Nirmala UI" w:hAnsi="Nirmala UI" w:eastAsia="Nirmala UI" w:cs="Nirmala UI"/>
        </w:rPr>
        <w:t>ରେ</w:t>
      </w:r>
      <w:r>
        <w:rPr>
          <w:rFonts w:ascii="Times New Roman" w:hAnsi="Times New Roman" w:eastAsia="Times New Roman" w:cs="Times New Roman"/>
        </w:rPr>
        <w:t>, 677 BC</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ପାଞ୍ଚଶେ</w:t>
      </w:r>
      <w:r>
        <w:rPr>
          <w:rFonts w:ascii="Times New Roman" w:hAnsi="Times New Roman" w:eastAsia="Times New Roman" w:cs="Times New Roman"/>
        </w:rPr>
        <w:t xml:space="preserve"> </w:t>
      </w:r>
      <w:r>
        <w:rPr>
          <w:rFonts w:ascii="Nirmala UI" w:hAnsi="Nirmala UI" w:eastAsia="Nirmala UI" w:cs="Nirmala UI"/>
        </w:rPr>
        <w:t>କୁଡ଼ି</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1844</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ପୂର୍ବବାଣୀ</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ବୃଦ୍ଧି</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1863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ପହଞ୍ଚିଲା</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ଆଲ୍ଫା</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ଓମେଗା</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ଗଠନର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ନିର୍ଦ୍ଦେଶ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ଶେଷକୁ</w:t>
      </w:r>
      <w:r>
        <w:rPr>
          <w:rFonts w:ascii="Times New Roman" w:hAnsi="Times New Roman" w:eastAsia="Times New Roman" w:cs="Times New Roman"/>
        </w:rPr>
        <w:t xml:space="preserve"> </w:t>
      </w:r>
      <w:r>
        <w:rPr>
          <w:rFonts w:ascii="Nirmala UI" w:hAnsi="Nirmala UI" w:eastAsia="Nirmala UI" w:cs="Nirmala UI"/>
        </w:rPr>
        <w:t>ପହଞ୍ଚିବା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ଊଣେଇଶ</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ଆବଶ୍ୟକ।</w:t>
      </w:r>
    </w:p>
    <w:p>
      <w:pPr>
        <w:pStyle w:val="ArticleBody"/>
        <w:jc w:val="left"/>
      </w:pPr>
      <w:r>
        <w:rPr>
          <w:rFonts w:ascii="Times New Roman" w:hAnsi="Times New Roman" w:eastAsia="Times New Roman" w:cs="Times New Roman"/>
        </w:rPr>
        <w:t>Aŷisil ísel tána avadeth nu Mitzraimeth, ar dór anú-úveth, il nôrth ar il sôthar malchûthim eshúveth ta avadeth. Il nevû’oth ethaleth min il nevû’i histôria d’Aŷisil qadmôn, mamash, el Aŷisil rûḥânî modérn, ar, b’khen, il têma d’khol il simanê-dérekh nevû’i avadeth hi.</w:t>
      </w:r>
    </w:p>
    <w:p>
      <w:pPr>
        <w:pStyle w:val="ArticleBody"/>
        <w:jc w:val="left"/>
      </w:pPr>
      <w:r>
        <w:rPr>
          <w:rFonts w:ascii="Times New Roman" w:hAnsi="Times New Roman" w:eastAsia="Times New Roman" w:cs="Times New Roman"/>
        </w:rPr>
        <w:t>ایشعیا سات کی نبوت 742 قبل مسیح میں نبی ایشعیا کی طرف سے شریر بادشاہ احاز کے سامنے پیش کی گئی، جب شمال اور جنوب کے درمیان ایک آنے والی خانہ جنگی کی نشان دہی کی جا رہی تھی۔ احاز کی جنوبی سلطنت قدیم اسرائیل کی حقیقی جلیل‌القدر سرزمین تھی۔ 1798 میں، بائبلی نبوت کی روحانی جلیل‌القدر سرزمین نے بائبلی نبوت کی چھٹی مملکت کے طور پر حکمرانی کرنا شروع کیا۔ جب 1844 میں حقیقی جلیل‌القدر سرزمین کے خلاف سات زمانے ختم ہوئے، تو بادشاہ احاز کی تاریخ کی مانند ایک آنے والی خانہ جنگی موجود تھی۔ 1844 تک، سیاسی جماعتوں کے ٹوٹنے اور اتحاد قائم کرنے کی ہلچل تقریباً مکمل طور پر سیاسی رجحانات کی دو جماعتوں میں مستحکم ہو چکی تھی۔ غلامی کے اعتبار سے ڈیموکریٹس غلامی کے حامی تھے اور ریپبلکن غلامی کے مخالف تھے۔ 1798 سے 1860 میں خانہ جنگی کے آغاز تک، سیاسی جماعتوں کی دو جماعتوں کی تشکیل کا عمل طے پا چکا تھا۔</w:t>
      </w:r>
    </w:p>
    <w:p>
      <w:pPr>
        <w:pStyle w:val="ArticleBody"/>
        <w:jc w:val="left"/>
      </w:pPr>
      <w:r>
        <w:rPr>
          <w:rFonts w:ascii="Times New Roman" w:hAnsi="Times New Roman" w:eastAsia="Times New Roman" w:cs="Times New Roman"/>
        </w:rPr>
        <w:t>Ahaz gloriösa landi bokstava simbolisado, i por tanto ta tipifiká gloriösa landi espiritual. E historia di Ahaz ta tipifiká e historia profétiko kaminda e profesía a ser proclamá na 742 a.C., i p’esei ta tipifiká e historia kaminda e profesía a yega na su fin. Den e historia di kuminsamentu, e reino norti, konsistí di dies tribu, a separá su mes for di e otro dos tribu komo protesta kontra e gobièrnu establecí divinamente di e dos tribu di sur. E dies tribu di norti a formá un konføderashon ku Siria, tipifikando e aliansa entre e konføderashon di sur i un poder representá simbólikamente pa Siria.</w:t>
      </w:r>
    </w:p>
    <w:p>
      <w:pPr>
        <w:pStyle w:val="ArticleBody"/>
        <w:jc w:val="left"/>
      </w:pPr>
      <w:r>
        <w:rPr>
          <w:rFonts w:ascii="Times New Roman" w:hAnsi="Times New Roman" w:eastAsia="Times New Roman" w:cs="Times New Roman"/>
        </w:rPr>
        <w:t>Eñemombe’u mbyky ohechauka porãva Leviticus mokõipa poteĩme pe siete tiempoha ha’eha peteĩ promesa konveniopegua omopyendáva térã peteĩ jehovasa ñe’ẽrendu rehehápe, térã pe “maldición” tembiguáiramo jeiko rehehápe ñe’ẽrenduy hag̃ua’ỹre. Pe reino kuarahyreike gotyogua ha kuarahyresẽ gotyogua oñepyrũ oñondive peteĩ tetãramo, oñemosãsóva tembiguái reko-gui, ha upéi hag̃ua hag̃uáicha ojegueraha jey tembiguái rekópe umi iñapýrape peteĩteĩme.</w:t>
      </w:r>
    </w:p>
    <w:p>
      <w:pPr>
        <w:pStyle w:val="ArticleBody"/>
        <w:jc w:val="left"/>
      </w:pPr>
      <w:r>
        <w:rPr>
          <w:rFonts w:ascii="Times New Roman" w:hAnsi="Times New Roman" w:eastAsia="Times New Roman" w:cs="Times New Roman"/>
        </w:rPr>
        <w:t>سادە و پێنج ساڵەکە لە کۆتایی ئەو پێشبینییانەی کۆیلایەتی، بەوە کۆتایی هات کە ئیسرائیلی ڕۆحی لە خاکی شکۆدارە ڕۆحییەکەدا بوو، لە ناوەڕاستی تەواوی شەڕێکی ناوخۆییی باکوور دژ بە باشوور. دوژمنەکانی ئەو شەڕە ناوخۆییە شانشینێک بوون کە هاوپەیمانییەکیان پێک هێنا و لە حکومەتی دامەزراوی بە فەرمانی خودا، کە لەو شانشینە بەرامبەرەدا جێگیر بوو، جیابوونەوە.</w:t>
      </w:r>
    </w:p>
    <w:p>
      <w:pPr>
        <w:pStyle w:val="ArticleBody"/>
        <w:jc w:val="left"/>
      </w:pPr>
      <w:r>
        <w:rPr>
          <w:rFonts w:ascii="Times New Roman" w:hAnsi="Times New Roman" w:eastAsia="Times New Roman" w:cs="Times New Roman"/>
        </w:rPr>
        <w:t>1798-ымызбен гражданлық соғысқа дейін, Республикашылдықтың мүйізі құлдық мәселесінің екі қырын бейнелейтін саяси қарсыластардың екі табын қалыптастырған үдерістен өткізілді. Құлдық тәжірибесін жалғастыруды көздеген құлдықты жақтаушы қарсыластар бұл күресте жеңілді.</w:t>
      </w:r>
    </w:p>
    <w:p>
      <w:pPr>
        <w:pStyle w:val="ArticleBody"/>
        <w:jc w:val="left"/>
      </w:pPr>
      <w:r>
        <w:rPr>
          <w:rFonts w:ascii="Times New Roman" w:hAnsi="Times New Roman" w:eastAsia="Times New Roman" w:cs="Times New Roman"/>
        </w:rPr>
        <w:t>1798-ера йинахьаь 1798-ера дуьйна граждански тӀом болчахьа тӀе, протестантизман дӀанахьаьн буьйсан мӀераш тӀе кхочуш хиларехь кхечу процесс цуьнан тӀехь ийна, шуьйра йоккха диний дош ларбаршийн ши къам хьахийна, уьш къайлехь кулгаллин масъалах долу ши аьтту агӀон тӀехь дӀатоху. Кулгаллийг довтуш, цу пророчествон йуьхьанцара маьӀнан дӀаяхьа лаьтта лаам баьхна дош ларбарш тӀомах дӀадайна.</w:t>
      </w:r>
    </w:p>
    <w:p>
      <w:pPr>
        <w:pStyle w:val="ArticleBody"/>
        <w:jc w:val="left"/>
      </w:pPr>
      <w:r>
        <w:rPr>
          <w:rFonts w:ascii="Times New Roman" w:hAnsi="Times New Roman" w:eastAsia="Times New Roman" w:cs="Times New Roman"/>
        </w:rPr>
        <w:t>Na 1863 a rọ̀ ìwọ̀n Kómù Répùblíkání mú, ó sì ṣàṣeyọrí láti kọ ìṣe ẹrú sílẹ̀.</w:t>
      </w:r>
    </w:p>
    <w:p>
      <w:pPr>
        <w:pStyle w:val="ArticleBody"/>
        <w:jc w:val="left"/>
      </w:pPr>
      <w:r>
        <w:rPr>
          <w:rFonts w:ascii="Times New Roman" w:hAnsi="Times New Roman" w:eastAsia="Times New Roman" w:cs="Times New Roman"/>
        </w:rPr>
        <w:t>1863-жылы протестантизмдин мүйүзү кулчулук жөнүндөгү пайгамбарлыкты четке кагууга жетишти.</w:t>
      </w:r>
    </w:p>
    <w:p>
      <w:pPr>
        <w:pStyle w:val="ArticleBody"/>
        <w:jc w:val="left"/>
      </w:pPr>
      <w:r>
        <w:rPr>
          <w:rFonts w:ascii="Times New Roman" w:hAnsi="Times New Roman" w:eastAsia="Times New Roman" w:cs="Times New Roman"/>
        </w:rPr>
        <w:t>Haciendo esto, rechazaron la obra de Miller, el Elías para su tiempo. Al hacerlo, también rechazaron «el juramento de Moisés», la piedra fundamental para su tiempo. Entonces Moisés y Elías fueron rechazados, solo para volver el 11 de septiembre de 2001.</w:t>
      </w:r>
    </w:p>
    <w:p>
      <w:pPr>
        <w:pStyle w:val="ArticleBody"/>
        <w:jc w:val="left"/>
      </w:pP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오메가이신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놀라우신</w:t>
      </w:r>
      <w:r>
        <w:rPr>
          <w:rFonts w:ascii="Times New Roman" w:hAnsi="Times New Roman" w:eastAsia="Times New Roman" w:cs="Times New Roman"/>
        </w:rPr>
        <w:t xml:space="preserve"> </w:t>
      </w:r>
      <w:r>
        <w:rPr>
          <w:rFonts w:ascii="Malgun Gothic" w:hAnsi="Malgun Gothic" w:eastAsia="Malgun Gothic" w:cs="Malgun Gothic"/>
        </w:rPr>
        <w:t>언어학자는</w:t>
      </w:r>
      <w:r>
        <w:rPr>
          <w:rFonts w:ascii="Times New Roman" w:hAnsi="Times New Roman" w:eastAsia="Times New Roman" w:cs="Times New Roman"/>
        </w:rPr>
        <w:t xml:space="preserve">, </w:t>
      </w:r>
      <w:r>
        <w:rPr>
          <w:rFonts w:ascii="Malgun Gothic" w:hAnsi="Malgun Gothic" w:eastAsia="Malgun Gothic" w:cs="Malgun Gothic"/>
        </w:rPr>
        <w:t>친히</w:t>
      </w:r>
      <w:r>
        <w:rPr>
          <w:rFonts w:ascii="Times New Roman" w:hAnsi="Times New Roman" w:eastAsia="Times New Roman" w:cs="Times New Roman"/>
        </w:rPr>
        <w:t xml:space="preserve"> </w:t>
      </w:r>
      <w:r>
        <w:rPr>
          <w:rFonts w:ascii="Malgun Gothic" w:hAnsi="Malgun Gothic" w:eastAsia="Malgun Gothic" w:cs="Malgun Gothic"/>
        </w:rPr>
        <w:t>팔모니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놀라우신</w:t>
      </w:r>
      <w:r>
        <w:rPr>
          <w:rFonts w:ascii="Times New Roman" w:hAnsi="Times New Roman" w:eastAsia="Times New Roman" w:cs="Times New Roman"/>
        </w:rPr>
        <w:t xml:space="preserve"> </w:t>
      </w:r>
      <w:r>
        <w:rPr>
          <w:rFonts w:ascii="Malgun Gothic" w:hAnsi="Malgun Gothic" w:eastAsia="Malgun Gothic" w:cs="Malgun Gothic"/>
        </w:rPr>
        <w:t>수를</w:t>
      </w:r>
      <w:r>
        <w:rPr>
          <w:rFonts w:ascii="Times New Roman" w:hAnsi="Times New Roman" w:eastAsia="Times New Roman" w:cs="Times New Roman"/>
        </w:rPr>
        <w:t xml:space="preserve"> </w:t>
      </w:r>
      <w:r>
        <w:rPr>
          <w:rFonts w:ascii="Malgun Gothic" w:hAnsi="Malgun Gothic" w:eastAsia="Malgun Gothic" w:cs="Malgun Gothic"/>
        </w:rPr>
        <w:t>세시는</w:t>
      </w:r>
      <w:r>
        <w:rPr>
          <w:rFonts w:ascii="Times New Roman" w:hAnsi="Times New Roman" w:eastAsia="Times New Roman" w:cs="Times New Roman"/>
        </w:rPr>
        <w:t xml:space="preserve"> </w:t>
      </w:r>
      <w:r>
        <w:rPr>
          <w:rFonts w:ascii="Malgun Gothic" w:hAnsi="Malgun Gothic" w:eastAsia="Malgun Gothic" w:cs="Malgun Gothic"/>
        </w:rPr>
        <w:t>이로</w:t>
      </w:r>
      <w:r>
        <w:rPr>
          <w:rFonts w:ascii="Times New Roman" w:hAnsi="Times New Roman" w:eastAsia="Times New Roman" w:cs="Times New Roman"/>
        </w:rPr>
        <w:t xml:space="preserve"> </w:t>
      </w:r>
      <w:r>
        <w:rPr>
          <w:rFonts w:ascii="Malgun Gothic" w:hAnsi="Malgun Gothic" w:eastAsia="Malgun Gothic" w:cs="Malgun Gothic"/>
        </w:rPr>
        <w:t>선포하신</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맹세</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전반에</w:t>
      </w:r>
      <w:r>
        <w:rPr>
          <w:rFonts w:ascii="Times New Roman" w:hAnsi="Times New Roman" w:eastAsia="Times New Roman" w:cs="Times New Roman"/>
        </w:rPr>
        <w:t xml:space="preserve"> </w:t>
      </w:r>
      <w:r>
        <w:rPr>
          <w:rFonts w:ascii="Malgun Gothic" w:hAnsi="Malgun Gothic" w:eastAsia="Malgun Gothic" w:cs="Malgun Gothic"/>
        </w:rPr>
        <w:t>걸쳐</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기록하셨다</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믿지</w:t>
      </w:r>
      <w:r>
        <w:rPr>
          <w:rFonts w:ascii="Times New Roman" w:hAnsi="Times New Roman" w:eastAsia="Times New Roman" w:cs="Times New Roman"/>
        </w:rPr>
        <w:t xml:space="preserve"> </w:t>
      </w:r>
      <w:r>
        <w:rPr>
          <w:rFonts w:ascii="Malgun Gothic" w:hAnsi="Malgun Gothic" w:eastAsia="Malgun Gothic" w:cs="Malgun Gothic"/>
        </w:rPr>
        <w:t>아니하면</w:t>
      </w:r>
      <w:r>
        <w:rPr>
          <w:rFonts w:ascii="Times New Roman" w:hAnsi="Times New Roman" w:eastAsia="Times New Roman" w:cs="Times New Roman"/>
        </w:rPr>
        <w:t xml:space="preserve">, </w:t>
      </w:r>
      <w:r>
        <w:rPr>
          <w:rFonts w:ascii="Malgun Gothic" w:hAnsi="Malgun Gothic" w:eastAsia="Malgun Gothic" w:cs="Malgun Gothic"/>
        </w:rPr>
        <w:t>정녕</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서지</w:t>
      </w:r>
      <w:r>
        <w:rPr>
          <w:rFonts w:ascii="Times New Roman" w:hAnsi="Times New Roman" w:eastAsia="Times New Roman" w:cs="Times New Roman"/>
        </w:rPr>
        <w:t xml:space="preserve"> </w:t>
      </w:r>
      <w:r>
        <w:rPr>
          <w:rFonts w:ascii="Malgun Gothic" w:hAnsi="Malgun Gothic" w:eastAsia="Malgun Gothic" w:cs="Malgun Gothic"/>
        </w:rPr>
        <w:t>못하리라</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Número Cuatro</dc:title>
  <dc:subject>Esclavitud</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