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Shumar t’oqneb’ julajuj</w:t>
      </w:r>
    </w:p>
    <w:p>
      <w:pPr>
        <w:pStyle w:val="ArticleSubtitle"/>
        <w:jc w:val="left"/>
      </w:pPr>
      <w:r>
        <w:rPr>
          <w:rFonts w:ascii="Segoe UI" w:hAnsi="Segoe UI" w:eastAsia="Segoe UI" w:cs="Segoe UI"/>
        </w:rPr>
        <w:t>ئ</w:t>
      </w:r>
      <w:r>
        <w:rPr>
          <w:rFonts w:ascii="Arial" w:hAnsi="Arial" w:eastAsia="Arial" w:cs="Arial"/>
        </w:rPr>
        <w:t xml:space="preserve"> </w:t>
      </w:r>
      <w:r>
        <w:rPr>
          <w:rFonts w:ascii="Segoe UI" w:hAnsi="Segoe UI" w:eastAsia="Segoe UI" w:cs="Segoe UI"/>
        </w:rPr>
        <w:t>خطأ</w:t>
      </w:r>
      <w:r>
        <w:rPr>
          <w:rFonts w:ascii="Arial" w:hAnsi="Arial" w:eastAsia="Arial" w:cs="Arial"/>
        </w:rPr>
        <w:t xml:space="preserve"> </w:t>
      </w:r>
      <w:r>
        <w:rPr>
          <w:rFonts w:ascii="Segoe UI" w:hAnsi="Segoe UI" w:eastAsia="Segoe UI" w:cs="Segoe UI"/>
        </w:rPr>
        <w:t>ديال</w:t>
      </w:r>
      <w:r>
        <w:rPr>
          <w:rFonts w:ascii="Arial" w:hAnsi="Arial" w:eastAsia="Arial" w:cs="Arial"/>
        </w:rPr>
        <w:t xml:space="preserve"> </w:t>
      </w:r>
      <w:r>
        <w:rPr>
          <w:rFonts w:ascii="Segoe UI" w:hAnsi="Segoe UI" w:eastAsia="Segoe UI" w:cs="Segoe UI"/>
        </w:rPr>
        <w:t>البداية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تمردُ عجلِ هارونَ الذهبيّ في بدايةِ إسرائيلَ القديمةِ يتوافقُ، على نحوٍ نبويّ، مع تمرّدِ يربعامَ في بدايةِ الأسباطِ العشرةِ لمملكةِ إفرايمَ الشمالية. وهذه التواريخُ المقدّسةُ تُمثِّلُ، على نحوٍ نموذجيّ، تمرّدَ الأدفنتيةِ في سنةِ 1863.</w:t>
      </w:r>
    </w:p>
    <w:p>
      <w:pPr>
        <w:pStyle w:val="ArticleBody"/>
        <w:jc w:val="left"/>
      </w:pPr>
      <w:r>
        <w:rPr>
          <w:rFonts w:ascii="Times New Roman" w:hAnsi="Times New Roman" w:eastAsia="Times New Roman" w:cs="Times New Roman"/>
        </w:rPr>
        <w:t>Nikẹhin, dajudaju, awọn ẹlẹri mìíràn sí 1863 wà, ṣùgbọ́n Aaroni àti ọba Jeroboamu pèsè àwọn ẹlẹri tí wọ́n bò lórí ìtàn 1863, àti pé gbogbo àwọn ìtàn wọ̀nyí ń ṣàfihàn ìrìnàjò àwọn ọ̀kẹ́ mẹ́rìnlélọ́gọ́rin [144,000], èyí tí í ṣe ìwo Alátẹnumọ́, kì í ṣe ní àwọn ọjọ́ ìkẹyìn ìjọba kẹfà nìkan nínú àsọtẹ́lẹ̀ Bíbélì, ṣùgbọ́n títí dé ìparí àkókò ìdánwò. Àwọn ìtàn wọ̀nyí pẹ̀lú ń sọ̀rọ̀ nípa ìtàn aláfíwé ti ìwo Republican nínú ìjọba kẹfà náà.</w:t>
      </w:r>
    </w:p>
    <w:p>
      <w:pPr>
        <w:pStyle w:val="ArticleBody"/>
        <w:jc w:val="left"/>
      </w:pPr>
      <w:r>
        <w:rPr>
          <w:rFonts w:ascii="Microsoft Himalaya" w:hAnsi="Microsoft Himalaya" w:eastAsia="Microsoft Himalaya" w:cs="Microsoft Himalaya"/>
        </w:rPr>
        <w:t>སྤྱིར་བཏང་དུ་ནི།</w:t>
      </w:r>
      <w:r>
        <w:rPr>
          <w:rFonts w:ascii="Times New Roman" w:hAnsi="Times New Roman" w:eastAsia="Times New Roman" w:cs="Times New Roman"/>
        </w:rPr>
        <w:t xml:space="preserve"> </w:t>
      </w:r>
      <w:r>
        <w:rPr>
          <w:rFonts w:ascii="Microsoft Himalaya" w:hAnsi="Microsoft Himalaya" w:eastAsia="Microsoft Himalaya" w:cs="Microsoft Himalaya"/>
        </w:rPr>
        <w:t>དད་པ་བྱེད་མཁན་རྣམས་ལ།</w:t>
      </w:r>
      <w:r>
        <w:rPr>
          <w:rFonts w:ascii="Times New Roman" w:hAnsi="Times New Roman" w:eastAsia="Times New Roman" w:cs="Times New Roman"/>
        </w:rPr>
        <w:t xml:space="preserve"> </w:t>
      </w:r>
      <w:r>
        <w:rPr>
          <w:rFonts w:ascii="Microsoft Himalaya" w:hAnsi="Microsoft Himalaya" w:eastAsia="Microsoft Himalaya" w:cs="Microsoft Himalaya"/>
        </w:rPr>
        <w:t>འཇིག་རྟེན་གྱི་མཐའ་མར་ཡོད་པའི་ལྷག་མའི་མི་ཚོགས་ནི་</w:t>
      </w:r>
      <w:r>
        <w:rPr>
          <w:rFonts w:ascii="Times New Roman" w:hAnsi="Times New Roman" w:eastAsia="Times New Roman" w:cs="Times New Roman"/>
        </w:rPr>
        <w:t xml:space="preserve"> Seventh-day Adventist church </w:t>
      </w:r>
      <w:r>
        <w:rPr>
          <w:rFonts w:ascii="Microsoft Himalaya" w:hAnsi="Microsoft Himalaya" w:eastAsia="Microsoft Himalaya" w:cs="Microsoft Himalaya"/>
        </w:rPr>
        <w:t>ཡིན་ཞེས་པའི་བདེན་པ་ནི་སྤྱིར་བཏང་དུ་ཤིན་ཏུ་དཀའ་བའི་བདེན་པ་ཞིག་ཡིན།</w:t>
      </w:r>
      <w:r>
        <w:rPr>
          <w:rFonts w:ascii="Times New Roman" w:hAnsi="Times New Roman" w:eastAsia="Times New Roman" w:cs="Times New Roman"/>
        </w:rPr>
        <w:t xml:space="preserve"> </w:t>
      </w:r>
      <w:r>
        <w:rPr>
          <w:rFonts w:ascii="Microsoft Himalaya" w:hAnsi="Microsoft Himalaya" w:eastAsia="Microsoft Himalaya" w:cs="Microsoft Himalaya"/>
        </w:rPr>
        <w:t>དད་པ་དེ་ཉིད་ནི་ང་ཚོའི་ནོར་འཁྲུལ་དང་པོ་ཡིན།</w:t>
      </w:r>
      <w:r>
        <w:rPr>
          <w:rFonts w:ascii="Times New Roman" w:hAnsi="Times New Roman" w:eastAsia="Times New Roman" w:cs="Times New Roman"/>
        </w:rPr>
        <w:t xml:space="preserve"> Laodicean church </w:t>
      </w:r>
      <w:r>
        <w:rPr>
          <w:rFonts w:ascii="Microsoft Himalaya" w:hAnsi="Microsoft Himalaya" w:eastAsia="Microsoft Himalaya" w:cs="Microsoft Himalaya"/>
        </w:rPr>
        <w:t>ཡིས་</w:t>
      </w:r>
      <w:r>
        <w:rPr>
          <w:rFonts w:ascii="Times New Roman" w:hAnsi="Times New Roman" w:eastAsia="Times New Roman" w:cs="Times New Roman"/>
        </w:rPr>
        <w:t xml:space="preserve"> Sunday law crisis </w:t>
      </w:r>
      <w:r>
        <w:rPr>
          <w:rFonts w:ascii="Microsoft Himalaya" w:hAnsi="Microsoft Himalaya" w:eastAsia="Microsoft Himalaya" w:cs="Microsoft Himalaya"/>
        </w:rPr>
        <w:t>སྐབས་སུ་རྟགས་མཚན་ཞིག་ཏུ་མཐོན་པོར་བཀྱག་པའི་མི་ཚོགས་ལ་མཚོན་པ་ཡིན་ཞེས་པར།</w:t>
      </w:r>
      <w:r>
        <w:rPr>
          <w:rFonts w:ascii="Times New Roman" w:hAnsi="Times New Roman" w:eastAsia="Times New Roman" w:cs="Times New Roman"/>
        </w:rPr>
        <w:t xml:space="preserve"> </w:t>
      </w:r>
      <w:r>
        <w:rPr>
          <w:rFonts w:ascii="Microsoft Himalaya" w:hAnsi="Microsoft Himalaya" w:eastAsia="Microsoft Himalaya" w:cs="Microsoft Himalaya"/>
        </w:rPr>
        <w:t>བཀའ་མདོ་ལས་དཔང་པོ་གང་ཡང་མེད།</w:t>
      </w:r>
      <w:r>
        <w:rPr>
          <w:rFonts w:ascii="Times New Roman" w:hAnsi="Times New Roman" w:eastAsia="Times New Roman" w:cs="Times New Roman"/>
        </w:rPr>
        <w:t xml:space="preserve"> </w:t>
      </w:r>
      <w:r>
        <w:rPr>
          <w:rFonts w:ascii="Microsoft Himalaya" w:hAnsi="Microsoft Himalaya" w:eastAsia="Microsoft Himalaya" w:cs="Microsoft Himalaya"/>
        </w:rPr>
        <w:t>ང་ཚོའི་ནོར་འཁྲུལ་དང་པོ་ནི།</w:t>
      </w:r>
      <w:r>
        <w:rPr>
          <w:rFonts w:ascii="Times New Roman" w:hAnsi="Times New Roman" w:eastAsia="Times New Roman" w:cs="Times New Roman"/>
        </w:rPr>
        <w:t xml:space="preserve"> </w:t>
      </w:r>
      <w:r>
        <w:rPr>
          <w:rFonts w:ascii="Microsoft Himalaya" w:hAnsi="Microsoft Himalaya" w:eastAsia="Microsoft Himalaya" w:cs="Microsoft Himalaya"/>
        </w:rPr>
        <w:t>འདི་དེ་ལྟར་ཡིན་ཞེས་པའི་རྫུན་གཞི་ལ་ཁས་ལེན་བྱེད་པ་ཡིན།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འཇིག་རྟེན་གྱི་མཐའ་མའི་རྟགས་མཚན་ནི།</w:t>
      </w:r>
      <w:r>
        <w:rPr>
          <w:rFonts w:ascii="Times New Roman" w:hAnsi="Times New Roman" w:eastAsia="Times New Roman" w:cs="Times New Roman"/>
        </w:rPr>
        <w:t xml:space="preserve"> synagogue of Satan </w:t>
      </w:r>
      <w:r>
        <w:rPr>
          <w:rFonts w:ascii="Microsoft Himalaya" w:hAnsi="Microsoft Himalaya" w:eastAsia="Microsoft Himalaya" w:cs="Microsoft Himalaya"/>
        </w:rPr>
        <w:t>གྱི་ཁོངས་མི་རྣམས་ཀྱིས་ཕྱིར་བསྐྲད་པའི་མི་རྣམས་ལས་གྲུབ་པ་ཡིན།</w:t>
      </w:r>
    </w:p>
    <w:p>
      <w:pPr>
        <w:pStyle w:val="ArticleScripture"/>
        <w:jc w:val="left"/>
      </w:pPr>
      <w:r>
        <w:rPr>
          <w:rFonts w:ascii="Times New Roman" w:hAnsi="Times New Roman" w:eastAsia="Times New Roman" w:cs="Times New Roman"/>
        </w:rPr>
        <w:t>Ve O, uluslar için bir sancak dikecek, İsrail’in sürgün edilmişlerini toplayacak ve Yahuda’nın dağılmış olanlarını yeryüzünün dört köşesinden bir araya getirecektir. Yeşaya 11:12.</w:t>
      </w:r>
    </w:p>
    <w:p>
      <w:pPr>
        <w:pStyle w:val="ArticleBody"/>
        <w:jc w:val="left"/>
      </w:pPr>
      <w:r>
        <w:rPr>
          <w:rFonts w:ascii="Times New Roman" w:hAnsi="Times New Roman" w:eastAsia="Times New Roman" w:cs="Times New Roman"/>
        </w:rPr>
        <w:t>ئەوانەی ئەدڤێنتیستی لاودیکەیانن، ئەوانن کە ئەوانەی دەردەکەن کە دەبنە ئاڵا.</w:t>
      </w:r>
    </w:p>
    <w:p>
      <w:pPr>
        <w:pStyle w:val="ArticleScripture"/>
        <w:jc w:val="left"/>
      </w:pPr>
      <w:r>
        <w:rPr>
          <w:rFonts w:ascii="Times New Roman" w:hAnsi="Times New Roman" w:eastAsia="Times New Roman" w:cs="Times New Roman"/>
        </w:rPr>
        <w:t>Asɛm a Awurade ka no montie, mo a mopopo n’asɛm ho; Mo nuanom a wɔtan mo, na wɔpam mo me din nti no kae sɛ, Momma wɔnhyɛ Awurade anuonyam: nanso ɔbɛda ne ho adi ama mo anigye, na wɔn de, wɔbɛyɛ aniwu. Yesaia 66:5.</w:t>
      </w:r>
    </w:p>
    <w:p>
      <w:pPr>
        <w:pStyle w:val="ArticleBody"/>
        <w:jc w:val="left"/>
      </w:pPr>
      <w:r>
        <w:rPr>
          <w:rFonts w:ascii="Times New Roman" w:hAnsi="Times New Roman" w:eastAsia="Times New Roman" w:cs="Times New Roman"/>
        </w:rPr>
        <w:t>Ikinyasayayaan a mangibanda iti “nagan” ni Cristo. Ti nagan a mangyeg iti pannakaibusor ket Alpha ken Omega, ta ti prinsipio ti Alpha ken Omega ti nalawag nga agpakita no siasino ti itakderan ti Iglesia Adventista del Séptimo Día iti padto ti Biblia. Ti pangngarig dagiti sangapulo a balasang ket itakderanna ti Adventismo.</w:t>
      </w:r>
    </w:p>
    <w:p>
      <w:pPr>
        <w:pStyle w:val="ArticleScripture"/>
        <w:jc w:val="left"/>
      </w:pPr>
      <w:r>
        <w:rPr>
          <w:rFonts w:ascii="Times New Roman" w:hAnsi="Times New Roman" w:eastAsia="Times New Roman" w:cs="Times New Roman"/>
        </w:rPr>
        <w:t>«Матай 25-тегі он қыз туралы астарлы әңгіме де Адвентист халқтың тәжірийбесин көрсетеди». The Great Controversy, 393.</w:t>
      </w:r>
    </w:p>
    <w:p>
      <w:pPr>
        <w:pStyle w:val="ArticleBody"/>
        <w:jc w:val="left"/>
      </w:pPr>
      <w:r>
        <w:rPr>
          <w:rFonts w:ascii="Times New Roman" w:hAnsi="Times New Roman" w:eastAsia="Times New Roman" w:cs="Times New Roman"/>
        </w:rPr>
        <w:t>Таурпатымды хикайә Адвентизмниң бешида әмәлгә ашқан еди вә ахирида йәнә сөзму-сөз әмәлгә ашиду.</w:t>
      </w:r>
    </w:p>
    <w:p>
      <w:pPr>
        <w:pStyle w:val="ArticleScripture"/>
        <w:jc w:val="left"/>
      </w:pPr>
      <w:r>
        <w:rPr>
          <w:rFonts w:ascii="Times New Roman" w:hAnsi="Times New Roman" w:eastAsia="Times New Roman" w:cs="Times New Roman"/>
        </w:rPr>
        <w:t>«Che asëfeñe me remiti mboypýri umi diez vírgenes rehegua parábola-pe, cinco ijarandu ha cinco itavýva. Ko parábola oñekumpli vaʼekue ha oñekumplíta pe letraite peve, oguerekógui peteĩ aplicación especial ko tiempope, ha, pe mensaje tercer ángel reheguáicha, oñekumpli vaʼekue ha osegíta oiko añetegua koʼág̃aguaicha pe tiempo paha peve». Review and Herald, 19 de agosto de 1890.</w:t>
      </w:r>
    </w:p>
    <w:p>
      <w:pPr>
        <w:pStyle w:val="ArticleBody"/>
        <w:jc w:val="left"/>
      </w:pPr>
      <w:r>
        <w:rPr>
          <w:rFonts w:ascii="Times New Roman" w:hAnsi="Times New Roman" w:eastAsia="Times New Roman" w:cs="Times New Roman"/>
        </w:rPr>
        <w:t>ꞌꞌE vīrhenes xapāhe ye mātahetse ka ye thānares nā hā xajes elael, hā Laodiceans.</w:t>
      </w:r>
    </w:p>
    <w:p>
      <w:pPr>
        <w:pStyle w:val="ArticleScripture"/>
        <w:jc w:val="left"/>
      </w:pPr>
      <w:r>
        <w:rPr>
          <w:rFonts w:ascii="Times New Roman" w:hAnsi="Times New Roman" w:eastAsia="Times New Roman" w:cs="Times New Roman"/>
        </w:rPr>
        <w:t>"Durumê Dêra ku bi keçikên bêaqil tê temsîl kirin, her wiha wekî rewşa Laodîkeyayî jî tê gotin." Review and Herald, 19ê Tebaxa 1890.</w:t>
      </w:r>
    </w:p>
    <w:p>
      <w:pPr>
        <w:pStyle w:val="ArticleBody"/>
        <w:jc w:val="left"/>
      </w:pPr>
      <w:r>
        <w:rPr>
          <w:rFonts w:ascii="Myanmar Text" w:hAnsi="Myanmar Text" w:eastAsia="Myanmar Text" w:cs="Myanmar Text"/>
        </w:rPr>
        <w:t>စိတ်ပညာရှိသော</w:t>
      </w:r>
      <w:r>
        <w:rPr>
          <w:rFonts w:ascii="Times New Roman" w:hAnsi="Times New Roman" w:eastAsia="Times New Roman" w:cs="Times New Roman"/>
        </w:rPr>
        <w:t xml:space="preserve"> </w:t>
      </w:r>
      <w:r>
        <w:rPr>
          <w:rFonts w:ascii="Myanmar Text" w:hAnsi="Myanmar Text" w:eastAsia="Myanmar Text" w:cs="Myanmar Text"/>
        </w:rPr>
        <w:t>ကညာတို့၏</w:t>
      </w:r>
      <w:r>
        <w:rPr>
          <w:rFonts w:ascii="Times New Roman" w:hAnsi="Times New Roman" w:eastAsia="Times New Roman" w:cs="Times New Roman"/>
        </w:rPr>
        <w:t xml:space="preserve"> </w:t>
      </w:r>
      <w:r>
        <w:rPr>
          <w:rFonts w:ascii="Myanmar Text" w:hAnsi="Myanmar Text" w:eastAsia="Myanmar Text" w:cs="Myanmar Text"/>
        </w:rPr>
        <w:t>တိုက်ပွဲသည်</w:t>
      </w:r>
      <w:r>
        <w:rPr>
          <w:rFonts w:ascii="Times New Roman" w:hAnsi="Times New Roman" w:eastAsia="Times New Roman" w:cs="Times New Roman"/>
        </w:rPr>
        <w:t>—</w:t>
      </w:r>
      <w:r>
        <w:rPr>
          <w:rFonts w:ascii="Myanmar Text" w:hAnsi="Myanmar Text" w:eastAsia="Myanmar Text" w:cs="Myanmar Text"/>
        </w:rPr>
        <w:t>ဖိလဒေလဖိအသင်းတော်အဖြစ်လည်း</w:t>
      </w:r>
      <w:r>
        <w:rPr>
          <w:rFonts w:ascii="Times New Roman" w:hAnsi="Times New Roman" w:eastAsia="Times New Roman" w:cs="Times New Roman"/>
        </w:rPr>
        <w:t xml:space="preserve"> </w:t>
      </w:r>
      <w:r>
        <w:rPr>
          <w:rFonts w:ascii="Myanmar Text" w:hAnsi="Myanmar Text" w:eastAsia="Myanmar Text" w:cs="Myanmar Text"/>
        </w:rPr>
        <w:t>ကိုယ်စားပြုဖော်ပြထားသကဲ့သို့</w:t>
      </w:r>
      <w:r>
        <w:rPr>
          <w:rFonts w:ascii="Times New Roman" w:hAnsi="Times New Roman" w:eastAsia="Times New Roman" w:cs="Times New Roman"/>
        </w:rPr>
        <w:t>—</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ယုဒလူဟု</w:t>
      </w:r>
      <w:r>
        <w:rPr>
          <w:rFonts w:ascii="Times New Roman" w:hAnsi="Times New Roman" w:eastAsia="Times New Roman" w:cs="Times New Roman"/>
        </w:rPr>
        <w:t xml:space="preserve"> </w:t>
      </w:r>
      <w:r>
        <w:rPr>
          <w:rFonts w:ascii="Myanmar Text" w:hAnsi="Myanmar Text" w:eastAsia="Myanmar Text" w:cs="Myanmar Text"/>
        </w:rPr>
        <w:t>ဆိုကြသော်လည်း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မဟုတ်သော</w:t>
      </w:r>
      <w:r>
        <w:rPr>
          <w:rFonts w:ascii="Times New Roman" w:hAnsi="Times New Roman" w:eastAsia="Times New Roman" w:cs="Times New Roman"/>
        </w:rPr>
        <w:t xml:space="preserve"> </w:t>
      </w:r>
      <w:r>
        <w:rPr>
          <w:rFonts w:ascii="Myanmar Text" w:hAnsi="Myanmar Text" w:eastAsia="Myanmar Text" w:cs="Myanmar Text"/>
        </w:rPr>
        <w:t>အသင်းတော်တစ်ခုနှင့်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Myanmar Text" w:hAnsi="Myanmar Text" w:eastAsia="Myanmar Text" w:cs="Myanmar Text"/>
        </w:rPr>
        <w:t>ပေမယ့်</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ယုဒလူဟု</w:t>
      </w:r>
      <w:r>
        <w:rPr>
          <w:rFonts w:ascii="Times New Roman" w:hAnsi="Times New Roman" w:eastAsia="Times New Roman" w:cs="Times New Roman"/>
        </w:rPr>
        <w:t xml:space="preserve"> </w:t>
      </w:r>
      <w:r>
        <w:rPr>
          <w:rFonts w:ascii="Myanmar Text" w:hAnsi="Myanmar Text" w:eastAsia="Myanmar Text" w:cs="Myanmar Text"/>
        </w:rPr>
        <w:t>ဆိုကြသော်လည်း</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လိမ်ညာကြသော</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ဇရပ်မှသူတို့ကို</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ခြေတော်ရှေ့သို့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ဦးညွှတ်ကိုးကွယ်စေမည်။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ချစ်တော်မူကြောင်း</w:t>
      </w:r>
      <w:r>
        <w:rPr>
          <w:rFonts w:ascii="Times New Roman" w:hAnsi="Times New Roman" w:eastAsia="Times New Roman" w:cs="Times New Roman"/>
        </w:rPr>
        <w:t xml:space="preserve"> </w:t>
      </w:r>
      <w:r>
        <w:rPr>
          <w:rFonts w:ascii="Myanmar Text" w:hAnsi="Myanmar Text" w:eastAsia="Myanmar Text" w:cs="Myanmar Text"/>
        </w:rPr>
        <w:t>သူတို့သိစေမည်။</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၉။</w:t>
      </w:r>
    </w:p>
    <w:p>
      <w:pPr>
        <w:pStyle w:val="ArticleBody"/>
        <w:jc w:val="left"/>
      </w:pPr>
      <w:r>
        <w:rPr>
          <w:rFonts w:ascii="Times New Roman" w:hAnsi="Times New Roman" w:eastAsia="Times New Roman" w:cs="Times New Roman"/>
        </w:rPr>
        <w:t>Ақ уаҳәшьа ари ацәаҳәа дазааҭгылоит «аилыԥра ду» ашьҭахь иҭыҵыз раԥхьатәи аҭыжьымҭаҵәҟьаҿы.</w:t>
      </w:r>
    </w:p>
    <w:p>
      <w:pPr>
        <w:pStyle w:val="ArticleScripture"/>
        <w:jc w:val="left"/>
      </w:pPr>
      <w:r>
        <w:rPr>
          <w:rFonts w:ascii="Times New Roman" w:hAnsi="Times New Roman" w:eastAsia="Times New Roman" w:cs="Times New Roman"/>
        </w:rPr>
        <w:t>«Астон лаган те, сакрихлян къакъон ёлъахь санъийн когашна хьалхара долу нах (Откровение 3:9), тӀаьхьа кӀелхьара кӀелхьаро кӀелхьара дӀасоьхур бу. ХӀинца со хьоьга хила везаш ву; юьхьанца Дала суна гайтина, хӀара класс — хьехам бохучу адвентисташ бара, шаьш духьадевлла, “Делан ВоӀа шенна юьхьанца дахин цӀаккхе кхайкхина, иза элпана массо гайта” дина. А “сынашъехьан сахьта,” хӀанз кхочуш йолуш йу, хӀара цхьанна шен бакъйолу хьал гайта, уьш кхетар ду, шаьш даимехь дӀадовлла бу; тӀаккха са тӀехь хало йовха хьалха, уьш санъийн когашна хьалхара долу бу». Word to the Little Flock, 12.</w:t>
      </w:r>
    </w:p>
    <w:p>
      <w:pPr>
        <w:pStyle w:val="ArticleBody"/>
        <w:jc w:val="left"/>
      </w:pPr>
      <w:r>
        <w:rPr>
          <w:rFonts w:ascii="Times New Roman" w:hAnsi="Times New Roman" w:eastAsia="Times New Roman" w:cs="Times New Roman"/>
        </w:rPr>
        <w:t>ایشعیاہ کے باب پانچ میں تاکستان کا وہ نغمہ پہلی بار مذکور ہے جسے بعد میں مسیح نے استعمال فرمایا۔</w:t>
      </w:r>
    </w:p>
    <w:p>
      <w:pPr>
        <w:pStyle w:val="ArticleScripture"/>
        <w:jc w:val="left"/>
      </w:pPr>
      <w:r>
        <w:rPr>
          <w:rFonts w:ascii="Times New Roman" w:hAnsi="Times New Roman" w:eastAsia="Times New Roman" w:cs="Times New Roman"/>
        </w:rPr>
        <w:t>ھاکو، مۆ شازو بؤ مەحبوبی خۆم گۆرانیەکی مەحبوبەکەم بڵێم لەبارەی ڕەزەکەیەوە. مەحبوبی من لەسەر گەردنێکی زۆر بەرهەمدار ڕەزێکی هەبوو؛ ئینجا بە دیوارداوری کرد، و بەردەکانی لێ دەرکرد، و بە باشترین مێو بوونی چاند، و لە ناوەڕاستیدا قولاڵەیەکی دروست کرد، و هەروەها ناویدا چەقۆی شەڕابیش ساز کرد؛ جا چاوەڕوانی ئەوەی کرد کە ترێ بەر بدات، بەڵام ترێی کێویی بەر دا. ئێستا، ئەی دانیشتوانی ئۆرشەلیم و پیاوانی یەھوودا، تکایە حوکم بکەن لە نێوان من و ڕەزەکەمدا. چیی تر دەکرا زیاتر بۆ ڕەزەکەم بکرایە، کە من لە ناویدا نەکردبێتم؟ بۆچی، کاتێک چاوەڕوانی ئەوەی کردم کە ترێ بەر بدات، ترێی کێویی بەر دا؟ ئیشایا ٥:١–٤.</w:t>
      </w:r>
    </w:p>
    <w:p>
      <w:pPr>
        <w:pStyle w:val="ArticleBody"/>
        <w:jc w:val="left"/>
      </w:pP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करार</w:t>
      </w:r>
      <w:r>
        <w:rPr>
          <w:rFonts w:ascii="Times New Roman" w:hAnsi="Times New Roman" w:eastAsia="Times New Roman" w:cs="Times New Roman"/>
        </w:rPr>
        <w:t xml:space="preserve"> </w:t>
      </w:r>
      <w:r>
        <w:rPr>
          <w:rFonts w:ascii="Nirmala UI" w:hAnsi="Nirmala UI" w:eastAsia="Nirmala UI" w:cs="Nirmala UI"/>
        </w:rPr>
        <w:t>दुवैमा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दृष्टान्तले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मण्डलीलाई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उत्पादन</w:t>
      </w:r>
      <w:r>
        <w:rPr>
          <w:rFonts w:ascii="Times New Roman" w:hAnsi="Times New Roman" w:eastAsia="Times New Roman" w:cs="Times New Roman"/>
        </w:rPr>
        <w:t xml:space="preserve"> </w:t>
      </w:r>
      <w:r>
        <w:rPr>
          <w:rFonts w:ascii="Nirmala UI" w:hAnsi="Nirmala UI" w:eastAsia="Nirmala UI" w:cs="Nirmala UI"/>
        </w:rPr>
        <w:t>गर्नका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उठाइएकी</w:t>
      </w:r>
      <w:r>
        <w:rPr>
          <w:rFonts w:ascii="Times New Roman" w:hAnsi="Times New Roman" w:eastAsia="Times New Roman" w:cs="Times New Roman"/>
        </w:rPr>
        <w:t xml:space="preserve"> </w:t>
      </w:r>
      <w:r>
        <w:rPr>
          <w:rFonts w:ascii="Nirmala UI" w:hAnsi="Nirmala UI" w:eastAsia="Nirmala UI" w:cs="Nirmala UI"/>
        </w:rPr>
        <w:t>थिई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नल्याउन</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गरेकाले</w:t>
      </w:r>
      <w:r>
        <w:rPr>
          <w:rFonts w:ascii="Times New Roman" w:hAnsi="Times New Roman" w:eastAsia="Times New Roman" w:cs="Times New Roman"/>
        </w:rPr>
        <w:t xml:space="preserve"> </w:t>
      </w:r>
      <w:r>
        <w:rPr>
          <w:rFonts w:ascii="Nirmala UI" w:hAnsi="Nirmala UI" w:eastAsia="Nirmala UI" w:cs="Nirmala UI"/>
        </w:rPr>
        <w:t>परमेश्वरद्वारा</w:t>
      </w:r>
      <w:r>
        <w:rPr>
          <w:rFonts w:ascii="Times New Roman" w:hAnsi="Times New Roman" w:eastAsia="Times New Roman" w:cs="Times New Roman"/>
        </w:rPr>
        <w:t xml:space="preserve"> </w:t>
      </w:r>
      <w:r>
        <w:rPr>
          <w:rFonts w:ascii="Nirmala UI" w:hAnsi="Nirmala UI" w:eastAsia="Nirmala UI" w:cs="Nirmala UI"/>
        </w:rPr>
        <w:t>तिरस्कृत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यशैया</w:t>
      </w:r>
      <w:r>
        <w:rPr>
          <w:rFonts w:ascii="Times New Roman" w:hAnsi="Times New Roman" w:eastAsia="Times New Roman" w:cs="Times New Roman"/>
        </w:rPr>
        <w:t xml:space="preserve"> </w:t>
      </w:r>
      <w:r>
        <w:rPr>
          <w:rFonts w:ascii="Nirmala UI" w:hAnsi="Nirmala UI" w:eastAsia="Nirmala UI" w:cs="Nirmala UI"/>
        </w:rPr>
        <w:t>पाँचमा</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निष्कर्षमा</w:t>
      </w:r>
      <w:r>
        <w:rPr>
          <w:rFonts w:ascii="Times New Roman" w:hAnsi="Times New Roman" w:eastAsia="Times New Roman" w:cs="Times New Roman"/>
        </w:rPr>
        <w:t xml:space="preserve">, </w:t>
      </w:r>
      <w:r>
        <w:rPr>
          <w:rFonts w:ascii="Nirmala UI" w:hAnsi="Nirmala UI" w:eastAsia="Nirmala UI" w:cs="Nirmala UI"/>
        </w:rPr>
        <w:t>दाखबारीको</w:t>
      </w:r>
      <w:r>
        <w:rPr>
          <w:rFonts w:ascii="Times New Roman" w:hAnsi="Times New Roman" w:eastAsia="Times New Roman" w:cs="Times New Roman"/>
        </w:rPr>
        <w:t xml:space="preserve"> </w:t>
      </w:r>
      <w:r>
        <w:rPr>
          <w:rFonts w:ascii="Nirmala UI" w:hAnsi="Nirmala UI" w:eastAsia="Nirmala UI" w:cs="Nirmala UI"/>
        </w:rPr>
        <w:t>दण्डको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w:t>
      </w:r>
      <w:r>
        <w:rPr>
          <w:rFonts w:ascii="Nirmala UI" w:hAnsi="Nirmala UI" w:eastAsia="Nirmala UI" w:cs="Nirmala UI"/>
        </w:rPr>
        <w:t>जातिहरूका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दाखबारी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झण्डा</w:t>
      </w:r>
      <w:r>
        <w:rPr>
          <w:rFonts w:ascii="Times New Roman" w:hAnsi="Times New Roman" w:eastAsia="Times New Roman" w:cs="Times New Roman"/>
        </w:rPr>
        <w:t xml:space="preserve"> </w:t>
      </w:r>
      <w:r>
        <w:rPr>
          <w:rFonts w:ascii="Nirmala UI" w:hAnsi="Nirmala UI" w:eastAsia="Nirmala UI" w:cs="Nirmala UI"/>
        </w:rPr>
        <w:t>होइन।</w:t>
      </w:r>
    </w:p>
    <w:p>
      <w:pPr>
        <w:pStyle w:val="ArticleScripture"/>
        <w:jc w:val="left"/>
      </w:pPr>
      <w:r>
        <w:rPr>
          <w:rFonts w:ascii="Times New Roman" w:hAnsi="Times New Roman" w:eastAsia="Times New Roman" w:cs="Times New Roman"/>
        </w:rPr>
        <w:t>لہٰذا خداوند کا غضب اُس کی قوم پر بھڑک اُٹھا، اور اُس نے اُن کے خلاف اپنا ہاتھ بڑھایا اور اُنہیں مارا؛ اور پہاڑ لرز اُٹھے، اور اُن کی لاشیں گلیوں کے بیچ پھاڑ دی گئیں۔ اس سب کے باوجود اُس کا غضب ٹلا نہیں، بلکہ اُس کا ہاتھ اب بھی بڑھا ہوا ہے۔ اور وہ دُور کی قوموں کے لیے ایک جھنڈا بلند کرے گا، اور زمین کے کنارے سے اُنہیں سِسکار کر بُلائے گا؛ اور دیکھو، وہ جلدی سے نہایت تیزی کے ساتھ آ جائیں گی۔ یسعیاہ 5:25، 26۔</w:t>
      </w:r>
    </w:p>
    <w:p>
      <w:pPr>
        <w:pStyle w:val="ArticleBody"/>
        <w:jc w:val="left"/>
      </w:pPr>
      <w:r>
        <w:rPr>
          <w:rFonts w:ascii="Times New Roman" w:hAnsi="Times New Roman" w:eastAsia="Times New Roman" w:cs="Times New Roman"/>
        </w:rPr>
        <w:t>Mi Jesús upe rire opurahéi hag̃ua pe purahéi peteĩ parábola ramo, ipahaite ningo peteĩchaite avei tekotevẽva ha hesakã porãva.</w:t>
      </w:r>
    </w:p>
    <w:p>
      <w:pPr>
        <w:pStyle w:val="ArticleScripture"/>
        <w:jc w:val="left"/>
      </w:pPr>
      <w:r>
        <w:rPr>
          <w:rFonts w:ascii="Times New Roman" w:hAnsi="Times New Roman" w:eastAsia="Times New Roman" w:cs="Times New Roman"/>
        </w:rPr>
        <w:t>دەنگەکی تری ئەم مەسەلەیە ببیستن: خاوەن‌ماڵێک هەبوو، ڕەزێکی چاند، و دەوری بە پەرداخێک گرت، و لە ناویدا مەعسەرێکی شەراب هەڵکەند، و بڵندخانەیەکی دروست کرد، و دایە بە ڕەزەوانان، و چوو بۆ وڵاتێکی دوور. کاتێک کاتی بەرهەم نزیک بووەوە، خزمەتکارەکانی نارد بۆ لای ڕەزەوانان، تاکو بەرهەمەکانی وەرگرن. بەڵام ڕەزەوانان خزمەتکارەکانی ئەوەیان گرت، یەکێکیان لێدا، یەکێکی تریان کوشت، و یەکێکی تریان بەردباران کرد. دیسان خزمەتکارانی تری نارد، زیاتر لە یەکەمینان؛ ئەوانیش هەمان کارەیان پێ کردن. بەڵام لە کۆتاییدا کوڕەکەی خۆی بۆیان نارد، ووتی: «ڕێز لە کوڕەکەم دەگرن.» بەڵام کاتێک ڕەزەوانان کوڕەکەیان بینی، لەنێوان خۆیاندا گوتیان: «ئەمە میراتگرەکەیە؛ وەرن با بیکوژین و میراتەکەی داگیر بکەین.» جا گرتیان، و فڕێیان دایە دەرەوەی ڕەزەکە، و کوشتیان. کەواتە کاتێک خاوەنی ڕەزەکە دێت، چی بەو ڕەزەوانانە دەکات؟ پێیان وت: «بە شێوەیەکی پڕ لە نەهامەتی ئەو پیاوە بەدکارانە لەناودەبات، و ڕەزەکە دەداتە ڕەزەوانانی تر، کە بەرهەمەکانی لە وەرزەکانی خۆیاندا پێ دەدەنەوە.» عیسا پێی فەرموون: «ئایا هەرگیز لە نووسراوە پیرۆزەکاندا نەخوێندووەتەوە: “ئەو بەردەی بیناکاران ڕەتیان کردەوە، هەمان ئەوە بووە سەری گۆشە؛ ئەمە لەلایەن یەزدانەوە بووە، و لە چاوی ئێمەدا سەرسوڕهێنەرە”؟ بۆیە پێتان دەڵێم، شانشینی خودا لێتان دەسەنرێتەوە، و دەدرێتە نەتەوەیەک کە بەرهەمەکانی ئەوە دەهێنێتە بەرهەم. هەرکەسێک بکەوێتە سەر ئەم بەردە، دەشکێت؛ بەڵام ئەوەی ئەم بەردە بکەوێتە سەری، وەک خۆڵی دەهارێت.» کاتێک سەرۆک کاهینان و فەریسییەکان مەسەلەکانیان بیست، تێگەیشتن کە دەربارەی ئەوان دەفەرموو. مەتا 21:33–45.</w:t>
      </w:r>
    </w:p>
    <w:p>
      <w:pPr>
        <w:pStyle w:val="ArticleBody"/>
        <w:jc w:val="left"/>
      </w:pPr>
      <w:r>
        <w:rPr>
          <w:rFonts w:ascii="Times New Roman" w:hAnsi="Times New Roman" w:eastAsia="Times New Roman" w:cs="Times New Roman"/>
        </w:rPr>
        <w:t>כְּנִסִיַּת הָאַדְוֶנְטִיסְטִים שׁוֹמְרֵי הַיּוֹם הַשְּׁבִיעִי הַלָּאוֹדִיקֵיאָנִית אֵינֶנָּה הַנֵּס הַמּוּרָם. הַכֶּרֶם בְּאַחֲרִית הַיָּמִים, אֲשֶׁר נִרְמַז בְּיִשְׂרָאֵל הָעַתִּיקָה, הוּא כְּנִסִיַּת הָאַדְוֶנְטִיסְטִים שׁוֹמְרֵי הַיּוֹם הַשְּׁבִיעִי הַלָּאוֹדִיקֵיאָנִית, אַךְ תִּהְיֶה אֻמָּה אֲשֶׁר תָּבִיא אֶת הַפְּרִי הַמַּכְשִׁיר אוֹתָהּ לִהְיוֹת הַבִּכּוּרִים, וְזֶהוּ מַה שֶּׁהַמֵּאָה וְאַרְבָּעִים וְאַרְבָּעָה אֶלֶף הֵם.</w:t>
      </w:r>
    </w:p>
    <w:p>
      <w:pPr>
        <w:pStyle w:val="ArticleScripture"/>
        <w:jc w:val="left"/>
      </w:pP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സ്ത്രീകളാൽ</w:t>
      </w:r>
      <w:r>
        <w:rPr>
          <w:rFonts w:ascii="Times New Roman" w:hAnsi="Times New Roman" w:eastAsia="Times New Roman" w:cs="Times New Roman"/>
        </w:rPr>
        <w:t xml:space="preserve"> </w:t>
      </w:r>
      <w:r>
        <w:rPr>
          <w:rFonts w:ascii="Nirmala UI" w:hAnsi="Nirmala UI" w:eastAsia="Nirmala UI" w:cs="Nirmala UI"/>
        </w:rPr>
        <w:t>അശുദ്ധരാക്കപ്പെട്ടിട്ടില്ലാത്തവർ</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കന്യകരാകുന്നു</w:t>
      </w:r>
      <w:r>
        <w:rPr>
          <w:rFonts w:ascii="Times New Roman" w:hAnsi="Times New Roman" w:eastAsia="Times New Roman" w:cs="Times New Roman"/>
        </w:rPr>
        <w:t xml:space="preserve">. </w:t>
      </w:r>
      <w:r>
        <w:rPr>
          <w:rFonts w:ascii="Nirmala UI" w:hAnsi="Nirmala UI" w:eastAsia="Nirmala UI" w:cs="Nirmala UI"/>
        </w:rPr>
        <w:t>കുഞ്ഞാടു</w:t>
      </w:r>
      <w:r>
        <w:rPr>
          <w:rFonts w:ascii="Times New Roman" w:hAnsi="Times New Roman" w:eastAsia="Times New Roman" w:cs="Times New Roman"/>
        </w:rPr>
        <w:t xml:space="preserve"> </w:t>
      </w:r>
      <w:r>
        <w:rPr>
          <w:rFonts w:ascii="Nirmala UI" w:hAnsi="Nirmala UI" w:eastAsia="Nirmala UI" w:cs="Nirmala UI"/>
        </w:rPr>
        <w:t>എവിടേക്കു</w:t>
      </w:r>
      <w:r>
        <w:rPr>
          <w:rFonts w:ascii="Times New Roman" w:hAnsi="Times New Roman" w:eastAsia="Times New Roman" w:cs="Times New Roman"/>
        </w:rPr>
        <w:t xml:space="preserve"> </w:t>
      </w:r>
      <w:r>
        <w:rPr>
          <w:rFonts w:ascii="Nirmala UI" w:hAnsi="Nirmala UI" w:eastAsia="Nirmala UI" w:cs="Nirmala UI"/>
        </w:rPr>
        <w:t>പോകുന്നുവോ</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അവിടേക്കു</w:t>
      </w:r>
      <w:r>
        <w:rPr>
          <w:rFonts w:ascii="Times New Roman" w:hAnsi="Times New Roman" w:eastAsia="Times New Roman" w:cs="Times New Roman"/>
        </w:rPr>
        <w:t xml:space="preserve"> </w:t>
      </w:r>
      <w:r>
        <w:rPr>
          <w:rFonts w:ascii="Nirmala UI" w:hAnsi="Nirmala UI" w:eastAsia="Nirmala UI" w:cs="Nirmala UI"/>
        </w:rPr>
        <w:t>അനുഗമിക്കുന്നവർ</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ദൈവത്തിനും</w:t>
      </w:r>
      <w:r>
        <w:rPr>
          <w:rFonts w:ascii="Times New Roman" w:hAnsi="Times New Roman" w:eastAsia="Times New Roman" w:cs="Times New Roman"/>
        </w:rPr>
        <w:t xml:space="preserve"> </w:t>
      </w:r>
      <w:r>
        <w:rPr>
          <w:rFonts w:ascii="Nirmala UI" w:hAnsi="Nirmala UI" w:eastAsia="Nirmala UI" w:cs="Nirmala UI"/>
        </w:rPr>
        <w:t>കുഞ്ഞാടിന്നും</w:t>
      </w:r>
      <w:r>
        <w:rPr>
          <w:rFonts w:ascii="Times New Roman" w:hAnsi="Times New Roman" w:eastAsia="Times New Roman" w:cs="Times New Roman"/>
        </w:rPr>
        <w:t xml:space="preserve"> </w:t>
      </w:r>
      <w:r>
        <w:rPr>
          <w:rFonts w:ascii="Nirmala UI" w:hAnsi="Nirmala UI" w:eastAsia="Nirmala UI" w:cs="Nirmala UI"/>
        </w:rPr>
        <w:t>ആദ്യഫലങ്ങളായി</w:t>
      </w:r>
      <w:r>
        <w:rPr>
          <w:rFonts w:ascii="Times New Roman" w:hAnsi="Times New Roman" w:eastAsia="Times New Roman" w:cs="Times New Roman"/>
        </w:rPr>
        <w:t xml:space="preserve">, </w:t>
      </w:r>
      <w:r>
        <w:rPr>
          <w:rFonts w:ascii="Nirmala UI" w:hAnsi="Nirmala UI" w:eastAsia="Nirmala UI" w:cs="Nirmala UI"/>
        </w:rPr>
        <w:t>മനുഷ്യരുടെ</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വീണ്ടെടുക്കപ്പെട്ടവർ</w:t>
      </w:r>
      <w:r>
        <w:rPr>
          <w:rFonts w:ascii="Times New Roman" w:hAnsi="Times New Roman" w:eastAsia="Times New Roman" w:cs="Times New Roman"/>
        </w:rPr>
        <w:t xml:space="preserve"> </w:t>
      </w:r>
      <w:r>
        <w:rPr>
          <w:rFonts w:ascii="Nirmala UI" w:hAnsi="Nirmala UI" w:eastAsia="Nirmala UI" w:cs="Nirmala UI"/>
        </w:rPr>
        <w:t>ഇവരാണ്</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14:4.</w:t>
      </w:r>
    </w:p>
    <w:p>
      <w:pPr>
        <w:pStyle w:val="ArticleBody"/>
        <w:jc w:val="left"/>
      </w:pPr>
      <w:r>
        <w:rPr>
          <w:rFonts w:ascii="Ebrima" w:hAnsi="Ebrima" w:eastAsia="Ebrima" w:cs="Ebrima"/>
        </w:rPr>
        <w:t>ከመጨረሻው</w:t>
      </w:r>
      <w:r>
        <w:rPr>
          <w:rFonts w:ascii="Times New Roman" w:hAnsi="Times New Roman" w:eastAsia="Times New Roman" w:cs="Times New Roman"/>
        </w:rPr>
        <w:t xml:space="preserve"> </w:t>
      </w:r>
      <w:r>
        <w:rPr>
          <w:rFonts w:ascii="Ebrima" w:hAnsi="Ebrima" w:eastAsia="Ebrima" w:cs="Ebrima"/>
        </w:rPr>
        <w:t>መከር</w:t>
      </w:r>
      <w:r>
        <w:rPr>
          <w:rFonts w:ascii="Times New Roman" w:hAnsi="Times New Roman" w:eastAsia="Times New Roman" w:cs="Times New Roman"/>
        </w:rPr>
        <w:t xml:space="preserve"> </w:t>
      </w:r>
      <w:r>
        <w:rPr>
          <w:rFonts w:ascii="Ebrima" w:hAnsi="Ebrima" w:eastAsia="Ebrima" w:cs="Ebrima"/>
        </w:rPr>
        <w:t>ለማስገባት</w:t>
      </w:r>
      <w:r>
        <w:rPr>
          <w:rFonts w:ascii="Times New Roman" w:hAnsi="Times New Roman" w:eastAsia="Times New Roman" w:cs="Times New Roman"/>
        </w:rPr>
        <w:t xml:space="preserve"> </w:t>
      </w:r>
      <w:r>
        <w:rPr>
          <w:rFonts w:ascii="Ebrima" w:hAnsi="Ebrima" w:eastAsia="Ebrima" w:cs="Ebrima"/>
        </w:rPr>
        <w:t>በቤቱ</w:t>
      </w:r>
      <w:r>
        <w:rPr>
          <w:rFonts w:ascii="Times New Roman" w:hAnsi="Times New Roman" w:eastAsia="Times New Roman" w:cs="Times New Roman"/>
        </w:rPr>
        <w:t xml:space="preserve"> </w:t>
      </w:r>
      <w:r>
        <w:rPr>
          <w:rFonts w:ascii="Ebrima" w:hAnsi="Ebrima" w:eastAsia="Ebrima" w:cs="Ebrima"/>
        </w:rPr>
        <w:t>ባለቤት</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ዓርማ</w:t>
      </w:r>
      <w:r>
        <w:rPr>
          <w:rFonts w:ascii="Times New Roman" w:hAnsi="Times New Roman" w:eastAsia="Times New Roman" w:cs="Times New Roman"/>
        </w:rPr>
        <w:t xml:space="preserve"> </w:t>
      </w:r>
      <w:r>
        <w:rPr>
          <w:rFonts w:ascii="Ebrima" w:hAnsi="Ebrima" w:eastAsia="Ebrima" w:cs="Ebrima"/>
        </w:rPr>
        <w:t>ይጠቀሙባቸዋል።</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የሙሴን</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የጣለች</w:t>
      </w:r>
      <w:r>
        <w:rPr>
          <w:rFonts w:ascii="Times New Roman" w:hAnsi="Times New Roman" w:eastAsia="Times New Roman" w:cs="Times New Roman"/>
        </w:rPr>
        <w:t xml:space="preserve"> </w:t>
      </w:r>
      <w:r>
        <w:rPr>
          <w:rFonts w:ascii="Ebrima" w:hAnsi="Ebrima" w:eastAsia="Ebrima" w:cs="Ebrima"/>
        </w:rPr>
        <w:t>የወይን</w:t>
      </w:r>
      <w:r>
        <w:rPr>
          <w:rFonts w:ascii="Times New Roman" w:hAnsi="Times New Roman" w:eastAsia="Times New Roman" w:cs="Times New Roman"/>
        </w:rPr>
        <w:t xml:space="preserve"> </w:t>
      </w:r>
      <w:r>
        <w:rPr>
          <w:rFonts w:ascii="Ebrima" w:hAnsi="Ebrima" w:eastAsia="Ebrima" w:cs="Ebrima"/>
        </w:rPr>
        <w:t>እርሻ</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እየበረታ</w:t>
      </w:r>
      <w:r>
        <w:rPr>
          <w:rFonts w:ascii="Times New Roman" w:hAnsi="Times New Roman" w:eastAsia="Times New Roman" w:cs="Times New Roman"/>
        </w:rPr>
        <w:t xml:space="preserve"> </w:t>
      </w:r>
      <w:r>
        <w:rPr>
          <w:rFonts w:ascii="Ebrima" w:hAnsi="Ebrima" w:eastAsia="Ebrima" w:cs="Ebrima"/>
        </w:rPr>
        <w:t>የሚሄድ</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ጨለማ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ቀስ</w:t>
      </w:r>
      <w:r>
        <w:rPr>
          <w:rFonts w:ascii="Times New Roman" w:hAnsi="Times New Roman" w:eastAsia="Times New Roman" w:cs="Times New Roman"/>
        </w:rPr>
        <w:t xml:space="preserve"> </w:t>
      </w:r>
      <w:r>
        <w:rPr>
          <w:rFonts w:ascii="Ebrima" w:hAnsi="Ebrima" w:eastAsia="Ebrima" w:cs="Ebrima"/>
        </w:rPr>
        <w:t>በቀስ</w:t>
      </w:r>
      <w:r>
        <w:rPr>
          <w:rFonts w:ascii="Times New Roman" w:hAnsi="Times New Roman" w:eastAsia="Times New Roman" w:cs="Times New Roman"/>
        </w:rPr>
        <w:t xml:space="preserve"> </w:t>
      </w:r>
      <w:r>
        <w:rPr>
          <w:rFonts w:ascii="Ebrima" w:hAnsi="Ebrima" w:eastAsia="Ebrima" w:cs="Ebrima"/>
        </w:rPr>
        <w:t>መውረድ</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ዓርማው</w:t>
      </w:r>
      <w:r>
        <w:rPr>
          <w:rFonts w:ascii="Times New Roman" w:hAnsi="Times New Roman" w:eastAsia="Times New Roman" w:cs="Times New Roman"/>
        </w:rPr>
        <w:t xml:space="preserve"> “</w:t>
      </w:r>
      <w:r>
        <w:rPr>
          <w:rFonts w:ascii="Ebrima" w:hAnsi="Ebrima" w:eastAsia="Ebrima" w:cs="Ebrima"/>
        </w:rPr>
        <w:t>የእሴይ</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የእሴይ</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ዳዊት፣</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በታሪኩ</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ለሚከራከሩ</w:t>
      </w:r>
      <w:r>
        <w:rPr>
          <w:rFonts w:ascii="Times New Roman" w:hAnsi="Times New Roman" w:eastAsia="Times New Roman" w:cs="Times New Roman"/>
        </w:rPr>
        <w:t xml:space="preserve"> </w:t>
      </w:r>
      <w:r>
        <w:rPr>
          <w:rFonts w:ascii="Ebrima" w:hAnsi="Ebrima" w:eastAsia="Ebrima" w:cs="Ebrima"/>
        </w:rPr>
        <w:t>አይሁድ</w:t>
      </w:r>
      <w:r>
        <w:rPr>
          <w:rFonts w:ascii="Times New Roman" w:hAnsi="Times New Roman" w:eastAsia="Times New Roman" w:cs="Times New Roman"/>
        </w:rPr>
        <w:t xml:space="preserve"> </w:t>
      </w:r>
      <w:r>
        <w:rPr>
          <w:rFonts w:ascii="Ebrima" w:hAnsi="Ebrima" w:eastAsia="Ebrima" w:cs="Ebrima"/>
        </w:rPr>
        <w:t>ያቀረበውን</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መርሕ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ይህንንም</w:t>
      </w:r>
      <w:r>
        <w:rPr>
          <w:rFonts w:ascii="Times New Roman" w:hAnsi="Times New Roman" w:eastAsia="Times New Roman" w:cs="Times New Roman"/>
        </w:rPr>
        <w:t xml:space="preserve"> </w:t>
      </w:r>
      <w:r>
        <w:rPr>
          <w:rFonts w:ascii="Ebrima" w:hAnsi="Ebrima" w:eastAsia="Ebrima" w:cs="Ebrima"/>
        </w:rPr>
        <w:t>የጥንታዊና</w:t>
      </w:r>
      <w:r>
        <w:rPr>
          <w:rFonts w:ascii="Times New Roman" w:hAnsi="Times New Roman" w:eastAsia="Times New Roman" w:cs="Times New Roman"/>
        </w:rPr>
        <w:t xml:space="preserve"> </w:t>
      </w:r>
      <w:r>
        <w:rPr>
          <w:rFonts w:ascii="Ebrima" w:hAnsi="Ebrima" w:eastAsia="Ebrima" w:cs="Ebrima"/>
        </w:rPr>
        <w:t>የዘመናዊ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ያልታመኑ</w:t>
      </w:r>
      <w:r>
        <w:rPr>
          <w:rFonts w:ascii="Times New Roman" w:hAnsi="Times New Roman" w:eastAsia="Times New Roman" w:cs="Times New Roman"/>
        </w:rPr>
        <w:t xml:space="preserve"> </w:t>
      </w:r>
      <w:r>
        <w:rPr>
          <w:rFonts w:ascii="Ebrima" w:hAnsi="Ebrima" w:eastAsia="Ebrima" w:cs="Ebrima"/>
        </w:rPr>
        <w:t>አትክልተኞች</w:t>
      </w:r>
      <w:r>
        <w:rPr>
          <w:rFonts w:ascii="Times New Roman" w:hAnsi="Times New Roman" w:eastAsia="Times New Roman" w:cs="Times New Roman"/>
        </w:rPr>
        <w:t xml:space="preserve"> </w:t>
      </w:r>
      <w:r>
        <w:rPr>
          <w:rFonts w:ascii="Ebrima" w:hAnsi="Ebrima" w:eastAsia="Ebrima" w:cs="Ebrima"/>
        </w:rPr>
        <w:t>ለመረዳት</w:t>
      </w:r>
      <w:r>
        <w:rPr>
          <w:rFonts w:ascii="Times New Roman" w:hAnsi="Times New Roman" w:eastAsia="Times New Roman" w:cs="Times New Roman"/>
        </w:rPr>
        <w:t xml:space="preserve"> </w:t>
      </w:r>
      <w:r>
        <w:rPr>
          <w:rFonts w:ascii="Ebrima" w:hAnsi="Ebrima" w:eastAsia="Ebrima" w:cs="Ebrima"/>
        </w:rPr>
        <w:t>እምቢ</w:t>
      </w:r>
      <w:r>
        <w:rPr>
          <w:rFonts w:ascii="Times New Roman" w:hAnsi="Times New Roman" w:eastAsia="Times New Roman" w:cs="Times New Roman"/>
        </w:rPr>
        <w:t xml:space="preserve"> </w:t>
      </w:r>
      <w:r>
        <w:rPr>
          <w:rFonts w:ascii="Ebrima" w:hAnsi="Ebrima" w:eastAsia="Ebrima" w:cs="Ebrima"/>
        </w:rPr>
        <w:t>ይላሉ።</w:t>
      </w:r>
    </w:p>
    <w:p>
      <w:pPr>
        <w:pStyle w:val="ArticleScripture"/>
        <w:jc w:val="left"/>
      </w:pPr>
      <w:r>
        <w:rPr>
          <w:rFonts w:ascii="Times New Roman" w:hAnsi="Times New Roman" w:eastAsia="Times New Roman" w:cs="Times New Roman"/>
        </w:rPr>
        <w:t>کَنُو اَلحُودُول هِيمٍ، يِجُودُ وِرْ عِسَّى، الّذِي سَيَقِفُ رَايَةً لِلشُّعُوبِ؛ إِلَيْهِ سَتَطْلُبُ الأُمَمُ، وَرَاحَتُهُ تَكُونُ مَجِيدَةً. إشعياء 11:10.</w:t>
      </w:r>
    </w:p>
    <w:p>
      <w:pPr>
        <w:pStyle w:val="ArticleBody"/>
        <w:jc w:val="left"/>
      </w:pPr>
      <w:r>
        <w:rPr>
          <w:rFonts w:ascii="Times New Roman" w:hAnsi="Times New Roman" w:eastAsia="Times New Roman" w:cs="Times New Roman"/>
        </w:rPr>
        <w:t>Հստակ է, որ Սիսթեր Ուայթը և Ջեյմս Ուայթը նույնացնում են, որ մինչև 1856 թվականը շարժումը դարձել էր Լաոդիկեա. ուստի ե՞րբ է նա նշում, թե այն երբևէ ընդունել է Լաոդիկեացիներին ուղղված պատգամը։ Երբեք։ Մեր առաջին սխալը այն պնդումն ընդունելն է, թե Յոթերորդ օրվա ադվենտիստական եկեղեցին իր պատմության ընթացքում հաղթական եկեղեցի է եղել։ Իրականությունը հենց հակառակն է։ Եթե ընդունենք այդ առաջին սխալ նախադրույթը, ապա մեր աչքերը կփակվեն այն մարգարեական փաստերի առաջ, որոնք այլ բան են ուսուցանում։ Օրինակ՝ Սիսթեր Ուայթը բազմիցս նշում է, որ հին բառացի Իսրայելի պատմությունը պատկերում է նոր ժամանակների հոգևոր Իսրայելի փորձառությունն ու պատմությունը։ Հաճախ, երբ նա հին Իսրայելին ներկայացնում է որպես օրինակ նոր Իսրայելի համար, միաժամանակ մեջբերում է նույն իրողության մասին Պողոս առաքյալի դասական հայտարարությունը։</w:t>
      </w:r>
    </w:p>
    <w:p>
      <w:pPr>
        <w:pStyle w:val="ArticleScripture"/>
        <w:jc w:val="left"/>
      </w:pPr>
      <w:r>
        <w:rPr>
          <w:rFonts w:ascii="Times New Roman" w:hAnsi="Times New Roman" w:eastAsia="Times New Roman" w:cs="Times New Roman"/>
        </w:rPr>
        <w:t>Kaná'lla yéegut sáa shíx̱ʼi yáx̱ x̱ʼéixʼ áwé has du jeeyís wé ax̱ toowú yéi jineiyí; ándi has du ee toochʼ áwé woogoot, haa jeeyís wooch x̱ʼéixʼ, yee át wé áa x̱ʼéixʼi yei yatee, yáanáx̱ áwé x̱ʼéixʼ has woo. 1 Corinthians 10:11.</w:t>
      </w:r>
    </w:p>
    <w:p>
      <w:pPr>
        <w:pStyle w:val="ArticleBody"/>
        <w:jc w:val="left"/>
      </w:pPr>
      <w:r>
        <w:rPr>
          <w:rFonts w:ascii="Segoe UI Historic" w:hAnsi="Segoe UI Historic" w:eastAsia="Segoe UI Historic" w:cs="Segoe UI Historic"/>
        </w:rPr>
        <w:t>ܫܠܝܚܐ</w:t>
      </w:r>
      <w:r>
        <w:rPr>
          <w:rFonts w:ascii="Times New Roman" w:hAnsi="Times New Roman" w:eastAsia="Times New Roman" w:cs="Times New Roman"/>
        </w:rPr>
        <w:t xml:space="preserve"> </w:t>
      </w:r>
      <w:r>
        <w:rPr>
          <w:rFonts w:ascii="Segoe UI Historic" w:hAnsi="Segoe UI Historic" w:eastAsia="Segoe UI Historic" w:cs="Segoe UI Historic"/>
        </w:rPr>
        <w:t>ܦܘܠܘܣ</w:t>
      </w:r>
      <w:r>
        <w:rPr>
          <w:rFonts w:ascii="Times New Roman" w:hAnsi="Times New Roman" w:eastAsia="Times New Roman" w:cs="Times New Roman"/>
        </w:rPr>
        <w:t xml:space="preserve"> </w:t>
      </w:r>
      <w:r>
        <w:rPr>
          <w:rFonts w:ascii="Segoe UI Historic" w:hAnsi="Segoe UI Historic" w:eastAsia="Segoe UI Historic" w:cs="Segoe UI Historic"/>
        </w:rPr>
        <w:t>ܒܦܣܘܩܐ</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ܡܣܟܡ</w:t>
      </w:r>
      <w:r>
        <w:rPr>
          <w:rFonts w:ascii="Times New Roman" w:hAnsi="Times New Roman" w:eastAsia="Times New Roman" w:cs="Times New Roman"/>
        </w:rPr>
        <w:t xml:space="preserve"> </w:t>
      </w:r>
      <w:r>
        <w:rPr>
          <w:rFonts w:ascii="Segoe UI Historic" w:hAnsi="Segoe UI Historic" w:eastAsia="Segoe UI Historic" w:cs="Segoe UI Historic"/>
        </w:rPr>
        <w:t>ܠܥܣܪܐ</w:t>
      </w:r>
      <w:r>
        <w:rPr>
          <w:rFonts w:ascii="Times New Roman" w:hAnsi="Times New Roman" w:eastAsia="Times New Roman" w:cs="Times New Roman"/>
        </w:rPr>
        <w:t xml:space="preserve"> </w:t>
      </w:r>
      <w:r>
        <w:rPr>
          <w:rFonts w:ascii="Segoe UI Historic" w:hAnsi="Segoe UI Historic" w:eastAsia="Segoe UI Historic" w:cs="Segoe UI Historic"/>
        </w:rPr>
        <w:t>ܦܣܘܩ</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ܕܩܕܡܘܗܝ</w:t>
      </w:r>
      <w:r>
        <w:rPr>
          <w:rFonts w:ascii="Microsoft Himalaya" w:hAnsi="Microsoft Himalaya" w:eastAsia="Microsoft Himalaya" w:cs="Microsoft Himalaya"/>
        </w:rPr>
        <w:t>།</w:t>
      </w:r>
    </w:p>
    <w:p>
      <w:pPr>
        <w:pStyle w:val="ArticleScripture"/>
        <w:jc w:val="left"/>
      </w:pPr>
      <w:r>
        <w:rPr>
          <w:rFonts w:ascii="Times New Roman" w:hAnsi="Times New Roman" w:eastAsia="Times New Roman" w:cs="Times New Roman"/>
        </w:rPr>
        <w:t>Na kɔmɔri ba, nya nfa nun ma n ka, mɔɔ mɔ nyi de na a yela a yɛn baabɛɛ zoro la ŋmɔri tɛrɛ la tɛŋ, ka mɔɔ mɔ nyi paari la kyiri la kɔ; ka mɔɔ mɔ nyi batisi la Musa ni tɛŋ la ni kɔ la puuni; ka mɔɔ mɔ nyi di la yɔlɔ yele la nyaama tɔɔri kelen; ka mɔɔ mɔ nyi mi la yɔlɔ yele la nyaama minnu kelen; bari u ba mi la na yɔlɔ yele la Taa la minnu, min taa ka tɛ di la u bɔ; ka Taa wo la Kristo. N kaa, Ŋuntu mɔ n yi sɛɛri la ba mɔɔ cam ni, bari a ba yɛlɛ la gbeejo la burun la. N wo yele nɛɛ le yɛn yeŋyɛnri yele le, walasa yɛn da tege yele juguwɔri nɛɛ la, a ba tege la nɛɛ di ni. Nya na le yɛn kɛ baŋkuro nutɔri, a sɛɛri mɔɔ cam kɛ la, i sɔŋɔri na a sɛbɛ la: «Mɔɔ la sigi la walasa a di ka a mi, ka a yiri la walasa a ciya.» Nya na le yɛn kɛra yɛrebo, a sɛɛri mɔɔ cam kɛ la, ka a ba yira la mɔɔ wagbara tɔɔri ni taanri ka a kelen la dɔgɔri kelen puuni. Nya na le yɛn kɛ Kristo gɛɛri, a sɛɛri mɔɔ cam kɛ la gɛɛri wo, ka jɔrɔba la ba halaki la. Nya na le yɛn murmuri, a sɛɛri mɔɔ cam murmuri la, ka Halaki-kɛri la ba halaki la. 1 Korintie 10:1–10.</w:t>
      </w:r>
    </w:p>
    <w:p>
      <w:pPr>
        <w:pStyle w:val="ArticleBody"/>
        <w:jc w:val="left"/>
      </w:pPr>
      <w:r>
        <w:rPr>
          <w:rFonts w:ascii="Times New Roman" w:hAnsi="Times New Roman" w:eastAsia="Times New Roman" w:cs="Times New Roman"/>
        </w:rPr>
        <w:t>Pablo y la Hermana White no utilizan al antiguo Israel como ejemplo de un pueblo victorioso y justo. Todo lo contrario. Pablo resume esos primeros diez versículos en el versículo once, y luego, en el versículo siguiente, expone la lección que la historia del antiguo Israel ha de transmitir a quienes vean.</w:t>
      </w:r>
    </w:p>
    <w:p>
      <w:pPr>
        <w:pStyle w:val="ArticleScripture"/>
        <w:jc w:val="left"/>
      </w:pPr>
      <w:r>
        <w:rPr>
          <w:rFonts w:ascii="Times New Roman" w:hAnsi="Times New Roman" w:eastAsia="Times New Roman" w:cs="Times New Roman"/>
        </w:rPr>
        <w:t>Zamuninhi uyo anofunga kuti amire, ngaachenjere kuti arege kuwa. 1 Vakorinte 10:12.</w:t>
      </w:r>
    </w:p>
    <w:p>
      <w:pPr>
        <w:pStyle w:val="ArticleBody"/>
        <w:jc w:val="left"/>
      </w:pPr>
      <w:r>
        <w:rPr>
          <w:rFonts w:ascii="Times New Roman" w:hAnsi="Times New Roman" w:eastAsia="Times New Roman" w:cs="Times New Roman"/>
        </w:rPr>
        <w:t>ئەسرائیلی کۆن نموونەی گەلێکن کە لەلایەن خوداوە بانگهێشت کران، لەلایەن خوداوە ڕێبەرایەتی کران، پێشبینییەکانی خودایان تەواو کرد، و هەنگاو بە هەنگاو لە دژی خودا یاغیبوون، و لە کۆتاییدا خاوەنی ئاسمان و زەویان لە خاچ دا! ئادڤێنتیستەکان هیچ کێشەیەکیان نییە دان بەمانەدا بنێن کە ئەمانە ڕاستییەکانن سەبارەت بە ئەسرائیلی کۆن، بەڵام بە دەگمەن ئاگادارییە ئاڕاستەکراوەکە ڕێگەی پێدەدەن لە کوێریی لاودیکیایان تێپەڕێت. لەوانەیە ئەو دەقانە بهێننەوە کە لەواندا خوشک وایت کڵێسا وەک هەڵووی چاوی خودا دەناسێنێت، و هەر وایە، بەڵام خۆشەویستی خودا بۆ گەلەکەی پەردەیەک بەسەر دۆخی ڕاستەقینەیاندا ناخات. ئەوانەی خۆشیدەوێت سەرزەنشت دەکات و تەمبێی دەکات. هەرچەندە کڵێسای خودا هەڵووی چاوی خودایە، عیسا زۆر ڕوون و ئاشکرا پەیوەندی خۆی لەگەڵ ئەو هەڵووە، هەڵووی خۆی، پوختە کردەوە.</w:t>
      </w:r>
    </w:p>
    <w:p>
      <w:pPr>
        <w:pStyle w:val="ArticleScripture"/>
        <w:jc w:val="left"/>
      </w:pPr>
      <w:r>
        <w:rPr>
          <w:rFonts w:ascii="Segoe UI Historic" w:hAnsi="Segoe UI Historic" w:eastAsia="Segoe UI Historic" w:cs="Segoe UI Historic"/>
        </w:rPr>
        <w:t>ܐܘܪܫܠܡ</w:t>
      </w:r>
      <w:r>
        <w:rPr>
          <w:rFonts w:ascii="Times New Roman" w:hAnsi="Times New Roman" w:eastAsia="Times New Roman" w:cs="Times New Roman"/>
        </w:rPr>
        <w:t xml:space="preserve">، </w:t>
      </w:r>
      <w:r>
        <w:rPr>
          <w:rFonts w:ascii="Segoe UI Historic" w:hAnsi="Segoe UI Historic" w:eastAsia="Segoe UI Historic" w:cs="Segoe UI Historic"/>
        </w:rPr>
        <w:t>ܐܘܪܫܠܡ</w:t>
      </w:r>
      <w:r>
        <w:rPr>
          <w:rFonts w:ascii="Times New Roman" w:hAnsi="Times New Roman" w:eastAsia="Times New Roman" w:cs="Times New Roman"/>
        </w:rPr>
        <w:t xml:space="preserve">، </w:t>
      </w:r>
      <w:r>
        <w:rPr>
          <w:rFonts w:ascii="Segoe UI Historic" w:hAnsi="Segoe UI Historic" w:eastAsia="Segoe UI Historic" w:cs="Segoe UI Historic"/>
        </w:rPr>
        <w:t>ܐܝܬܝ</w:t>
      </w:r>
      <w:r>
        <w:rPr>
          <w:rFonts w:ascii="Times New Roman" w:hAnsi="Times New Roman" w:eastAsia="Times New Roman" w:cs="Times New Roman"/>
        </w:rPr>
        <w:t xml:space="preserve"> </w:t>
      </w:r>
      <w:r>
        <w:rPr>
          <w:rFonts w:ascii="Segoe UI Historic" w:hAnsi="Segoe UI Historic" w:eastAsia="Segoe UI Historic" w:cs="Segoe UI Historic"/>
        </w:rPr>
        <w:t>ܕܩܛܠܬܝ</w:t>
      </w:r>
      <w:r>
        <w:rPr>
          <w:rFonts w:ascii="Times New Roman" w:hAnsi="Times New Roman" w:eastAsia="Times New Roman" w:cs="Times New Roman"/>
        </w:rPr>
        <w:t xml:space="preserve"> </w:t>
      </w:r>
      <w:r>
        <w:rPr>
          <w:rFonts w:ascii="Segoe UI Historic" w:hAnsi="Segoe UI Historic" w:eastAsia="Segoe UI Historic" w:cs="Segoe UI Historic"/>
        </w:rPr>
        <w:t>ܠܢܒܝ</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ܘܪܓܡܬܝ</w:t>
      </w:r>
      <w:r>
        <w:rPr>
          <w:rFonts w:ascii="Times New Roman" w:hAnsi="Times New Roman" w:eastAsia="Times New Roman" w:cs="Times New Roman"/>
        </w:rPr>
        <w:t xml:space="preserve"> </w:t>
      </w:r>
      <w:r>
        <w:rPr>
          <w:rFonts w:ascii="Segoe UI Historic" w:hAnsi="Segoe UI Historic" w:eastAsia="Segoe UI Historic" w:cs="Segoe UI Historic"/>
        </w:rPr>
        <w:t>ܠܗܢܘܢ</w:t>
      </w:r>
      <w:r>
        <w:rPr>
          <w:rFonts w:ascii="Times New Roman" w:hAnsi="Times New Roman" w:eastAsia="Times New Roman" w:cs="Times New Roman"/>
        </w:rPr>
        <w:t xml:space="preserve"> </w:t>
      </w:r>
      <w:r>
        <w:rPr>
          <w:rFonts w:ascii="Segoe UI Historic" w:hAnsi="Segoe UI Historic" w:eastAsia="Segoe UI Historic" w:cs="Segoe UI Historic"/>
        </w:rPr>
        <w:t>ܕܐܫܬܕܪܘ</w:t>
      </w:r>
      <w:r>
        <w:rPr>
          <w:rFonts w:ascii="Times New Roman" w:hAnsi="Times New Roman" w:eastAsia="Times New Roman" w:cs="Times New Roman"/>
        </w:rPr>
        <w:t xml:space="preserve"> </w:t>
      </w:r>
      <w:r>
        <w:rPr>
          <w:rFonts w:ascii="Segoe UI Historic" w:hAnsi="Segoe UI Historic" w:eastAsia="Segoe UI Historic" w:cs="Segoe UI Historic"/>
        </w:rPr>
        <w:t>ܠܘܬܟܝ</w:t>
      </w:r>
      <w:r>
        <w:rPr>
          <w:rFonts w:ascii="Times New Roman" w:hAnsi="Times New Roman" w:eastAsia="Times New Roman" w:cs="Times New Roman"/>
        </w:rPr>
        <w:t xml:space="preserve">؛ </w:t>
      </w:r>
      <w:r>
        <w:rPr>
          <w:rFonts w:ascii="Segoe UI Historic" w:hAnsi="Segoe UI Historic" w:eastAsia="Segoe UI Historic" w:cs="Segoe UI Historic"/>
        </w:rPr>
        <w:t>ܟܡܐ</w:t>
      </w:r>
      <w:r>
        <w:rPr>
          <w:rFonts w:ascii="Times New Roman" w:hAnsi="Times New Roman" w:eastAsia="Times New Roman" w:cs="Times New Roman"/>
        </w:rPr>
        <w:t xml:space="preserve"> </w:t>
      </w:r>
      <w:r>
        <w:rPr>
          <w:rFonts w:ascii="Segoe UI Historic" w:hAnsi="Segoe UI Historic" w:eastAsia="Segoe UI Historic" w:cs="Segoe UI Historic"/>
        </w:rPr>
        <w:t>ܙܒܢܝ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ܨܒܝܬ</w:t>
      </w:r>
      <w:r>
        <w:rPr>
          <w:rFonts w:ascii="Times New Roman" w:hAnsi="Times New Roman" w:eastAsia="Times New Roman" w:cs="Times New Roman"/>
        </w:rPr>
        <w:t xml:space="preserve"> </w:t>
      </w:r>
      <w:r>
        <w:rPr>
          <w:rFonts w:ascii="Segoe UI Historic" w:hAnsi="Segoe UI Historic" w:eastAsia="Segoe UI Historic" w:cs="Segoe UI Historic"/>
        </w:rPr>
        <w:t>ܕܐܟܢܘܫ</w:t>
      </w:r>
      <w:r>
        <w:rPr>
          <w:rFonts w:ascii="Times New Roman" w:hAnsi="Times New Roman" w:eastAsia="Times New Roman" w:cs="Times New Roman"/>
        </w:rPr>
        <w:t xml:space="preserve"> </w:t>
      </w:r>
      <w:r>
        <w:rPr>
          <w:rFonts w:ascii="Segoe UI Historic" w:hAnsi="Segoe UI Historic" w:eastAsia="Segoe UI Historic" w:cs="Segoe UI Historic"/>
        </w:rPr>
        <w:t>ܠܒܢܝ</w:t>
      </w:r>
      <w:r>
        <w:rPr>
          <w:rFonts w:ascii="Times New Roman" w:hAnsi="Times New Roman" w:eastAsia="Times New Roman" w:cs="Times New Roman"/>
        </w:rPr>
        <w:t>̈</w:t>
      </w:r>
      <w:r>
        <w:rPr>
          <w:rFonts w:ascii="Segoe UI Historic" w:hAnsi="Segoe UI Historic" w:eastAsia="Segoe UI Historic" w:cs="Segoe UI Historic"/>
        </w:rPr>
        <w:t>ܟܝ</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ܕܟܢܫܐ</w:t>
      </w:r>
      <w:r>
        <w:rPr>
          <w:rFonts w:ascii="Times New Roman" w:hAnsi="Times New Roman" w:eastAsia="Times New Roman" w:cs="Times New Roman"/>
        </w:rPr>
        <w:t xml:space="preserve"> </w:t>
      </w:r>
      <w:r>
        <w:rPr>
          <w:rFonts w:ascii="Segoe UI Historic" w:hAnsi="Segoe UI Historic" w:eastAsia="Segoe UI Historic" w:cs="Segoe UI Historic"/>
        </w:rPr>
        <w:t>ܬܪܢܓܠܬܐ</w:t>
      </w:r>
      <w:r>
        <w:rPr>
          <w:rFonts w:ascii="Times New Roman" w:hAnsi="Times New Roman" w:eastAsia="Times New Roman" w:cs="Times New Roman"/>
        </w:rPr>
        <w:t xml:space="preserve"> </w:t>
      </w:r>
      <w:r>
        <w:rPr>
          <w:rFonts w:ascii="Segoe UI Historic" w:hAnsi="Segoe UI Historic" w:eastAsia="Segoe UI Historic" w:cs="Segoe UI Historic"/>
        </w:rPr>
        <w:t>ܠܦܪܘܓܝ</w:t>
      </w:r>
      <w:r>
        <w:rPr>
          <w:rFonts w:ascii="Times New Roman" w:hAnsi="Times New Roman" w:eastAsia="Times New Roman" w:cs="Times New Roman"/>
        </w:rPr>
        <w:t>̈</w:t>
      </w:r>
      <w:r>
        <w:rPr>
          <w:rFonts w:ascii="Segoe UI Historic" w:hAnsi="Segoe UI Historic" w:eastAsia="Segoe UI Historic" w:cs="Segoe UI Historic"/>
        </w:rPr>
        <w:t>ܗ</w:t>
      </w:r>
      <w:r>
        <w:rPr>
          <w:rFonts w:ascii="Times New Roman" w:hAnsi="Times New Roman" w:eastAsia="Times New Roman" w:cs="Times New Roman"/>
        </w:rPr>
        <w:t xml:space="preserve">̇ </w:t>
      </w:r>
      <w:r>
        <w:rPr>
          <w:rFonts w:ascii="Segoe UI Historic" w:hAnsi="Segoe UI Historic" w:eastAsia="Segoe UI Historic" w:cs="Segoe UI Historic"/>
        </w:rPr>
        <w:t>ܬܚܝܬ</w:t>
      </w:r>
      <w:r>
        <w:rPr>
          <w:rFonts w:ascii="Times New Roman" w:hAnsi="Times New Roman" w:eastAsia="Times New Roman" w:cs="Times New Roman"/>
        </w:rPr>
        <w:t xml:space="preserve"> </w:t>
      </w:r>
      <w:r>
        <w:rPr>
          <w:rFonts w:ascii="Segoe UI Historic" w:hAnsi="Segoe UI Historic" w:eastAsia="Segoe UI Historic" w:cs="Segoe UI Historic"/>
        </w:rPr>
        <w:t>ܟܢܦܝ</w:t>
      </w:r>
      <w:r>
        <w:rPr>
          <w:rFonts w:ascii="Times New Roman" w:hAnsi="Times New Roman" w:eastAsia="Times New Roman" w:cs="Times New Roman"/>
        </w:rPr>
        <w:t>̈</w:t>
      </w:r>
      <w:r>
        <w:rPr>
          <w:rFonts w:ascii="Segoe UI Historic" w:hAnsi="Segoe UI Historic" w:eastAsia="Segoe UI Historic" w:cs="Segoe UI Historic"/>
        </w:rPr>
        <w:t>ܗ</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ܨܒܝܬܘܢ</w:t>
      </w:r>
      <w:r>
        <w:rPr>
          <w:rFonts w:ascii="Times New Roman" w:hAnsi="Times New Roman" w:eastAsia="Times New Roman" w:cs="Times New Roman"/>
        </w:rPr>
        <w:t xml:space="preserve">! </w:t>
      </w: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ܒܝܬܟܘܢ</w:t>
      </w:r>
      <w:r>
        <w:rPr>
          <w:rFonts w:ascii="Times New Roman" w:hAnsi="Times New Roman" w:eastAsia="Times New Roman" w:cs="Times New Roman"/>
        </w:rPr>
        <w:t xml:space="preserve"> </w:t>
      </w:r>
      <w:r>
        <w:rPr>
          <w:rFonts w:ascii="Segoe UI Historic" w:hAnsi="Segoe UI Historic" w:eastAsia="Segoe UI Historic" w:cs="Segoe UI Historic"/>
        </w:rPr>
        <w:t>ܡܫܬܒܩ</w:t>
      </w:r>
      <w:r>
        <w:rPr>
          <w:rFonts w:ascii="Times New Roman" w:hAnsi="Times New Roman" w:eastAsia="Times New Roman" w:cs="Times New Roman"/>
        </w:rPr>
        <w:t xml:space="preserve"> </w:t>
      </w:r>
      <w:r>
        <w:rPr>
          <w:rFonts w:ascii="Segoe UI Historic" w:hAnsi="Segoe UI Historic" w:eastAsia="Segoe UI Historic" w:cs="Segoe UI Historic"/>
        </w:rPr>
        <w:t>ܠܟܘܢ</w:t>
      </w:r>
      <w:r>
        <w:rPr>
          <w:rFonts w:ascii="Times New Roman" w:hAnsi="Times New Roman" w:eastAsia="Times New Roman" w:cs="Times New Roman"/>
        </w:rPr>
        <w:t xml:space="preserve"> </w:t>
      </w:r>
      <w:r>
        <w:rPr>
          <w:rFonts w:ascii="Segoe UI Historic" w:hAnsi="Segoe UI Historic" w:eastAsia="Segoe UI Historic" w:cs="Segoe UI Historic"/>
        </w:rPr>
        <w:t>ܚܪܒܐ</w:t>
      </w:r>
      <w:r>
        <w:rPr>
          <w:rFonts w:ascii="Times New Roman" w:hAnsi="Times New Roman" w:eastAsia="Times New Roman" w:cs="Times New Roman"/>
        </w:rPr>
        <w:t xml:space="preserve">؛ </w:t>
      </w:r>
      <w:r>
        <w:rPr>
          <w:rFonts w:ascii="Segoe UI Historic" w:hAnsi="Segoe UI Historic" w:eastAsia="Segoe UI Historic" w:cs="Segoe UI Historic"/>
        </w:rPr>
        <w:t>ܘܫܪܝܪܐܝܬ</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ܠܟܘܢ</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ܬܚܙܘܢܢܝ</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ܬܐܡܪܘܢ</w:t>
      </w:r>
      <w:r>
        <w:rPr>
          <w:rFonts w:ascii="Times New Roman" w:hAnsi="Times New Roman" w:eastAsia="Times New Roman" w:cs="Times New Roman"/>
        </w:rPr>
        <w:t xml:space="preserve">، </w:t>
      </w:r>
      <w:r>
        <w:rPr>
          <w:rFonts w:ascii="Segoe UI Historic" w:hAnsi="Segoe UI Historic" w:eastAsia="Segoe UI Historic" w:cs="Segoe UI Historic"/>
        </w:rPr>
        <w:t>ܒܪܝܟ</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ܕܐܬܐ</w:t>
      </w:r>
      <w:r>
        <w:rPr>
          <w:rFonts w:ascii="Times New Roman" w:hAnsi="Times New Roman" w:eastAsia="Times New Roman" w:cs="Times New Roman"/>
        </w:rPr>
        <w:t xml:space="preserve"> </w:t>
      </w:r>
      <w:r>
        <w:rPr>
          <w:rFonts w:ascii="Segoe UI Historic" w:hAnsi="Segoe UI Historic" w:eastAsia="Segoe UI Historic" w:cs="Segoe UI Historic"/>
        </w:rPr>
        <w:t>ܒܫܡܗ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ܠܘܩܐ</w:t>
      </w:r>
      <w:r>
        <w:rPr>
          <w:rFonts w:ascii="Times New Roman" w:hAnsi="Times New Roman" w:eastAsia="Times New Roman" w:cs="Times New Roman"/>
        </w:rPr>
        <w:t xml:space="preserve"> 13:34، 35.</w:t>
      </w:r>
    </w:p>
    <w:p>
      <w:pPr>
        <w:pStyle w:val="ArticleBody"/>
        <w:jc w:val="left"/>
      </w:pPr>
      <w:r>
        <w:rPr>
          <w:rFonts w:ascii="Times New Roman" w:hAnsi="Times New Roman" w:eastAsia="Times New Roman" w:cs="Times New Roman"/>
        </w:rPr>
        <w:t>Los preguntas han de plantearse así: «¿Muestra verdaderamente Jesús el fin mediante el principio? ¿Representa en realidad el antiguo Israel al Israel moderno?» El problema del antiguo Israel a lo largo de toda su historia fue que creían que su herencia demostraba que eran el pueblo de Dios, y, por lo tanto, que no podían ser otra cosa sino el pueblo de Dios. Por eso, en los días de Jeremías, profesaban ser el templo del Señor.</w:t>
      </w:r>
    </w:p>
    <w:p>
      <w:pPr>
        <w:pStyle w:val="ArticleScripture"/>
        <w:jc w:val="left"/>
      </w:pPr>
      <w:r>
        <w:rPr>
          <w:rFonts w:ascii="Times New Roman" w:hAnsi="Times New Roman" w:eastAsia="Times New Roman" w:cs="Times New Roman"/>
        </w:rPr>
        <w:t>A palavra que veio a Jeremias da parte do Senhor, dizendo: Põe-te à porta da casa do Senhor, e ali proclama esta palavra, e dize: Ouvi a palavra do Senhor, todos vós de Judá, que entrais por estas portas para adorardes o Senhor. Assim diz o Senhor dos Exércitos, o Deus de Israel: Emendai os vossos caminhos e as vossas obras, e Eu vos farei habitar neste lugar. Não confieis em palavras mentirosas, dizendo: Templo do Senhor, Templo do Senhor, Templo do Senhor é este. Jeremias 7:1–4.</w:t>
      </w:r>
    </w:p>
    <w:p>
      <w:pPr>
        <w:pStyle w:val="ArticleBody"/>
        <w:jc w:val="left"/>
      </w:pPr>
      <w:r>
        <w:rPr>
          <w:rFonts w:ascii="Times New Roman" w:hAnsi="Times New Roman" w:eastAsia="Times New Roman" w:cs="Times New Roman"/>
        </w:rPr>
        <w:t>Yasnañ kë delusion kikinmi Juan Bautista-pis hatunmi enfatizarqan.</w:t>
      </w:r>
    </w:p>
    <w:p>
      <w:pPr>
        <w:pStyle w:val="ArticleScripture"/>
        <w:jc w:val="left"/>
      </w:pPr>
      <w:r>
        <w:rPr>
          <w:rFonts w:ascii="Times New Roman" w:hAnsi="Times New Roman" w:eastAsia="Times New Roman" w:cs="Times New Roman"/>
        </w:rPr>
        <w:t>Eve’ẽme Jordánpe oñemongarai hese, omombeʼúvo hembiapo vaikuekuéra. Ha haʼe ohechávo heta fariseo ha saduceo ouha iñemongaraihápe, heʼi chupekuéra: Mbói ñemoñare, máva piko peneñemomarandúva peñani hag̃ua pe pochy oútavagui? Pehechauka upévare yva oñemohendáva peñembyasy hag̃ua pende angaipa rehe. Ha ani peimoʼã peje hag̃uánte pende pyʼapýpe: Ore ru niko Abraham; ajépa haʼe peẽme, Tupã ikatu koʼã itágui omoñemoñare hag̃ua Abrahampe ñemoñare. Ha koʼág̃ama voi pe hacha oñemoĩma umi yvyramáta rapo rehe; upévare opa yvyramáta ndoguerúiva yva porã oñekytĩta ha oñemombo tatápe. Mateo 3:6–10.</w:t>
      </w:r>
    </w:p>
    <w:p>
      <w:pPr>
        <w:pStyle w:val="ArticleBody"/>
        <w:jc w:val="left"/>
      </w:pPr>
      <w:r>
        <w:rPr>
          <w:rFonts w:ascii="Nirmala UI" w:hAnsi="Nirmala UI" w:eastAsia="Nirmala UI" w:cs="Nirmala UI"/>
        </w:rPr>
        <w:t>वेंटिस्ट</w:t>
      </w:r>
      <w:r>
        <w:rPr>
          <w:rFonts w:ascii="Times New Roman" w:hAnsi="Times New Roman" w:eastAsia="Times New Roman" w:cs="Times New Roman"/>
        </w:rPr>
        <w:t xml:space="preserve"> </w:t>
      </w:r>
      <w:r>
        <w:rPr>
          <w:rFonts w:ascii="Nirmala UI" w:hAnsi="Nirmala UI" w:eastAsia="Nirmala UI" w:cs="Nirmala UI"/>
        </w:rPr>
        <w:t>धर्ममत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भ्रामक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अन्धेपन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अभिव्यक्ति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«Աստուած դեսպաններ կը ղրկէ՝ Իր ժողովրդին յայտնելու, թէ ի՛նչ պէտք է ըլլան եւ ի՛նչ պէտք է ընեն, որպէսզի հնազանդին Իր արդարութեան օրէնքներուն, որոնք եթէ մարդ մը կատարէ, անոնցմով ալ պիտի ապրի։ Անոնք պարտին Աստուած գերազանցապէս սիրել՝ Իրենմէ առաջ ուրիշ աստուածներ չունենալով. եւ պարտին իրենց ընկերը իրենց անձին պէս սիրել՝ անոր ընելով այն, ինչ որ կ’ուզեն, որ ան իրենց ընէ։»</w:t>
      </w:r>
    </w:p>
    <w:p>
      <w:pPr>
        <w:pStyle w:val="ArticleScripture"/>
        <w:jc w:val="left"/>
      </w:pPr>
      <w:r>
        <w:rPr>
          <w:rFonts w:ascii="Times New Roman" w:hAnsi="Times New Roman" w:eastAsia="Times New Roman" w:cs="Times New Roman"/>
        </w:rPr>
        <w:t>“خۇدانىڭ مۇقەددەس قانۇنىنىڭ بىرەر نۇقتىسىمۇ يەڭىل قارىلىشقا ياكى ھۆرمەتسىز مۇئامىلە قىلىنىشقا تېگىشلىك ئەمەس. «رەبب مۇنداق دەيدۇ» دېگەن ئەمرگە خىلاپلىق قىلىدىغانلار، زۇلمەت شاھزادىسىنىڭ بايرىقى ئاستىدا تۇرۇپ، ياراتقۇچىسى ۋە نىجاتكارىغا قارشى ئىسيان ئىچىدە بولىدۇ. ئۇلار ئىتائەت قىلغۇچىلارغا بېرىلگەن ۋەدىلەرنى ئۆزلىرىگە دەۋا قىلىپ: «رەببنىڭ ئىبادەتخانىسى، رەببنىڭ ئىبادەتخانىسى بىزمىز» دەيدۇ؛ ئەمما ئۇلار خۇدانىڭ خاراكتېرىنى خاتا نامايان قىلىش ئارقىلىق، ۋە ئۆزى قىلماسلىقنى بۇيرۇغان ئىشلارنىڭ ئۆزىنى قىلىش ئارقىلىق خۇدانى ھۆرمەتسىز قىلىدۇ. ئۇلار خۇدا بەرمىگەن بىر ئۆلچەمنى تىكلەيدۇ. ئۇلارنىڭ ئۈلگىسى ئادەمنى ئازدۇرىدۇ، تەسىرى بۇزغۇنچىدۇر. ئۇلار دۇنيادىكى نۇرلار ئەمەس، چۈنكى ئۇلار ھەققانىيەتنىڭ پىرىنسىپلىرىغا ئەگەشمەيدۇ.”</w:t>
      </w:r>
    </w:p>
    <w:p>
      <w:pPr>
        <w:pStyle w:val="ArticleScripture"/>
        <w:jc w:val="left"/>
      </w:pPr>
      <w:r>
        <w:rPr>
          <w:rFonts w:ascii="Times New Roman" w:hAnsi="Times New Roman" w:eastAsia="Times New Roman" w:cs="Times New Roman"/>
        </w:rPr>
        <w:t>«Adenaa Rabbii irratti gantummaa isa kana caalu agarsiisuu hin danda’an; kunis ifa Inni isaaniif ergu tuffachuudhaani. Warri kana godhan, mallattoolee sobaa dhaabuudhaan warra wallaalaa karaa irraa dabarsu. Isaan yeroo hundumaa qajeelchota qulqulluu jallisu....»</w:t>
      </w:r>
    </w:p>
    <w:p>
      <w:pPr>
        <w:pStyle w:val="ArticleScripture"/>
        <w:jc w:val="left"/>
      </w:pPr>
      <w:r>
        <w:rPr>
          <w:rFonts w:ascii="Times New Roman" w:hAnsi="Times New Roman" w:eastAsia="Times New Roman" w:cs="Times New Roman"/>
        </w:rPr>
        <w:t>«Ариун Бичээсийн үгэнд Иудейн үндэстэн дээр сүйрэл яагаад ирснийг бидэнд тодорхой өгүүлсэн байдаг. Тэд агуу гэрэл, арвин ерөөл, гайхамшигт хөгжил цэцэглэлтийг хүртсэн байв. Гэвч тэдэнд итгэн даатгасан зүйлдээ үнэнч бус болох нь батлагдсан. Тэд Эзэний усан үзмийн талбайг үнэнчээр арчилсангүй, түүнд түүнээс гарах үр жимсийг ч өргөсөнгүй. Тэд Бурхан огт байхгүй мэт үйлдсэн тул гай гамшиг тэднийг нөмөрсөн юм.» Manuscript Releases, volume 14, 343–345.</w:t>
      </w:r>
    </w:p>
    <w:p>
      <w:pPr>
        <w:pStyle w:val="ArticleBody"/>
        <w:jc w:val="left"/>
      </w:pPr>
      <w:r>
        <w:rPr>
          <w:rFonts w:ascii="MS Gothic" w:hAnsi="MS Gothic" w:eastAsia="MS Gothic" w:cs="MS Gothic"/>
        </w:rPr>
        <w:t>イスラエルは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初</w:t>
      </w:r>
      <w:r>
        <w:rPr>
          <w:rFonts w:ascii="MS Gothic" w:hAnsi="MS Gothic" w:eastAsia="MS Gothic" w:cs="MS Gothic"/>
        </w:rPr>
        <w:t>めに</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選</w:t>
      </w:r>
      <w:r>
        <w:rPr>
          <w:rFonts w:ascii="MS Gothic" w:hAnsi="MS Gothic" w:eastAsia="MS Gothic" w:cs="MS Gothic"/>
        </w:rPr>
        <w:t>ばれたゆえに</w:t>
      </w:r>
      <w:r>
        <w:rPr>
          <w:rFonts w:ascii="Microsoft YaHei" w:hAnsi="Microsoft YaHei" w:eastAsia="Microsoft YaHei" w:cs="Microsoft YaHei"/>
        </w:rPr>
        <w:t>、</w:t>
      </w:r>
      <w:r>
        <w:rPr>
          <w:rFonts w:ascii="MS Gothic" w:hAnsi="MS Gothic" w:eastAsia="MS Gothic" w:cs="MS Gothic"/>
        </w:rPr>
        <w:t>いつまでも</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選民</w:t>
      </w:r>
      <w:r>
        <w:rPr>
          <w:rFonts w:ascii="MS Gothic" w:hAnsi="MS Gothic" w:eastAsia="MS Gothic" w:cs="MS Gothic"/>
        </w:rPr>
        <w:t>であり</w:t>
      </w:r>
      <w:r>
        <w:rPr>
          <w:rFonts w:ascii="Microsoft YaHei" w:hAnsi="Microsoft YaHei" w:eastAsia="Microsoft YaHei" w:cs="Microsoft YaHei"/>
        </w:rPr>
        <w:t>続</w:t>
      </w:r>
      <w:r>
        <w:rPr>
          <w:rFonts w:ascii="MS Gothic" w:hAnsi="MS Gothic" w:eastAsia="MS Gothic" w:cs="MS Gothic"/>
        </w:rPr>
        <w:t>けると</w:t>
      </w:r>
      <w:r>
        <w:rPr>
          <w:rFonts w:ascii="Microsoft YaHei" w:hAnsi="Microsoft YaHei" w:eastAsia="Microsoft YaHei" w:cs="Microsoft YaHei"/>
        </w:rPr>
        <w:t>信</w:t>
      </w:r>
      <w:r>
        <w:rPr>
          <w:rFonts w:ascii="MS Gothic" w:hAnsi="MS Gothic" w:eastAsia="MS Gothic" w:cs="MS Gothic"/>
        </w:rPr>
        <w:t>じていた</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悪</w:t>
      </w:r>
      <w:r>
        <w:rPr>
          <w:rFonts w:ascii="MS Gothic" w:hAnsi="MS Gothic" w:eastAsia="MS Gothic" w:cs="MS Gothic"/>
        </w:rPr>
        <w:t>いことに</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選民</w:t>
      </w:r>
      <w:r>
        <w:rPr>
          <w:rFonts w:ascii="MS Gothic" w:hAnsi="MS Gothic" w:eastAsia="MS Gothic" w:cs="MS Gothic"/>
        </w:rPr>
        <w:t>であるがゆえに</w:t>
      </w:r>
      <w:r>
        <w:rPr>
          <w:rFonts w:ascii="Microsoft YaHei" w:hAnsi="Microsoft YaHei" w:eastAsia="Microsoft YaHei" w:cs="Microsoft YaHei"/>
        </w:rPr>
        <w:t>、</w:t>
      </w:r>
      <w:r>
        <w:rPr>
          <w:rFonts w:ascii="MS Gothic" w:hAnsi="MS Gothic" w:eastAsia="MS Gothic" w:cs="MS Gothic"/>
        </w:rPr>
        <w:t>たとえ</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敬</w:t>
      </w:r>
      <w:r>
        <w:rPr>
          <w:rFonts w:ascii="MS Gothic" w:hAnsi="MS Gothic" w:eastAsia="MS Gothic" w:cs="MS Gothic"/>
        </w:rPr>
        <w:t>うことを</w:t>
      </w:r>
      <w:r>
        <w:rPr>
          <w:rFonts w:ascii="Microsoft YaHei" w:hAnsi="Microsoft YaHei" w:eastAsia="Microsoft YaHei" w:cs="Microsoft YaHei"/>
        </w:rPr>
        <w:t>拒</w:t>
      </w:r>
      <w:r>
        <w:rPr>
          <w:rFonts w:ascii="MS Gothic" w:hAnsi="MS Gothic" w:eastAsia="MS Gothic" w:cs="MS Gothic"/>
        </w:rPr>
        <w:t>んでも</w:t>
      </w:r>
      <w:r>
        <w:rPr>
          <w:rFonts w:ascii="Microsoft YaHei" w:hAnsi="Microsoft YaHei" w:eastAsia="Microsoft YaHei" w:cs="Microsoft YaHei"/>
        </w:rPr>
        <w:t>、神</w:t>
      </w:r>
      <w:r>
        <w:rPr>
          <w:rFonts w:ascii="MS Gothic" w:hAnsi="MS Gothic" w:eastAsia="MS Gothic" w:cs="MS Gothic"/>
        </w:rPr>
        <w:t>はなお</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尊</w:t>
      </w:r>
      <w:r>
        <w:rPr>
          <w:rFonts w:ascii="MS Gothic" w:hAnsi="MS Gothic" w:eastAsia="MS Gothic" w:cs="MS Gothic"/>
        </w:rPr>
        <w:t>ばれると</w:t>
      </w:r>
      <w:r>
        <w:rPr>
          <w:rFonts w:ascii="Microsoft YaHei" w:hAnsi="Microsoft YaHei" w:eastAsia="Microsoft YaHei" w:cs="Microsoft YaHei"/>
        </w:rPr>
        <w:t>信</w:t>
      </w:r>
      <w:r>
        <w:rPr>
          <w:rFonts w:ascii="MS Gothic" w:hAnsi="MS Gothic" w:eastAsia="MS Gothic" w:cs="MS Gothic"/>
        </w:rPr>
        <w:t>じていた</w:t>
      </w:r>
      <w:r>
        <w:rPr>
          <w:rFonts w:ascii="Times New Roman" w:hAnsi="Times New Roman" w:eastAsia="Times New Roman" w:cs="Times New Roman"/>
        </w:rPr>
        <w:t>.</w:t>
      </w:r>
      <w:r>
        <w:rPr>
          <w:rFonts w:ascii="Microsoft YaHei" w:hAnsi="Microsoft YaHei" w:eastAsia="Microsoft YaHei" w:cs="Microsoft YaHei"/>
        </w:rPr>
        <w:t>預言的</w:t>
      </w:r>
      <w:r>
        <w:rPr>
          <w:rFonts w:ascii="MS Gothic" w:hAnsi="MS Gothic" w:eastAsia="MS Gothic" w:cs="MS Gothic"/>
        </w:rPr>
        <w:t>には</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離縁</w:t>
      </w:r>
      <w:r>
        <w:rPr>
          <w:rFonts w:ascii="MS Gothic" w:hAnsi="MS Gothic" w:eastAsia="MS Gothic" w:cs="MS Gothic"/>
        </w:rPr>
        <w:t>されるまでは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選民</w:t>
      </w:r>
      <w:r>
        <w:rPr>
          <w:rFonts w:ascii="MS Gothic" w:hAnsi="MS Gothic" w:eastAsia="MS Gothic" w:cs="MS Gothic"/>
        </w:rPr>
        <w:t>であったが</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望</w:t>
      </w:r>
      <w:r>
        <w:rPr>
          <w:rFonts w:ascii="MS Gothic" w:hAnsi="MS Gothic" w:eastAsia="MS Gothic" w:cs="MS Gothic"/>
        </w:rPr>
        <w:t>まれた</w:t>
      </w:r>
      <w:r>
        <w:rPr>
          <w:rFonts w:ascii="Microsoft YaHei" w:hAnsi="Microsoft YaHei" w:eastAsia="Microsoft YaHei" w:cs="Microsoft YaHei"/>
        </w:rPr>
        <w:t>民</w:t>
      </w:r>
      <w:r>
        <w:rPr>
          <w:rFonts w:ascii="MS Gothic" w:hAnsi="MS Gothic" w:eastAsia="MS Gothic" w:cs="MS Gothic"/>
        </w:rPr>
        <w:t>であったことは</w:t>
      </w:r>
      <w:r>
        <w:rPr>
          <w:rFonts w:ascii="Microsoft YaHei" w:hAnsi="Microsoft YaHei" w:eastAsia="Microsoft YaHei" w:cs="Microsoft YaHei"/>
        </w:rPr>
        <w:t>一度</w:t>
      </w:r>
      <w:r>
        <w:rPr>
          <w:rFonts w:ascii="MS Gothic" w:hAnsi="MS Gothic" w:eastAsia="MS Gothic" w:cs="MS Gothic"/>
        </w:rPr>
        <w:t>もなかった</w:t>
      </w:r>
      <w:r>
        <w:rPr>
          <w:rFonts w:ascii="Times New Roman" w:hAnsi="Times New Roman" w:eastAsia="Times New Roman" w:cs="Times New Roman"/>
        </w:rPr>
        <w:t>.</w:t>
      </w:r>
      <w:r>
        <w:rPr>
          <w:rFonts w:ascii="Microsoft YaHei" w:hAnsi="Microsoft YaHei" w:eastAsia="Microsoft YaHei" w:cs="Microsoft YaHei"/>
        </w:rPr>
        <w:t>選民</w:t>
      </w:r>
      <w:r>
        <w:rPr>
          <w:rFonts w:ascii="MS Gothic" w:hAnsi="MS Gothic" w:eastAsia="MS Gothic" w:cs="MS Gothic"/>
        </w:rPr>
        <w:t>の</w:t>
      </w:r>
      <w:r>
        <w:rPr>
          <w:rFonts w:ascii="Microsoft YaHei" w:hAnsi="Microsoft YaHei" w:eastAsia="Microsoft YaHei" w:cs="Microsoft YaHei"/>
        </w:rPr>
        <w:t>義</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w:t>
      </w:r>
      <w:r>
        <w:rPr>
          <w:rFonts w:ascii="Microsoft YaHei" w:hAnsi="Microsoft YaHei" w:eastAsia="Microsoft YaHei" w:cs="Microsoft YaHei"/>
        </w:rPr>
        <w:t>自身</w:t>
      </w:r>
      <w:r>
        <w:rPr>
          <w:rFonts w:ascii="MS Gothic" w:hAnsi="MS Gothic" w:eastAsia="MS Gothic" w:cs="MS Gothic"/>
        </w:rPr>
        <w:t>が</w:t>
      </w:r>
      <w:r>
        <w:rPr>
          <w:rFonts w:ascii="Microsoft YaHei" w:hAnsi="Microsoft YaHei" w:eastAsia="Microsoft YaHei" w:cs="Microsoft YaHei"/>
        </w:rPr>
        <w:t>自分</w:t>
      </w:r>
      <w:r>
        <w:rPr>
          <w:rFonts w:ascii="MS Gothic" w:hAnsi="MS Gothic" w:eastAsia="MS Gothic" w:cs="MS Gothic"/>
        </w:rPr>
        <w:t>を</w:t>
      </w:r>
      <w:r>
        <w:rPr>
          <w:rFonts w:ascii="Microsoft YaHei" w:hAnsi="Microsoft YaHei" w:eastAsia="Microsoft YaHei" w:cs="Microsoft YaHei"/>
        </w:rPr>
        <w:t>何者</w:t>
      </w:r>
      <w:r>
        <w:rPr>
          <w:rFonts w:ascii="MS Gothic" w:hAnsi="MS Gothic" w:eastAsia="MS Gothic" w:cs="MS Gothic"/>
        </w:rPr>
        <w:t>と</w:t>
      </w:r>
      <w:r>
        <w:rPr>
          <w:rFonts w:ascii="Microsoft YaHei" w:hAnsi="Microsoft YaHei" w:eastAsia="Microsoft YaHei" w:cs="Microsoft YaHei"/>
        </w:rPr>
        <w:t>思</w:t>
      </w:r>
      <w:r>
        <w:rPr>
          <w:rFonts w:ascii="MS Gothic" w:hAnsi="MS Gothic" w:eastAsia="MS Gothic" w:cs="MS Gothic"/>
        </w:rPr>
        <w:t>うかによって</w:t>
      </w:r>
      <w:r>
        <w:rPr>
          <w:rFonts w:ascii="Microsoft YaHei" w:hAnsi="Microsoft YaHei" w:eastAsia="Microsoft YaHei" w:cs="Microsoft YaHei"/>
        </w:rPr>
        <w:t>定</w:t>
      </w:r>
      <w:r>
        <w:rPr>
          <w:rFonts w:ascii="MS Gothic" w:hAnsi="MS Gothic" w:eastAsia="MS Gothic" w:cs="MS Gothic"/>
        </w:rPr>
        <w:t>まるものではない</w:t>
      </w:r>
      <w:r>
        <w:rPr>
          <w:rFonts w:ascii="Times New Roman" w:hAnsi="Times New Roman" w:eastAsia="Times New Roman" w:cs="Times New Roman"/>
        </w:rPr>
        <w:t>.</w:t>
      </w:r>
      <w:r>
        <w:rPr>
          <w:rFonts w:ascii="Microsoft YaHei" w:hAnsi="Microsoft YaHei" w:eastAsia="Microsoft YaHei" w:cs="Microsoft YaHei"/>
        </w:rPr>
        <w:t>古代</w:t>
      </w:r>
      <w:r>
        <w:rPr>
          <w:rFonts w:ascii="MS Gothic" w:hAnsi="MS Gothic" w:eastAsia="MS Gothic" w:cs="MS Gothic"/>
        </w:rPr>
        <w:t>イスラエルはセブンスデー・アドベンチスト</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第一義的</w:t>
      </w:r>
      <w:r>
        <w:rPr>
          <w:rFonts w:ascii="MS Gothic" w:hAnsi="MS Gothic" w:eastAsia="MS Gothic" w:cs="MS Gothic"/>
        </w:rPr>
        <w:t>な</w:t>
      </w:r>
      <w:r>
        <w:rPr>
          <w:rFonts w:ascii="Microsoft YaHei" w:hAnsi="Microsoft YaHei" w:eastAsia="Microsoft YaHei" w:cs="Microsoft YaHei"/>
        </w:rPr>
        <w:t>例証</w:t>
      </w:r>
      <w:r>
        <w:rPr>
          <w:rFonts w:ascii="MS Gothic" w:hAnsi="MS Gothic" w:eastAsia="MS Gothic" w:cs="MS Gothic"/>
        </w:rPr>
        <w:t>であるが</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わりにおける</w:t>
      </w:r>
      <w:r>
        <w:rPr>
          <w:rFonts w:ascii="Microsoft YaHei" w:hAnsi="Microsoft YaHei" w:eastAsia="Microsoft YaHei" w:cs="Microsoft YaHei"/>
        </w:rPr>
        <w:t>十四万四千人</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すという</w:t>
      </w:r>
      <w:r>
        <w:rPr>
          <w:rFonts w:ascii="Microsoft YaHei" w:hAnsi="Microsoft YaHei" w:eastAsia="Microsoft YaHei" w:cs="Microsoft YaHei"/>
        </w:rPr>
        <w:t>誤</w:t>
      </w:r>
      <w:r>
        <w:rPr>
          <w:rFonts w:ascii="MS Gothic" w:hAnsi="MS Gothic" w:eastAsia="MS Gothic" w:cs="MS Gothic"/>
        </w:rPr>
        <w:t>った</w:t>
      </w:r>
      <w:r>
        <w:rPr>
          <w:rFonts w:ascii="Microsoft YaHei" w:hAnsi="Microsoft YaHei" w:eastAsia="Microsoft YaHei" w:cs="Microsoft YaHei"/>
        </w:rPr>
        <w:t>前提</w:t>
      </w:r>
      <w:r>
        <w:rPr>
          <w:rFonts w:ascii="MS Gothic" w:hAnsi="MS Gothic" w:eastAsia="MS Gothic" w:cs="MS Gothic"/>
        </w:rPr>
        <w:t>が</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れられるとき</w:t>
      </w:r>
      <w:r>
        <w:rPr>
          <w:rFonts w:ascii="Microsoft YaHei" w:hAnsi="Microsoft YaHei" w:eastAsia="Microsoft YaHei" w:cs="Microsoft YaHei"/>
        </w:rPr>
        <w:t>、</w:t>
      </w:r>
      <w:r>
        <w:rPr>
          <w:rFonts w:ascii="MS Gothic" w:hAnsi="MS Gothic" w:eastAsia="MS Gothic" w:cs="MS Gothic"/>
        </w:rPr>
        <w:t>ラオデキヤの</w:t>
      </w:r>
      <w:r>
        <w:rPr>
          <w:rFonts w:ascii="Microsoft YaHei" w:hAnsi="Microsoft YaHei" w:eastAsia="Microsoft YaHei" w:cs="Microsoft YaHei"/>
        </w:rPr>
        <w:t>盲目</w:t>
      </w:r>
      <w:r>
        <w:rPr>
          <w:rFonts w:ascii="MS Gothic" w:hAnsi="MS Gothic" w:eastAsia="MS Gothic" w:cs="MS Gothic"/>
        </w:rPr>
        <w:t>が</w:t>
      </w:r>
      <w:r>
        <w:rPr>
          <w:rFonts w:ascii="Microsoft YaHei" w:hAnsi="Microsoft YaHei" w:eastAsia="Microsoft YaHei" w:cs="Microsoft YaHei"/>
        </w:rPr>
        <w:t>、古代</w:t>
      </w:r>
      <w:r>
        <w:rPr>
          <w:rFonts w:ascii="MS Gothic" w:hAnsi="MS Gothic" w:eastAsia="MS Gothic" w:cs="MS Gothic"/>
        </w:rPr>
        <w:t>イスラエルにおいてそうであったように</w:t>
      </w:r>
      <w:r>
        <w:rPr>
          <w:rFonts w:ascii="Microsoft YaHei" w:hAnsi="Microsoft YaHei" w:eastAsia="Microsoft YaHei" w:cs="Microsoft YaHei"/>
        </w:rPr>
        <w:t>、現</w:t>
      </w:r>
      <w:r>
        <w:rPr>
          <w:rFonts w:ascii="MS Gothic" w:hAnsi="MS Gothic" w:eastAsia="MS Gothic" w:cs="MS Gothic"/>
        </w:rPr>
        <w:t>されるのである</w:t>
      </w:r>
      <w:r>
        <w:rPr>
          <w:rFonts w:ascii="Times New Roman" w:hAnsi="Times New Roman" w:eastAsia="Times New Roman" w:cs="Times New Roman"/>
        </w:rPr>
        <w:t>.</w:t>
      </w:r>
      <w:r>
        <w:rPr>
          <w:rFonts w:ascii="MS Gothic" w:hAnsi="MS Gothic" w:eastAsia="MS Gothic" w:cs="MS Gothic"/>
        </w:rPr>
        <w:t>アドベンチズムは</w:t>
      </w:r>
      <w:r>
        <w:rPr>
          <w:rFonts w:ascii="Microsoft YaHei" w:hAnsi="Microsoft YaHei" w:eastAsia="Microsoft YaHei" w:cs="Microsoft YaHei"/>
        </w:rPr>
        <w:t>、</w:t>
      </w:r>
      <w:r>
        <w:rPr>
          <w:rFonts w:ascii="MS Gothic" w:hAnsi="MS Gothic" w:eastAsia="MS Gothic" w:cs="MS Gothic"/>
        </w:rPr>
        <w:t>これに</w:t>
      </w:r>
      <w:r>
        <w:rPr>
          <w:rFonts w:ascii="Microsoft YaHei" w:hAnsi="Microsoft YaHei" w:eastAsia="Microsoft YaHei" w:cs="Microsoft YaHei"/>
        </w:rPr>
        <w:t>反</w:t>
      </w:r>
      <w:r>
        <w:rPr>
          <w:rFonts w:ascii="MS Gothic" w:hAnsi="MS Gothic" w:eastAsia="MS Gothic" w:cs="MS Gothic"/>
        </w:rPr>
        <w:t>する</w:t>
      </w:r>
      <w:r>
        <w:rPr>
          <w:rFonts w:ascii="Microsoft YaHei" w:hAnsi="Microsoft YaHei" w:eastAsia="Microsoft YaHei" w:cs="Microsoft YaHei"/>
        </w:rPr>
        <w:t>明白</w:t>
      </w:r>
      <w:r>
        <w:rPr>
          <w:rFonts w:ascii="MS Gothic" w:hAnsi="MS Gothic" w:eastAsia="MS Gothic" w:cs="MS Gothic"/>
        </w:rPr>
        <w:t>な</w:t>
      </w:r>
      <w:r>
        <w:rPr>
          <w:rFonts w:ascii="Microsoft YaHei" w:hAnsi="Microsoft YaHei" w:eastAsia="Microsoft YaHei" w:cs="Microsoft YaHei"/>
        </w:rPr>
        <w:t>証拠</w:t>
      </w:r>
      <w:r>
        <w:rPr>
          <w:rFonts w:ascii="MS Gothic" w:hAnsi="MS Gothic" w:eastAsia="MS Gothic" w:cs="MS Gothic"/>
        </w:rPr>
        <w:t>があるにもかかわらず</w:t>
      </w:r>
      <w:r>
        <w:rPr>
          <w:rFonts w:ascii="Microsoft YaHei" w:hAnsi="Microsoft YaHei" w:eastAsia="Microsoft YaHei" w:cs="Microsoft YaHei"/>
        </w:rPr>
        <w:t>、自</w:t>
      </w:r>
      <w:r>
        <w:rPr>
          <w:rFonts w:ascii="MS Gothic" w:hAnsi="MS Gothic" w:eastAsia="MS Gothic" w:cs="MS Gothic"/>
        </w:rPr>
        <w:t>らが</w:t>
      </w:r>
      <w:r>
        <w:rPr>
          <w:rFonts w:ascii="Microsoft YaHei" w:hAnsi="Microsoft YaHei" w:eastAsia="Microsoft YaHei" w:cs="Microsoft YaHei"/>
        </w:rPr>
        <w:t>世</w:t>
      </w:r>
      <w:r>
        <w:rPr>
          <w:rFonts w:ascii="MS Gothic" w:hAnsi="MS Gothic" w:eastAsia="MS Gothic" w:cs="MS Gothic"/>
        </w:rPr>
        <w:t>の</w:t>
      </w:r>
      <w:r>
        <w:rPr>
          <w:rFonts w:ascii="Microsoft YaHei" w:hAnsi="Microsoft YaHei" w:eastAsia="Microsoft YaHei" w:cs="Microsoft YaHei"/>
        </w:rPr>
        <w:t>終</w:t>
      </w:r>
      <w:r>
        <w:rPr>
          <w:rFonts w:ascii="MS Gothic" w:hAnsi="MS Gothic" w:eastAsia="MS Gothic" w:cs="MS Gothic"/>
        </w:rPr>
        <w:t>わりにおける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残</w:t>
      </w:r>
      <w:r>
        <w:rPr>
          <w:rFonts w:ascii="MS Gothic" w:hAnsi="MS Gothic" w:eastAsia="MS Gothic" w:cs="MS Gothic"/>
        </w:rPr>
        <w:t>りの</w:t>
      </w:r>
      <w:r>
        <w:rPr>
          <w:rFonts w:ascii="Microsoft YaHei" w:hAnsi="Microsoft YaHei" w:eastAsia="Microsoft YaHei" w:cs="Microsoft YaHei"/>
        </w:rPr>
        <w:t>民</w:t>
      </w:r>
      <w:r>
        <w:rPr>
          <w:rFonts w:ascii="MS Gothic" w:hAnsi="MS Gothic" w:eastAsia="MS Gothic" w:cs="MS Gothic"/>
        </w:rPr>
        <w:t>であると</w:t>
      </w:r>
      <w:r>
        <w:rPr>
          <w:rFonts w:ascii="Microsoft YaHei" w:hAnsi="Microsoft YaHei" w:eastAsia="Microsoft YaHei" w:cs="Microsoft YaHei"/>
        </w:rPr>
        <w:t>信</w:t>
      </w:r>
      <w:r>
        <w:rPr>
          <w:rFonts w:ascii="MS Gothic" w:hAnsi="MS Gothic" w:eastAsia="MS Gothic" w:cs="MS Gothic"/>
        </w:rPr>
        <w:t>じ</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教</w:t>
      </w:r>
      <w:r>
        <w:rPr>
          <w:rFonts w:ascii="MS Gothic" w:hAnsi="MS Gothic" w:eastAsia="MS Gothic" w:cs="MS Gothic"/>
        </w:rPr>
        <w:t>えている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Bëýilmeleriñ soňuna näçe golaýlaşsak, Laodikiýa halkyna iberilýän habar şonça-da çynlakaý we göni bolmalydyr. Eger şol ýalan esas hakykat üçin bir gyra goýulmasa, onda Harunyň, Ýarowgamyň we 1863-nji ýylyň mysallary däp-dessuryň hem adatlaryň perdesi astynda gizlenýär. Bäýilmeleriñ soňuna şeýle bir golaýladyk welin, indi şol perdäniň astynda mundan beýläk gizlenip bolmaz.</w:t>
      </w:r>
    </w:p>
    <w:p>
      <w:pPr>
        <w:pStyle w:val="ArticleScripture"/>
        <w:jc w:val="left"/>
      </w:pPr>
      <w:r>
        <w:rPr>
          <w:rFonts w:ascii="Times New Roman" w:hAnsi="Times New Roman" w:eastAsia="Times New Roman" w:cs="Times New Roman"/>
        </w:rPr>
        <w:t>Ag nged ini an paghukom, nga an kapawa inmidngan ha kalibotan, ngan an mga tawo nahigugma han kasisidman imbes han kapawa, kay maraot an ira mga buhat. Kay an tagsa nga nagbubuhat hin maraot nasisina han kapawa, ngan diri napakadto ha kapawa, basi diri masaway an iya mga buhat. Juan 3:19, 20.</w:t>
      </w:r>
    </w:p>
    <w:p>
      <w:pPr>
        <w:pStyle w:val="ArticleBody"/>
        <w:jc w:val="left"/>
      </w:pPr>
      <w:r>
        <w:rPr>
          <w:rFonts w:ascii="Times New Roman" w:hAnsi="Times New Roman" w:eastAsia="Times New Roman" w:cs="Times New Roman"/>
        </w:rPr>
        <w:t>دی تاریخ د Adventism د ارتدادونو په هکله د خدای په نبوي کلام کښې ثبت شوې ده. دا یو نبوي حقیقت دی. د دې لومړنی ثبوت لرغونی اسرائیل دی. لرغونی اسرائیل د پرله‌پسې او مخ په زیاتېدونکي ارتداد تاریخ دی، او بیا هم انجیل او د نبوت روح ښوونه کوي چې لرغونی اسرائیل د معاصر اسرائیل نمونه ده. که څه هم دا ډېر خواشینوونکی حقیقت دی، خو د اوسني وخت په شان د دې حقیقت د درک کولو اهمیت هېڅکله دومره زیات نه و. کوم څه چې د عیسیٰ مسیح په مکاشفه سره مهرماتېږي، هغه دا حقیقت دی چې د Adventism تاریخ، د پروتستانتي ښکر په توګه، د جمهوري‌پال ښکر له تاریخ سره موازي روان دی. دواړه ښکرونه د یو بل لپاره دوهم شاهد برابروي، او که له شاهدانو څخه د یوه په سمه توګه له لیدلو انکار وشي، نو په هماغه وخت کښې بل شاهد هم له پېژندل کېدو څخه پاتې کېږي.</w:t>
      </w:r>
    </w:p>
    <w:p>
      <w:pPr>
        <w:pStyle w:val="ArticleBody"/>
        <w:jc w:val="left"/>
      </w:pPr>
      <w:r>
        <w:rPr>
          <w:rFonts w:ascii="Times New Roman" w:hAnsi="Times New Roman" w:eastAsia="Times New Roman" w:cs="Times New Roman"/>
        </w:rPr>
        <w:t>Ահարոնի, Երոբովամի և 1863-ի գծերը ցույց են տալիս արդի հոգևոր Իսրայելի սկիզբը, և այդպիսով նաև ցույց են տալիս Հանրապետական եղջյուրի սկիզբը։ Երրորդ հրեշտակի լուրը նախազգուշացում է գազանի դրոշմը ընդունելու դեմ։ Միացյալ Նահանգներն են, որ նախ ընդունում են կիրակնօրյա օրենք, ապա ամբողջ աշխարհին հարկադրում են անել նույնը։</w:t>
      </w:r>
    </w:p>
    <w:p>
      <w:pPr>
        <w:pStyle w:val="ArticleScripture"/>
        <w:jc w:val="left"/>
      </w:pPr>
      <w:r>
        <w:rPr>
          <w:rFonts w:ascii="Times New Roman" w:hAnsi="Times New Roman" w:eastAsia="Times New Roman" w:cs="Times New Roman"/>
        </w:rPr>
        <w:t>«ئەللەر رىقابەتتە ئۆتكەن ئامېرىكا قوشما شتاتلىرىنىڭ ئۈلگىسىگە ئەگىشىدۇ. ئۇ بىرىنچى بولۇپ ئالغا چىققان بولسىمۇ، شۇ بىر خىل كىرىزىس دۇنيانىڭ بارلىق جايلىرىدىكى خەلقىمىزنىڭ ئۈستىگە كېلىدۇ». گۇۋاھلىقلار، 6-توم، 395.</w:t>
      </w:r>
    </w:p>
    <w:p>
      <w:pPr>
        <w:pStyle w:val="ArticleBody"/>
        <w:jc w:val="left"/>
      </w:pP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ದಿನದ</w:t>
      </w:r>
      <w:r>
        <w:rPr>
          <w:rFonts w:ascii="Times New Roman" w:hAnsi="Times New Roman" w:eastAsia="Times New Roman" w:cs="Times New Roman"/>
        </w:rPr>
        <w:t xml:space="preserve"> </w:t>
      </w:r>
      <w:r>
        <w:rPr>
          <w:rFonts w:ascii="Nirmala UI" w:hAnsi="Nirmala UI" w:eastAsia="Nirmala UI" w:cs="Nirmala UI"/>
        </w:rPr>
        <w:t>ಕಾನೂನು</w:t>
      </w:r>
      <w:r>
        <w:rPr>
          <w:rFonts w:ascii="Times New Roman" w:hAnsi="Times New Roman" w:eastAsia="Times New Roman" w:cs="Times New Roman"/>
        </w:rPr>
        <w:t xml:space="preserve"> </w:t>
      </w:r>
      <w:r>
        <w:rPr>
          <w:rFonts w:ascii="Nirmala UI" w:hAnsi="Nirmala UI" w:eastAsia="Nirmala UI" w:cs="Nirmala UI"/>
        </w:rPr>
        <w:t>ಸಂಕಟಕ್ಕೆ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ಸತ್ಯಗಳನ್ನು</w:t>
      </w:r>
      <w:r>
        <w:rPr>
          <w:rFonts w:ascii="Times New Roman" w:hAnsi="Times New Roman" w:eastAsia="Times New Roman" w:cs="Times New Roman"/>
        </w:rPr>
        <w:t xml:space="preserve"> </w:t>
      </w:r>
      <w:r>
        <w:rPr>
          <w:rFonts w:ascii="Nirmala UI" w:hAnsi="Nirmala UI" w:eastAsia="Nirmala UI" w:cs="Nirmala UI"/>
        </w:rPr>
        <w:t>ಅಮೇರಿಕಾ</w:t>
      </w:r>
      <w:r>
        <w:rPr>
          <w:rFonts w:ascii="Times New Roman" w:hAnsi="Times New Roman" w:eastAsia="Times New Roman" w:cs="Times New Roman"/>
        </w:rPr>
        <w:t xml:space="preserve"> </w:t>
      </w:r>
      <w:r>
        <w:rPr>
          <w:rFonts w:ascii="Nirmala UI" w:hAnsi="Nirmala UI" w:eastAsia="Nirmala UI" w:cs="Nirmala UI"/>
        </w:rPr>
        <w:t>ಸಂಯುಕ್ತ</w:t>
      </w:r>
      <w:r>
        <w:rPr>
          <w:rFonts w:ascii="Times New Roman" w:hAnsi="Times New Roman" w:eastAsia="Times New Roman" w:cs="Times New Roman"/>
        </w:rPr>
        <w:t xml:space="preserve"> </w:t>
      </w:r>
      <w:r>
        <w:rPr>
          <w:rFonts w:ascii="Nirmala UI" w:hAnsi="Nirmala UI" w:eastAsia="Nirmala UI" w:cs="Nirmala UI"/>
        </w:rPr>
        <w:t>ಸಂಸ್ಥಾನದ</w:t>
      </w:r>
      <w:r>
        <w:rPr>
          <w:rFonts w:ascii="Times New Roman" w:hAnsi="Times New Roman" w:eastAsia="Times New Roman" w:cs="Times New Roman"/>
        </w:rPr>
        <w:t xml:space="preserve"> </w:t>
      </w:r>
      <w:r>
        <w:rPr>
          <w:rFonts w:ascii="Nirmala UI" w:hAnsi="Nirmala UI" w:eastAsia="Nirmala UI" w:cs="Nirmala UI"/>
        </w:rPr>
        <w:t>ಕಾರ್ಯದಿಂದ</w:t>
      </w:r>
      <w:r>
        <w:rPr>
          <w:rFonts w:ascii="Times New Roman" w:hAnsi="Times New Roman" w:eastAsia="Times New Roman" w:cs="Times New Roman"/>
        </w:rPr>
        <w:t xml:space="preserve"> </w:t>
      </w:r>
      <w:r>
        <w:rPr>
          <w:rFonts w:ascii="Nirmala UI" w:hAnsi="Nirmala UI" w:eastAsia="Nirmala UI" w:cs="Nirmala UI"/>
        </w:rPr>
        <w:t>ಬೇರ್ಪಡಿಸಲಾಗುವುದಿಲ್ಲ</w:t>
      </w:r>
      <w:r>
        <w:rPr>
          <w:rFonts w:ascii="Times New Roman" w:hAnsi="Times New Roman" w:eastAsia="Times New Roman" w:cs="Times New Roman"/>
        </w:rPr>
        <w:t xml:space="preserve">. </w:t>
      </w:r>
      <w:r>
        <w:rPr>
          <w:rFonts w:ascii="Nirmala UI" w:hAnsi="Nirmala UI" w:eastAsia="Nirmala UI" w:cs="Nirmala UI"/>
        </w:rPr>
        <w:t>ಪ್ರಕಟಣೆ</w:t>
      </w:r>
      <w:r>
        <w:rPr>
          <w:rFonts w:ascii="Times New Roman" w:hAnsi="Times New Roman" w:eastAsia="Times New Roman" w:cs="Times New Roman"/>
        </w:rPr>
        <w:t xml:space="preserve"> </w:t>
      </w:r>
      <w:r>
        <w:rPr>
          <w:rFonts w:ascii="Nirmala UI" w:hAnsi="Nirmala UI" w:eastAsia="Nirmala UI" w:cs="Nirmala UI"/>
        </w:rPr>
        <w:t>ಅಧ್ಯಾಯ</w:t>
      </w:r>
      <w:r>
        <w:rPr>
          <w:rFonts w:ascii="Times New Roman" w:hAnsi="Times New Roman" w:eastAsia="Times New Roman" w:cs="Times New Roman"/>
        </w:rPr>
        <w:t xml:space="preserve"> </w:t>
      </w:r>
      <w:r>
        <w:rPr>
          <w:rFonts w:ascii="Nirmala UI" w:hAnsi="Nirmala UI" w:eastAsia="Nirmala UI" w:cs="Nirmala UI"/>
        </w:rPr>
        <w:t>ಹದಿಮೂರರಲ್ಲಿ</w:t>
      </w:r>
      <w:r>
        <w:rPr>
          <w:rFonts w:ascii="Times New Roman" w:hAnsi="Times New Roman" w:eastAsia="Times New Roman" w:cs="Times New Roman"/>
        </w:rPr>
        <w:t xml:space="preserve"> </w:t>
      </w:r>
      <w:r>
        <w:rPr>
          <w:rFonts w:ascii="Nirmala UI" w:hAnsi="Nirmala UI" w:eastAsia="Nirmala UI" w:cs="Nirmala UI"/>
        </w:rPr>
        <w:t>ಉಲ್ಲೇಖಿಸಲಾದ</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ಮೃಗವು</w:t>
      </w:r>
      <w:r>
        <w:rPr>
          <w:rFonts w:ascii="Times New Roman" w:hAnsi="Times New Roman" w:eastAsia="Times New Roman" w:cs="Times New Roman"/>
        </w:rPr>
        <w:t xml:space="preserve"> </w:t>
      </w:r>
      <w:r>
        <w:rPr>
          <w:rFonts w:ascii="Nirmala UI" w:hAnsi="Nirmala UI" w:eastAsia="Nirmala UI" w:cs="Nirmala UI"/>
        </w:rPr>
        <w:t>ಬೈಬಲ್</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ಆರನೇ</w:t>
      </w:r>
      <w:r>
        <w:rPr>
          <w:rFonts w:ascii="Times New Roman" w:hAnsi="Times New Roman" w:eastAsia="Times New Roman" w:cs="Times New Roman"/>
        </w:rPr>
        <w:t xml:space="preserve"> </w:t>
      </w:r>
      <w:r>
        <w:rPr>
          <w:rFonts w:ascii="Nirmala UI" w:hAnsi="Nirmala UI" w:eastAsia="Nirmala UI" w:cs="Nirmala UI"/>
        </w:rPr>
        <w:t>ರಾಜ್ಯವಾಗಿದ್ದು</w:t>
      </w:r>
      <w:r>
        <w:rPr>
          <w:rFonts w:ascii="Times New Roman" w:hAnsi="Times New Roman" w:eastAsia="Times New Roman" w:cs="Times New Roman"/>
        </w:rPr>
        <w:t xml:space="preserve">, </w:t>
      </w:r>
      <w:r>
        <w:rPr>
          <w:rFonts w:ascii="Nirmala UI" w:hAnsi="Nirmala UI" w:eastAsia="Nirmala UI" w:cs="Nirmala UI"/>
        </w:rPr>
        <w:t>ಯೆಶಾಯ</w:t>
      </w:r>
      <w:r>
        <w:rPr>
          <w:rFonts w:ascii="Times New Roman" w:hAnsi="Times New Roman" w:eastAsia="Times New Roman" w:cs="Times New Roman"/>
        </w:rPr>
        <w:t xml:space="preserve"> </w:t>
      </w:r>
      <w:r>
        <w:rPr>
          <w:rFonts w:ascii="Nirmala UI" w:hAnsi="Nirmala UI" w:eastAsia="Nirmala UI" w:cs="Nirmala UI"/>
        </w:rPr>
        <w:t>ಇಪ್ಪತ್ತ್ಮೂರರ</w:t>
      </w:r>
      <w:r>
        <w:rPr>
          <w:rFonts w:ascii="Times New Roman" w:hAnsi="Times New Roman" w:eastAsia="Times New Roman" w:cs="Times New Roman"/>
        </w:rPr>
        <w:t xml:space="preserve"> </w:t>
      </w:r>
      <w:r>
        <w:rPr>
          <w:rFonts w:ascii="Nirmala UI" w:hAnsi="Nirmala UI" w:eastAsia="Nirmala UI" w:cs="Nirmala UI"/>
        </w:rPr>
        <w:t>ಪ್ರಕಾರ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ಎಪ್ಪತ್ತು</w:t>
      </w:r>
      <w:r>
        <w:rPr>
          <w:rFonts w:ascii="Times New Roman" w:hAnsi="Times New Roman" w:eastAsia="Times New Roman" w:cs="Times New Roman"/>
        </w:rPr>
        <w:t xml:space="preserve"> </w:t>
      </w:r>
      <w:r>
        <w:rPr>
          <w:rFonts w:ascii="Nirmala UI" w:hAnsi="Nirmala UI" w:eastAsia="Nirmala UI" w:cs="Nirmala UI"/>
        </w:rPr>
        <w:t>ಪ್ರವಾದನಾತ್ಮಕ</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ಆಳುತ್ತದೆ</w:t>
      </w:r>
      <w:r>
        <w:rPr>
          <w:rFonts w:ascii="Times New Roman" w:hAnsi="Times New Roman" w:eastAsia="Times New Roman" w:cs="Times New Roman"/>
        </w:rPr>
        <w:t xml:space="preserve">. </w:t>
      </w:r>
      <w:r>
        <w:rPr>
          <w:rFonts w:ascii="Nirmala UI" w:hAnsi="Nirmala UI" w:eastAsia="Nirmala UI" w:cs="Nirmala UI"/>
        </w:rPr>
        <w:t>ಕೊಂಬುಗಳೆರಡನ್ನು</w:t>
      </w:r>
      <w:r>
        <w:rPr>
          <w:rFonts w:ascii="Times New Roman" w:hAnsi="Times New Roman" w:eastAsia="Times New Roman" w:cs="Times New Roman"/>
        </w:rPr>
        <w:t xml:space="preserve"> </w:t>
      </w:r>
      <w:r>
        <w:rPr>
          <w:rFonts w:ascii="Nirmala UI" w:hAnsi="Nirmala UI" w:eastAsia="Nirmala UI" w:cs="Nirmala UI"/>
        </w:rPr>
        <w:t>ಹೊಂದಿರುವುದು</w:t>
      </w:r>
      <w:r>
        <w:rPr>
          <w:rFonts w:ascii="Times New Roman" w:hAnsi="Times New Roman" w:eastAsia="Times New Roman" w:cs="Times New Roman"/>
        </w:rPr>
        <w:t xml:space="preserve"> </w:t>
      </w:r>
      <w:r>
        <w:rPr>
          <w:rFonts w:ascii="Nirmala UI" w:hAnsi="Nirmala UI" w:eastAsia="Nirmala UI" w:cs="Nirmala UI"/>
        </w:rPr>
        <w:t>ಇದೇ</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ಮೃಗವೇ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ಕೊಂಬುಗಳ</w:t>
      </w:r>
      <w:r>
        <w:rPr>
          <w:rFonts w:ascii="Times New Roman" w:hAnsi="Times New Roman" w:eastAsia="Times New Roman" w:cs="Times New Roman"/>
        </w:rPr>
        <w:t xml:space="preserve"> </w:t>
      </w:r>
      <w:r>
        <w:rPr>
          <w:rFonts w:ascii="Nirmala UI" w:hAnsi="Nirmala UI" w:eastAsia="Nirmala UI" w:cs="Nirmala UI"/>
        </w:rPr>
        <w:t>ಪರಸ್ಪರ</w:t>
      </w:r>
      <w:r>
        <w:rPr>
          <w:rFonts w:ascii="Times New Roman" w:hAnsi="Times New Roman" w:eastAsia="Times New Roman" w:cs="Times New Roman"/>
        </w:rPr>
        <w:t xml:space="preserve"> </w:t>
      </w:r>
      <w:r>
        <w:rPr>
          <w:rFonts w:ascii="Nirmala UI" w:hAnsi="Nirmala UI" w:eastAsia="Nirmala UI" w:cs="Nirmala UI"/>
        </w:rPr>
        <w:t>ಸಂಬಂಧಕ್ಕೆ</w:t>
      </w:r>
      <w:r>
        <w:rPr>
          <w:rFonts w:ascii="Times New Roman" w:hAnsi="Times New Roman" w:eastAsia="Times New Roman" w:cs="Times New Roman"/>
        </w:rPr>
        <w:t xml:space="preserve"> </w:t>
      </w:r>
      <w:r>
        <w:rPr>
          <w:rFonts w:ascii="Nirmala UI" w:hAnsi="Nirmala UI" w:eastAsia="Nirmala UI" w:cs="Nirmala UI"/>
        </w:rPr>
        <w:t>ಸಂಬಂಧಿಸಿದ</w:t>
      </w:r>
      <w:r>
        <w:rPr>
          <w:rFonts w:ascii="Times New Roman" w:hAnsi="Times New Roman" w:eastAsia="Times New Roman" w:cs="Times New Roman"/>
        </w:rPr>
        <w:t xml:space="preserve"> </w:t>
      </w:r>
      <w:r>
        <w:rPr>
          <w:rFonts w:ascii="Nirmala UI" w:hAnsi="Nirmala UI" w:eastAsia="Nirmala UI" w:cs="Nirmala UI"/>
        </w:rPr>
        <w:t>ಸತ್ಯಗಳು</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ಮುದ್ರಾವಿಮೋಚನಗೊಳ್ಳುತ್ತಿವೆ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ವಿಷಯದ</w:t>
      </w:r>
      <w:r>
        <w:rPr>
          <w:rFonts w:ascii="Times New Roman" w:hAnsi="Times New Roman" w:eastAsia="Times New Roman" w:cs="Times New Roman"/>
        </w:rPr>
        <w:t xml:space="preserve"> </w:t>
      </w:r>
      <w:r>
        <w:rPr>
          <w:rFonts w:ascii="Nirmala UI" w:hAnsi="Nirmala UI" w:eastAsia="Nirmala UI" w:cs="Nirmala UI"/>
        </w:rPr>
        <w:t>ಅಂತ್ಯವನ್ನು</w:t>
      </w:r>
      <w:r>
        <w:rPr>
          <w:rFonts w:ascii="Times New Roman" w:hAnsi="Times New Roman" w:eastAsia="Times New Roman" w:cs="Times New Roman"/>
        </w:rPr>
        <w:t xml:space="preserve"> </w:t>
      </w:r>
      <w:r>
        <w:rPr>
          <w:rFonts w:ascii="Nirmala UI" w:hAnsi="Nirmala UI" w:eastAsia="Nirmala UI" w:cs="Nirmala UI"/>
        </w:rPr>
        <w:t>ವಿವರಿಸಲು</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ಆದಿಯನ್ನು</w:t>
      </w:r>
      <w:r>
        <w:rPr>
          <w:rFonts w:ascii="Times New Roman" w:hAnsi="Times New Roman" w:eastAsia="Times New Roman" w:cs="Times New Roman"/>
        </w:rPr>
        <w:t xml:space="preserve"> </w:t>
      </w:r>
      <w:r>
        <w:rPr>
          <w:rFonts w:ascii="Nirmala UI" w:hAnsi="Nirmala UI" w:eastAsia="Nirmala UI" w:cs="Nirmala UI"/>
        </w:rPr>
        <w:t>ಉಪಯೋಗಿಸುವ</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ಯೇಸು</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ಪ್ರಕಟಣೆಯ</w:t>
      </w:r>
      <w:r>
        <w:rPr>
          <w:rFonts w:ascii="Times New Roman" w:hAnsi="Times New Roman" w:eastAsia="Times New Roman" w:cs="Times New Roman"/>
        </w:rPr>
        <w:t xml:space="preserve"> </w:t>
      </w:r>
      <w:r>
        <w:rPr>
          <w:rFonts w:ascii="Nirmala UI" w:hAnsi="Nirmala UI" w:eastAsia="Nirmala UI" w:cs="Nirmala UI"/>
        </w:rPr>
        <w:t>ಮುದ್ರಾವಿಮೋಚನವನ್ನು</w:t>
      </w:r>
      <w:r>
        <w:rPr>
          <w:rFonts w:ascii="Times New Roman" w:hAnsi="Times New Roman" w:eastAsia="Times New Roman" w:cs="Times New Roman"/>
        </w:rPr>
        <w:t xml:space="preserve"> </w:t>
      </w:r>
      <w:r>
        <w:rPr>
          <w:rFonts w:ascii="Nirmala UI" w:hAnsi="Nirmala UI" w:eastAsia="Nirmala UI" w:cs="Nirmala UI"/>
        </w:rPr>
        <w:t>ಯೇಸುವೇ</w:t>
      </w:r>
      <w:r>
        <w:rPr>
          <w:rFonts w:ascii="Times New Roman" w:hAnsi="Times New Roman" w:eastAsia="Times New Roman" w:cs="Times New Roman"/>
        </w:rPr>
        <w:t xml:space="preserve"> </w:t>
      </w:r>
      <w:r>
        <w:rPr>
          <w:rFonts w:ascii="Nirmala UI" w:hAnsi="Nirmala UI" w:eastAsia="Nirmala UI" w:cs="Nirmala UI"/>
        </w:rPr>
        <w:t>ನೆರವೇರಿಸುತ್ತಾನೆ</w:t>
      </w:r>
      <w:r>
        <w:rPr>
          <w:rFonts w:ascii="Times New Roman" w:hAnsi="Times New Roman" w:eastAsia="Times New Roman" w:cs="Times New Roman"/>
        </w:rPr>
        <w:t xml:space="preserve"> </w:t>
      </w:r>
      <w:r>
        <w:rPr>
          <w:rFonts w:ascii="Nirmala UI" w:hAnsi="Nirmala UI" w:eastAsia="Nirmala UI" w:cs="Nirmala UI"/>
        </w:rPr>
        <w:t>ಎಂಬುದನ್ನು</w:t>
      </w:r>
      <w:r>
        <w:rPr>
          <w:rFonts w:ascii="Times New Roman" w:hAnsi="Times New Roman" w:eastAsia="Times New Roman" w:cs="Times New Roman"/>
        </w:rPr>
        <w:t xml:space="preserve"> </w:t>
      </w:r>
      <w:r>
        <w:rPr>
          <w:rFonts w:ascii="Nirmala UI" w:hAnsi="Nirmala UI" w:eastAsia="Nirmala UI" w:cs="Nirmala UI"/>
        </w:rPr>
        <w:t>ಗ್ರಹಿಸಲು</w:t>
      </w:r>
      <w:r>
        <w:rPr>
          <w:rFonts w:ascii="Times New Roman" w:hAnsi="Times New Roman" w:eastAsia="Times New Roman" w:cs="Times New Roman"/>
        </w:rPr>
        <w:t xml:space="preserve"> </w:t>
      </w:r>
      <w:r>
        <w:rPr>
          <w:rFonts w:ascii="Nirmala UI" w:hAnsi="Nirmala UI" w:eastAsia="Nirmala UI" w:cs="Nirmala UI"/>
        </w:rPr>
        <w:t>ಆಯ್ಕೆಮಾಡುವವರಿಗೆ</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ಅವು</w:t>
      </w:r>
      <w:r>
        <w:rPr>
          <w:rFonts w:ascii="Times New Roman" w:hAnsi="Times New Roman" w:eastAsia="Times New Roman" w:cs="Times New Roman"/>
        </w:rPr>
        <w:t xml:space="preserve"> </w:t>
      </w:r>
      <w:r>
        <w:rPr>
          <w:rFonts w:ascii="Nirmala UI" w:hAnsi="Nirmala UI" w:eastAsia="Nirmala UI" w:cs="Nirmala UI"/>
        </w:rPr>
        <w:t>ಅನಾವರಣಗೊಳ್ಳುತ್ತಿವೆ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ئەمرىکا یىنداشقان شتاتلىرى 1798-دا كىتابىي پەيغەمبەرلىكنىڭ ئالتىنچى پادىشاھلىقى سۈپитидә باشلانغان بولۇپ، كېلەسى ئالتە يۈز بەش يىل ئىچىدە، تارىخ بويىچە بىللە مېڭىدىغان ئىككى مۈڭگۈز تونۇلۇشقا بولىدىغان بىر مۇھىتقا قويۇلدى، ئەمما بۇنى پەقەت كۆرۈشنى خالايدىغانلارلا تونۇيالايدۇ. ئىسايا كىتابىنىڭ يەتتىنچى بابىدا بايان قىلىنغان ئاتمىش بەش يىل، مىلادىدىن بۇرۇن 742-يىلى باشلىنىپ، مىلادىدىن بۇرۇن 677-يىلى ئاخىرلاشقان. 1798-دىن 1863-گىچە بولغان ئارىلىقتا، بۇ يىللار يەنە تەكرارلاندى. بۇ ئاتمىش بەش يىل ھەر ئىككى مۈڭگۈزدە كىرىزىس جەريانىنى كۆرسىتىپ بېرىدۇ.</w:t>
      </w:r>
    </w:p>
    <w:p>
      <w:pPr>
        <w:pStyle w:val="ArticleBody"/>
        <w:jc w:val="left"/>
      </w:pPr>
      <w:r>
        <w:rPr>
          <w:rFonts w:ascii="Times New Roman" w:hAnsi="Times New Roman" w:eastAsia="Times New Roman" w:cs="Times New Roman"/>
        </w:rPr>
        <w:t>به سال 1863، دورهٔ آغازینِ «ایامِ یک پادشاه»ِ نبوتیِ اشعیا بیست‌وسه به پایان رسیده بود، و بدین‌سان نشانه‌های نبوتیِ دورهٔ پایانیِ «ایامِ یک پادشاه» را برقرار ساخت. پایانِ هفتادِ نمادینِ اشعیا بیست‌وسه به‌وسیلهٔ شصت‌وپنج سالِ نخست به تصویر کشیده می‌شود. از 1863 تا زمان آخر در 1989، دورهٔ کلیسای ادونتیستِ لائودیکیه است، که از جنبش میلری آغاز شد و به جنبشِ یکصد و چهل‌وچهار هزار تن پایان می‌یابد. برای آنکه دورهٔ پایان را درک کنیم، باید دورهٔ آغاز را درک کنیم. ادونتیسم نمی‌تواند این را انجام دهد، زیرا آغاز آن با ردِّ سوگندِ موسی مشخص می‌شود؛ همان سوگندی که دقیقاً آن شصت‌وپنج سال را شناسایی می‌کند که نمایانگر آغاز و پایانِ ادونتیسم و ایالات متحده است.</w:t>
      </w:r>
    </w:p>
    <w:p>
      <w:pPr>
        <w:pStyle w:val="ArticleBody"/>
        <w:jc w:val="left"/>
      </w:pPr>
      <w:r>
        <w:rPr>
          <w:rFonts w:ascii="Times New Roman" w:hAnsi="Times New Roman" w:eastAsia="Times New Roman" w:cs="Times New Roman"/>
        </w:rPr>
        <w:t>Nanta sabuubichaafi, kunis sabuubii guddaa barbaachisaa taʼeef, barruun kun dhugaa raajii tokko kan yeroo ammaa Leenci gosa Yihudaan hiikaa jiru hundeessuuf yaaleera. Dhugaan sunis yoo ati mootummaa Waldaa Adventistoota Guyyaa Torbaffaa yeroo hundumaa keessa haala Laa’odiiqeyaa akka turte beekuu hin fedhin taʼe, seeraan seenaa Adventizimii sirriitti qooduuf hin dandeessu; akkasumas seenaa Adventizimii sirriitti qooduu malee, gaanfa Ripabilikaanizimii sirriitti adda baafachuu hin dandeessu.</w:t>
      </w:r>
    </w:p>
    <w:p>
      <w:pPr>
        <w:pStyle w:val="ArticleScripture"/>
        <w:jc w:val="left"/>
      </w:pPr>
      <w:r>
        <w:rPr>
          <w:rFonts w:ascii="Times New Roman" w:hAnsi="Times New Roman" w:eastAsia="Times New Roman" w:cs="Times New Roman"/>
        </w:rPr>
        <w:t>Ahakye, sɛ wɔafa Awurade ne Agyenkwa Yesu Kristo ho nimdeɛ so aguan afi wiase yi mu fi ne fi ne nʼagu fi mu, na wɔsan kɔhyehyɛ wɔn ho bio mu, na edi wɔn so a, wɔn awiei yɛ bɔne sen mfiase no. Na anka eye ma wɔn sɛ wɔanhu trenee kwan no, sen sɛ, wɔahu no akyi no, wɔbɛdan afi ɔhyɛ kronkron a wɔde maa wɔn no ho. Na nea ato wɔn no yɛ sɛnea mmebusɛm a ɛyɛ nokware no ka no: Ɔkraman no asan akɔ nʼankasa fe mu bio; na ɔprako a wɔahohoro no no asan akɔtɔ ne ho wɔ atɛkyɛ mu. 2 Petro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Shumar t’oqneb’ julajuj</dc:title>
  <dc:subject>ئ خطأ ديال البداية</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