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ئالیاس - ژمارەی دوازدەهەم</w:t>
      </w:r>
    </w:p>
    <w:p>
      <w:pPr>
        <w:pStyle w:val="ArticleSubtitle"/>
        <w:jc w:val="left"/>
      </w:pPr>
      <w:r>
        <w:rPr>
          <w:rFonts w:ascii="Segoe UI" w:hAnsi="Segoe UI" w:eastAsia="Segoe UI" w:cs="Segoe UI"/>
        </w:rPr>
        <w:t>هر</w:t>
      </w:r>
      <w:r>
        <w:rPr>
          <w:rFonts w:ascii="Arial" w:hAnsi="Arial" w:eastAsia="Arial" w:cs="Arial"/>
        </w:rPr>
        <w:t xml:space="preserve"> </w:t>
      </w:r>
      <w:r>
        <w:rPr>
          <w:rFonts w:ascii="Segoe UI" w:hAnsi="Segoe UI" w:eastAsia="Segoe UI" w:cs="Segoe UI"/>
        </w:rPr>
        <w:t>دره</w:t>
      </w:r>
      <w:r>
        <w:rPr>
          <w:rFonts w:ascii="Arial" w:hAnsi="Arial" w:eastAsia="Arial" w:cs="Arial"/>
        </w:rPr>
        <w:t>‌</w:t>
      </w:r>
      <w:r>
        <w:rPr>
          <w:rFonts w:ascii="Segoe UI" w:hAnsi="Segoe UI" w:eastAsia="Segoe UI" w:cs="Segoe UI"/>
        </w:rPr>
        <w:t>ای</w:t>
      </w:r>
      <w:r>
        <w:rPr>
          <w:rFonts w:ascii="Arial" w:hAnsi="Arial" w:eastAsia="Arial" w:cs="Arial"/>
        </w:rPr>
        <w:t xml:space="preserve"> </w:t>
      </w:r>
      <w:r>
        <w:rPr>
          <w:rFonts w:ascii="Segoe UI" w:hAnsi="Segoe UI" w:eastAsia="Segoe UI" w:cs="Segoe UI"/>
        </w:rPr>
        <w:t>برافراشته</w:t>
      </w:r>
      <w:r>
        <w:rPr>
          <w:rFonts w:ascii="Arial" w:hAnsi="Arial" w:eastAsia="Arial" w:cs="Arial"/>
        </w:rPr>
        <w:t xml:space="preserve"> </w:t>
      </w:r>
      <w:r>
        <w:rPr>
          <w:rFonts w:ascii="Segoe UI" w:hAnsi="Segoe UI" w:eastAsia="Segoe UI" w:cs="Segoe UI"/>
        </w:rPr>
        <w:t>خواهد</w:t>
      </w:r>
      <w:r>
        <w:rPr>
          <w:rFonts w:ascii="Arial" w:hAnsi="Arial" w:eastAsia="Arial" w:cs="Arial"/>
        </w:rPr>
        <w:t xml:space="preserve"> </w:t>
      </w:r>
      <w:r>
        <w:rPr>
          <w:rFonts w:ascii="Segoe UI" w:hAnsi="Segoe UI" w:eastAsia="Segoe UI" w:cs="Segoe UI"/>
        </w:rPr>
        <w:t>شد</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Ñande roseguí ñañe'ẽ Elías rehe símbolo profético ramo. Elías omombe'u Acabpe ndaiporimo'ãiha ama, ndaha'éiramo iñe'ẽ rupive, mbohapy ary aja.</w:t>
      </w:r>
    </w:p>
    <w:p>
      <w:pPr>
        <w:pStyle w:val="ArticleScripture"/>
        <w:jc w:val="left"/>
      </w:pPr>
      <w:r>
        <w:rPr>
          <w:rFonts w:ascii="Times New Roman" w:hAnsi="Times New Roman" w:eastAsia="Times New Roman" w:cs="Times New Roman"/>
        </w:rPr>
        <w:t>Агьад дыкIэн анцIэ Илья Тишбитэ, Гилад щыIэ къалэхэм ящыщ кIалэр, Ахавым иIуат: «Израилэм иТхьэу, сыпэ иIуэу сыщыт Тхьэм иIащэу, сызыгъэщIэн нэхъ къыхэкIкIэ, мы илъэскIэхэм щIыгъуэ дэкIи уафэ дэкIи къэкIуэнукъым, си псалъэм иIэмэ ар къэкIуэнщ». 1 Царствэхэр 17:1.</w:t>
      </w:r>
    </w:p>
    <w:p>
      <w:pPr>
        <w:pStyle w:val="ArticleBody"/>
        <w:jc w:val="left"/>
      </w:pPr>
      <w:r>
        <w:rPr>
          <w:rFonts w:ascii="Times New Roman" w:hAnsi="Times New Roman" w:eastAsia="Times New Roman" w:cs="Times New Roman"/>
        </w:rPr>
        <w:t>Masih aya nuhun ka kitab Lukas, yén tilu taun éta saéstuna tilu satengah taun.</w:t>
      </w:r>
    </w:p>
    <w:p>
      <w:pPr>
        <w:pStyle w:val="ArticleScripture"/>
        <w:jc w:val="left"/>
      </w:pP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වදාළසේක</w:t>
      </w:r>
      <w:r>
        <w:rPr>
          <w:rFonts w:ascii="Times New Roman" w:hAnsi="Times New Roman" w:eastAsia="Times New Roman" w:cs="Times New Roman"/>
        </w:rPr>
        <w:t xml:space="preserve">: </w:t>
      </w:r>
      <w:r>
        <w:rPr>
          <w:rFonts w:ascii="Nirmala UI" w:hAnsi="Nirmala UI" w:eastAsia="Nirmala UI" w:cs="Nirmala UI"/>
        </w:rPr>
        <w:t>සැබැවින්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කියමි</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රොපේතයෙකු</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ස්වදේශයේ</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නොලබන්නේය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යක්</w:t>
      </w:r>
      <w:r>
        <w:rPr>
          <w:rFonts w:ascii="Times New Roman" w:hAnsi="Times New Roman" w:eastAsia="Times New Roman" w:cs="Times New Roman"/>
        </w:rPr>
        <w:t xml:space="preserve"> </w:t>
      </w:r>
      <w:r>
        <w:rPr>
          <w:rFonts w:ascii="Nirmala UI" w:hAnsi="Nirmala UI" w:eastAsia="Nirmala UI" w:cs="Nirmala UI"/>
        </w:rPr>
        <w:t>කියමි</w:t>
      </w:r>
      <w:r>
        <w:rPr>
          <w:rFonts w:ascii="Times New Roman" w:hAnsi="Times New Roman" w:eastAsia="Times New Roman" w:cs="Times New Roman"/>
        </w:rPr>
        <w:t xml:space="preserve">: </w:t>
      </w:r>
      <w:r>
        <w:rPr>
          <w:rFonts w:ascii="Nirmala UI" w:hAnsi="Nirmala UI" w:eastAsia="Nirmala UI" w:cs="Nirmala UI"/>
        </w:rPr>
        <w:t>එලියාස්ගේ</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අහස</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මුළු</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දුර්භික්ෂයක්</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වැන්දඹුවන්</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ඔවුන්ගෙන්</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එලියාස්</w:t>
      </w:r>
      <w:r>
        <w:rPr>
          <w:rFonts w:ascii="Times New Roman" w:hAnsi="Times New Roman" w:eastAsia="Times New Roman" w:cs="Times New Roman"/>
        </w:rPr>
        <w:t xml:space="preserve"> </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ලද්දේ</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සීදෝනයේ</w:t>
      </w:r>
      <w:r>
        <w:rPr>
          <w:rFonts w:ascii="Times New Roman" w:hAnsi="Times New Roman" w:eastAsia="Times New Roman" w:cs="Times New Roman"/>
        </w:rPr>
        <w:t xml:space="preserve"> </w:t>
      </w:r>
      <w:r>
        <w:rPr>
          <w:rFonts w:ascii="Nirmala UI" w:hAnsi="Nirmala UI" w:eastAsia="Nirmala UI" w:cs="Nirmala UI"/>
        </w:rPr>
        <w:t>නගරයක්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සාරෙප්තාහි</w:t>
      </w:r>
      <w:r>
        <w:rPr>
          <w:rFonts w:ascii="Times New Roman" w:hAnsi="Times New Roman" w:eastAsia="Times New Roman" w:cs="Times New Roman"/>
        </w:rPr>
        <w:t xml:space="preserve"> </w:t>
      </w:r>
      <w:r>
        <w:rPr>
          <w:rFonts w:ascii="Nirmala UI" w:hAnsi="Nirmala UI" w:eastAsia="Nirmala UI" w:cs="Nirmala UI"/>
        </w:rPr>
        <w:t>වැන්දඹු</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රියක්</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ලද්දේය</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4:24–26.</w:t>
      </w:r>
    </w:p>
    <w:p>
      <w:pPr>
        <w:pStyle w:val="ArticleBody"/>
        <w:jc w:val="left"/>
      </w:pPr>
      <w:r>
        <w:rPr>
          <w:rFonts w:ascii="Times New Roman" w:hAnsi="Times New Roman" w:eastAsia="Times New Roman" w:cs="Times New Roman"/>
        </w:rPr>
        <w:t>Las tres años y medio tuvieron lugar en tiempos de Ajab y Jezabel, identificando así los tres años y medio proféticos desde 538 hasta 1798, cuando el papado, representado como Jezabel en la iglesia de Tiatira, gobernó durante la Edad Media Oscura.</w:t>
      </w:r>
    </w:p>
    <w:p>
      <w:pPr>
        <w:pStyle w:val="ArticleScripture"/>
        <w:jc w:val="left"/>
      </w:pPr>
      <w:r>
        <w:rPr>
          <w:rFonts w:ascii="Times New Roman" w:hAnsi="Times New Roman" w:eastAsia="Times New Roman" w:cs="Times New Roman"/>
        </w:rPr>
        <w:t>Mezli k tomám proti tobě několik věcí: trpíš totiž tu ženu Jezábel, která si říká prorokyně, aby učila a sváděla mé služebníky ke smilstvu a k pojídání toho, co bylo obětováno modlám. A dal jsem jí čas, aby činila pokání ze svého smilstva, ale neučinila pokání. Hle, uvrhnu ji na lože a ty, kdo s ní cizoloží, do velikého soužení, jestliže nebudou činit pokání ze svých skutků. A její děti usmrtím smrtí; a všechny církve poznají, že já jsem ten, který zkoumá ledví i srdce; a každému z vás dám podle vašich skutků. Zjevení 2:20–23.</w:t>
      </w:r>
    </w:p>
    <w:p>
      <w:pPr>
        <w:pStyle w:val="ArticleBody"/>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የዛቤል</w:t>
      </w:r>
      <w:r>
        <w:rPr>
          <w:rFonts w:ascii="Times New Roman" w:hAnsi="Times New Roman" w:eastAsia="Times New Roman" w:cs="Times New Roman"/>
        </w:rPr>
        <w:t xml:space="preserve"> “</w:t>
      </w:r>
      <w:r>
        <w:rPr>
          <w:rFonts w:ascii="Ebrima" w:hAnsi="Ebrima" w:eastAsia="Ebrima" w:cs="Ebrima"/>
        </w:rPr>
        <w:t>ንስሓ</w:t>
      </w:r>
      <w:r>
        <w:rPr>
          <w:rFonts w:ascii="Times New Roman" w:hAnsi="Times New Roman" w:eastAsia="Times New Roman" w:cs="Times New Roman"/>
        </w:rPr>
        <w:t xml:space="preserve"> </w:t>
      </w:r>
      <w:r>
        <w:rPr>
          <w:rFonts w:ascii="Ebrima" w:hAnsi="Ebrima" w:eastAsia="Ebrima" w:cs="Ebrima"/>
        </w:rPr>
        <w:t>ንምግባር</w:t>
      </w:r>
      <w:r>
        <w:rPr>
          <w:rFonts w:ascii="Times New Roman" w:hAnsi="Times New Roman" w:eastAsia="Times New Roman" w:cs="Times New Roman"/>
        </w:rPr>
        <w:t xml:space="preserve"> </w:t>
      </w:r>
      <w:r>
        <w:rPr>
          <w:rFonts w:ascii="Ebrima" w:hAnsi="Ebrima" w:eastAsia="Ebrima" w:cs="Ebrima"/>
        </w:rPr>
        <w:t>ዝተዋህባ</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ዓመትን</w:t>
      </w:r>
      <w:r>
        <w:rPr>
          <w:rFonts w:ascii="Times New Roman" w:hAnsi="Times New Roman" w:eastAsia="Times New Roman" w:cs="Times New Roman"/>
        </w:rPr>
        <w:t xml:space="preserve"> </w:t>
      </w:r>
      <w:r>
        <w:rPr>
          <w:rFonts w:ascii="Ebrima" w:hAnsi="Ebrima" w:eastAsia="Ebrima" w:cs="Ebrima"/>
        </w:rPr>
        <w:t>ፍርቅን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538 </w:t>
      </w:r>
      <w:r>
        <w:rPr>
          <w:rFonts w:ascii="Ebrima" w:hAnsi="Ebrima" w:eastAsia="Ebrima" w:cs="Ebrima"/>
        </w:rPr>
        <w:t>ክሳዕ</w:t>
      </w:r>
      <w:r>
        <w:rPr>
          <w:rFonts w:ascii="Times New Roman" w:hAnsi="Times New Roman" w:eastAsia="Times New Roman" w:cs="Times New Roman"/>
        </w:rPr>
        <w:t xml:space="preserve"> 1798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ዓመትን</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ቅጣዕ</w:t>
      </w:r>
      <w:r>
        <w:rPr>
          <w:rFonts w:ascii="Times New Roman" w:hAnsi="Times New Roman" w:eastAsia="Times New Roman" w:cs="Times New Roman"/>
        </w:rPr>
        <w:t xml:space="preserve"> </w:t>
      </w:r>
      <w:r>
        <w:rPr>
          <w:rFonts w:ascii="Ebrima" w:hAnsi="Ebrima" w:eastAsia="Ebrima" w:cs="Ebrima"/>
        </w:rPr>
        <w:t>የዛቤልን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ኤውሮጳ</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ምስኣ</w:t>
      </w:r>
      <w:r>
        <w:rPr>
          <w:rFonts w:ascii="Times New Roman" w:hAnsi="Times New Roman" w:eastAsia="Times New Roman" w:cs="Times New Roman"/>
        </w:rPr>
        <w:t xml:space="preserve"> </w:t>
      </w:r>
      <w:r>
        <w:rPr>
          <w:rFonts w:ascii="Ebrima" w:hAnsi="Ebrima" w:eastAsia="Ebrima" w:cs="Ebrima"/>
        </w:rPr>
        <w:t>ዝሙት</w:t>
      </w:r>
      <w:r>
        <w:rPr>
          <w:rFonts w:ascii="Times New Roman" w:hAnsi="Times New Roman" w:eastAsia="Times New Roman" w:cs="Times New Roman"/>
        </w:rPr>
        <w:t xml:space="preserve"> </w:t>
      </w:r>
      <w:r>
        <w:rPr>
          <w:rFonts w:ascii="Ebrima" w:hAnsi="Ebrima" w:eastAsia="Ebrima" w:cs="Ebrima"/>
        </w:rPr>
        <w:t>ዝፈጸሙን፡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ዓራት</w:t>
      </w:r>
      <w:r>
        <w:rPr>
          <w:rFonts w:ascii="Times New Roman" w:hAnsi="Times New Roman" w:eastAsia="Times New Roman" w:cs="Times New Roman"/>
        </w:rPr>
        <w:t xml:space="preserve"> </w:t>
      </w:r>
      <w:r>
        <w:rPr>
          <w:rFonts w:ascii="Ebrima" w:hAnsi="Ebrima" w:eastAsia="Ebrima" w:cs="Ebrima"/>
        </w:rPr>
        <w:t>ጸበባ</w:t>
      </w:r>
      <w:r>
        <w:rPr>
          <w:rFonts w:ascii="Times New Roman" w:hAnsi="Times New Roman" w:eastAsia="Times New Roman" w:cs="Times New Roman"/>
        </w:rPr>
        <w:t xml:space="preserve"> </w:t>
      </w:r>
      <w:r>
        <w:rPr>
          <w:rFonts w:ascii="Ebrima" w:hAnsi="Ebrima" w:eastAsia="Ebrima" w:cs="Ebrima"/>
        </w:rPr>
        <w:t>ክድርበዩን</w:t>
      </w:r>
      <w:r>
        <w:rPr>
          <w:rFonts w:ascii="Times New Roman" w:hAnsi="Times New Roman" w:eastAsia="Times New Roman" w:cs="Times New Roman"/>
        </w:rPr>
        <w:t xml:space="preserve"> </w:t>
      </w:r>
      <w:r>
        <w:rPr>
          <w:rFonts w:ascii="Ebrima" w:hAnsi="Ebrima" w:eastAsia="Ebrima" w:cs="Ebrima"/>
        </w:rPr>
        <w:t>ደቃ</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ክረኽቦምን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እሙናት</w:t>
      </w:r>
      <w:r>
        <w:rPr>
          <w:rFonts w:ascii="Times New Roman" w:hAnsi="Times New Roman" w:eastAsia="Times New Roman" w:cs="Times New Roman"/>
        </w:rPr>
        <w:t xml:space="preserve"> </w:t>
      </w:r>
      <w:r>
        <w:rPr>
          <w:rFonts w:ascii="Ebrima" w:hAnsi="Ebrima" w:eastAsia="Ebrima" w:cs="Ebrima"/>
        </w:rPr>
        <w:t>ነፍሳት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ዓራት</w:t>
      </w:r>
      <w:r>
        <w:rPr>
          <w:rFonts w:ascii="Times New Roman" w:hAnsi="Times New Roman" w:eastAsia="Times New Roman" w:cs="Times New Roman"/>
        </w:rPr>
        <w:t xml:space="preserve"> </w:t>
      </w:r>
      <w:r>
        <w:rPr>
          <w:rFonts w:ascii="Ebrima" w:hAnsi="Ebrima" w:eastAsia="Ebrima" w:cs="Ebrima"/>
        </w:rPr>
        <w:t>ጸበባ</w:t>
      </w:r>
      <w:r>
        <w:rPr>
          <w:rFonts w:ascii="Times New Roman" w:hAnsi="Times New Roman" w:eastAsia="Times New Roman" w:cs="Times New Roman"/>
        </w:rPr>
        <w:t xml:space="preserve"> </w:t>
      </w:r>
      <w:r>
        <w:rPr>
          <w:rFonts w:ascii="Ebrima" w:hAnsi="Ebrima" w:eastAsia="Ebrima" w:cs="Ebrima"/>
        </w:rPr>
        <w:t>ተደርብዮም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ክነብሩ</w:t>
      </w:r>
      <w:r>
        <w:rPr>
          <w:rFonts w:ascii="Times New Roman" w:hAnsi="Times New Roman" w:eastAsia="Times New Roman" w:cs="Times New Roman"/>
        </w:rPr>
        <w:t xml:space="preserve"> </w:t>
      </w:r>
      <w:r>
        <w:rPr>
          <w:rFonts w:ascii="Ebrima" w:hAnsi="Ebrima" w:eastAsia="Ebrima" w:cs="Ebrima"/>
        </w:rPr>
        <w:t>ነበሮም።</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ዓራት</w:t>
      </w:r>
      <w:r>
        <w:rPr>
          <w:rFonts w:ascii="Times New Roman" w:hAnsi="Times New Roman" w:eastAsia="Times New Roman" w:cs="Times New Roman"/>
        </w:rPr>
        <w:t xml:space="preserve"> </w:t>
      </w:r>
      <w:r>
        <w:rPr>
          <w:rFonts w:ascii="Ebrima" w:hAnsi="Ebrima" w:eastAsia="Ebrima" w:cs="Ebrima"/>
        </w:rPr>
        <w:t>ጸበባ</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ተደርበዩ፡</w:t>
      </w:r>
      <w:r>
        <w:rPr>
          <w:rFonts w:ascii="Times New Roman" w:hAnsi="Times New Roman" w:eastAsia="Times New Roman" w:cs="Times New Roman"/>
        </w:rPr>
        <w:t xml:space="preserve"> </w:t>
      </w:r>
      <w:r>
        <w:rPr>
          <w:rFonts w:ascii="Ebrima" w:hAnsi="Ebrima" w:eastAsia="Ebrima" w:cs="Ebrima"/>
        </w:rPr>
        <w:t>ንእሙናት</w:t>
      </w:r>
      <w:r>
        <w:rPr>
          <w:rFonts w:ascii="Times New Roman" w:hAnsi="Times New Roman" w:eastAsia="Times New Roman" w:cs="Times New Roman"/>
        </w:rPr>
        <w:t xml:space="preserve"> </w:t>
      </w:r>
      <w:r>
        <w:rPr>
          <w:rFonts w:ascii="Ebrima" w:hAnsi="Ebrima" w:eastAsia="Ebrima" w:cs="Ebrima"/>
        </w:rPr>
        <w:t>ህይወት</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ንዘይእሙናት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ዝህብ</w:t>
      </w:r>
      <w:r>
        <w:rPr>
          <w:rFonts w:ascii="Times New Roman" w:hAnsi="Times New Roman" w:eastAsia="Times New Roman" w:cs="Times New Roman"/>
        </w:rPr>
        <w:t xml:space="preserve"> </w:t>
      </w:r>
      <w:r>
        <w:rPr>
          <w:rFonts w:ascii="Ebrima" w:hAnsi="Ebrima" w:eastAsia="Ebrima" w:cs="Ebrima"/>
        </w:rPr>
        <w:t>ውጽኢት፡</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w:t>
      </w:r>
      <w:r>
        <w:rPr>
          <w:rFonts w:ascii="Ebrima" w:hAnsi="Ebrima" w:eastAsia="Ebrima" w:cs="Ebrima"/>
        </w:rPr>
        <w:t>ግብሮም</w:t>
      </w:r>
      <w:r>
        <w:rPr>
          <w:rFonts w:ascii="Times New Roman" w:hAnsi="Times New Roman" w:eastAsia="Times New Roman" w:cs="Times New Roman"/>
        </w:rPr>
        <w:t xml:space="preserve">” </w:t>
      </w:r>
      <w:r>
        <w:rPr>
          <w:rFonts w:ascii="Ebrima" w:hAnsi="Ebrima" w:eastAsia="Ebrima" w:cs="Ebrima"/>
        </w:rPr>
        <w:t>ይውሰን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ዓራት</w:t>
      </w:r>
      <w:r>
        <w:rPr>
          <w:rFonts w:ascii="Times New Roman" w:hAnsi="Times New Roman" w:eastAsia="Times New Roman" w:cs="Times New Roman"/>
        </w:rPr>
        <w:t xml:space="preserve"> </w:t>
      </w:r>
      <w:r>
        <w:rPr>
          <w:rFonts w:ascii="Ebrima" w:hAnsi="Ebrima" w:eastAsia="Ebrima" w:cs="Ebrima"/>
        </w:rPr>
        <w:t>ጸበባ</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እሙናት</w:t>
      </w:r>
      <w:r>
        <w:rPr>
          <w:rFonts w:ascii="Times New Roman" w:hAnsi="Times New Roman" w:eastAsia="Times New Roman" w:cs="Times New Roman"/>
        </w:rPr>
        <w:t xml:space="preserve"> </w:t>
      </w:r>
      <w:r>
        <w:rPr>
          <w:rFonts w:ascii="Ebrima" w:hAnsi="Ebrima" w:eastAsia="Ebrima" w:cs="Ebrima"/>
        </w:rPr>
        <w:t>ትዕግሥትን</w:t>
      </w:r>
      <w:r>
        <w:rPr>
          <w:rFonts w:ascii="Times New Roman" w:hAnsi="Times New Roman" w:eastAsia="Times New Roman" w:cs="Times New Roman"/>
        </w:rPr>
        <w:t xml:space="preserve"> </w:t>
      </w:r>
      <w:r>
        <w:rPr>
          <w:rFonts w:ascii="Ebrima" w:hAnsi="Ebrima" w:eastAsia="Ebrima" w:cs="Ebrima"/>
        </w:rPr>
        <w:t>ህይወትን</w:t>
      </w:r>
      <w:r>
        <w:rPr>
          <w:rFonts w:ascii="Times New Roman" w:hAnsi="Times New Roman" w:eastAsia="Times New Roman" w:cs="Times New Roman"/>
        </w:rPr>
        <w:t xml:space="preserve"> </w:t>
      </w:r>
      <w:r>
        <w:rPr>
          <w:rFonts w:ascii="Ebrima" w:hAnsi="Ebrima" w:eastAsia="Ebrima" w:cs="Ebrima"/>
        </w:rPr>
        <w:t>ወለደ።</w:t>
      </w:r>
      <w:r>
        <w:rPr>
          <w:rFonts w:ascii="Times New Roman" w:hAnsi="Times New Roman" w:eastAsia="Times New Roman" w:cs="Times New Roman"/>
        </w:rPr>
        <w:t xml:space="preserve"> </w:t>
      </w:r>
      <w:r>
        <w:rPr>
          <w:rFonts w:ascii="Ebrima" w:hAnsi="Ebrima" w:eastAsia="Ebrima" w:cs="Ebrima"/>
        </w:rPr>
        <w:t>ዓራት</w:t>
      </w:r>
      <w:r>
        <w:rPr>
          <w:rFonts w:ascii="Times New Roman" w:hAnsi="Times New Roman" w:eastAsia="Times New Roman" w:cs="Times New Roman"/>
        </w:rPr>
        <w:t xml:space="preserve"> </w:t>
      </w:r>
      <w:r>
        <w:rPr>
          <w:rFonts w:ascii="Ebrima" w:hAnsi="Ebrima" w:eastAsia="Ebrima" w:cs="Ebrima"/>
        </w:rPr>
        <w:t>ጸበባኦም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ዓመትን</w:t>
      </w:r>
      <w:r>
        <w:rPr>
          <w:rFonts w:ascii="Times New Roman" w:hAnsi="Times New Roman" w:eastAsia="Times New Roman" w:cs="Times New Roman"/>
        </w:rPr>
        <w:t xml:space="preserve"> </w:t>
      </w:r>
      <w:r>
        <w:rPr>
          <w:rFonts w:ascii="Ebrima" w:hAnsi="Ebrima" w:eastAsia="Ebrima" w:cs="Ebrima"/>
        </w:rPr>
        <w:t>ፍርቅን</w:t>
      </w:r>
      <w:r>
        <w:rPr>
          <w:rFonts w:ascii="Times New Roman" w:hAnsi="Times New Roman" w:eastAsia="Times New Roman" w:cs="Times New Roman"/>
        </w:rPr>
        <w:t xml:space="preserve"> </w:t>
      </w:r>
      <w:r>
        <w:rPr>
          <w:rFonts w:ascii="Ebrima" w:hAnsi="Ebrima" w:eastAsia="Ebrima" w:cs="Ebrima"/>
        </w:rPr>
        <w:t>ኣቢሉ፡</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ሳረፕታ</w:t>
      </w:r>
      <w:r>
        <w:rPr>
          <w:rFonts w:ascii="Times New Roman" w:hAnsi="Times New Roman" w:eastAsia="Times New Roman" w:cs="Times New Roman"/>
        </w:rPr>
        <w:t xml:space="preserve"> </w:t>
      </w:r>
      <w:r>
        <w:rPr>
          <w:rFonts w:ascii="Ebrima" w:hAnsi="Ebrima" w:eastAsia="Ebrima" w:cs="Ebrima"/>
        </w:rPr>
        <w:t>ወጺኡ</w:t>
      </w:r>
      <w:r>
        <w:rPr>
          <w:rFonts w:ascii="Times New Roman" w:hAnsi="Times New Roman" w:eastAsia="Times New Roman" w:cs="Times New Roman"/>
        </w:rPr>
        <w:t xml:space="preserve"> </w:t>
      </w:r>
      <w:r>
        <w:rPr>
          <w:rFonts w:ascii="Ebrima" w:hAnsi="Ebrima" w:eastAsia="Ebrima" w:cs="Ebrima"/>
        </w:rPr>
        <w:t>ንኣከኣብ</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ቀርሜሎስ</w:t>
      </w:r>
      <w:r>
        <w:rPr>
          <w:rFonts w:ascii="Times New Roman" w:hAnsi="Times New Roman" w:eastAsia="Times New Roman" w:cs="Times New Roman"/>
        </w:rPr>
        <w:t xml:space="preserve"> </w:t>
      </w:r>
      <w:r>
        <w:rPr>
          <w:rFonts w:ascii="Ebrima" w:hAnsi="Ebrima" w:eastAsia="Ebrima" w:cs="Ebrima"/>
        </w:rPr>
        <w:t>ክጽውዕ</w:t>
      </w:r>
      <w:r>
        <w:rPr>
          <w:rFonts w:ascii="Times New Roman" w:hAnsi="Times New Roman" w:eastAsia="Times New Roman" w:cs="Times New Roman"/>
        </w:rPr>
        <w:t xml:space="preserve"> </w:t>
      </w:r>
      <w:r>
        <w:rPr>
          <w:rFonts w:ascii="Ebrima" w:hAnsi="Ebrima" w:eastAsia="Ebrima" w:cs="Ebrima"/>
        </w:rPr>
        <w:t>ክእዝዞ</w:t>
      </w:r>
      <w:r>
        <w:rPr>
          <w:rFonts w:ascii="Times New Roman" w:hAnsi="Times New Roman" w:eastAsia="Times New Roman" w:cs="Times New Roman"/>
        </w:rPr>
        <w:t xml:space="preserve"> </w:t>
      </w:r>
      <w:r>
        <w:rPr>
          <w:rFonts w:ascii="Ebrima" w:hAnsi="Ebrima" w:eastAsia="Ebrima" w:cs="Ebrima"/>
        </w:rPr>
        <w:t>ይቋረጽ</w:t>
      </w:r>
      <w:r>
        <w:rPr>
          <w:rFonts w:ascii="Times New Roman" w:hAnsi="Times New Roman" w:eastAsia="Times New Roman" w:cs="Times New Roman"/>
        </w:rPr>
        <w:t xml:space="preserve"> </w:t>
      </w:r>
      <w:r>
        <w:rPr>
          <w:rFonts w:ascii="Ebrima" w:hAnsi="Ebrima" w:eastAsia="Ebrima" w:cs="Ebrima"/>
        </w:rPr>
        <w:t>ነበረ።</w:t>
      </w:r>
    </w:p>
    <w:p>
      <w:pPr>
        <w:pStyle w:val="ArticleScripture"/>
        <w:jc w:val="left"/>
      </w:pPr>
      <w:r>
        <w:rPr>
          <w:rFonts w:ascii="Times New Roman" w:hAnsi="Times New Roman" w:eastAsia="Times New Roman" w:cs="Times New Roman"/>
        </w:rPr>
        <w:t>«Вижаи ир аҳли калисо дар тамоми давраи 1260 сол давом накард. Худо бо раҳмати Худ нисбат ба қавми Худ замони озмоиши оташини онҳоро кӯтоҳ гардонд. Наҷотдиҳанда, ҳангоми пешгӯӣ кардани «мусибати бузург», ки бар калисо хоҳад омад, гуфт: «Ва агар он рӯзҳо кӯтоҳ карда намешуд, ҳеҷ ҷисме наҷот намеёфт; аммо ба хотири баргузидагон он рӯзҳо кӯтоҳ карда хоҳад шуд». Матто 24:22. Ба воситаи таъсири Ислоҳот, вижаи ир пеш аз соли 1798 ба поён расонида шуд». «Муборизаи Бузург», 266, 267.</w:t>
      </w:r>
    </w:p>
    <w:p>
      <w:pPr>
        <w:pStyle w:val="ArticleBody"/>
        <w:jc w:val="left"/>
      </w:pPr>
      <w:r>
        <w:rPr>
          <w:rFonts w:ascii="Times New Roman" w:hAnsi="Times New Roman" w:eastAsia="Times New Roman" w:cs="Times New Roman"/>
        </w:rPr>
        <w:t>Upapa ñakari tupanpi “cama de tribulación” nisqa taripayqa “wawankunata wañuyninwan wañuchinqa,” ichaqa “cama de tribulación” nisqa taripayqa kawsaypaq huk prometesata apamurqa, ruwasqankuna cheqaq kasqankuta rikuchiqkunapaq, imaynachus Sareptapi viudapa churinpa wañuyninpi rikuchisqa kasqan hina.</w:t>
      </w:r>
    </w:p>
    <w:p>
      <w:pPr>
        <w:pStyle w:val="ArticleScripture"/>
        <w:jc w:val="left"/>
      </w:pPr>
      <w:r>
        <w:rPr>
          <w:rFonts w:ascii="Times New Roman" w:hAnsi="Times New Roman" w:eastAsia="Times New Roman" w:cs="Times New Roman"/>
        </w:rPr>
        <w:t>ئەمەش دوای ئەو شتانە ڕوویدا، کوڕی ئەو ژنەی خاوەن ماڵەکە نەخۆش کەوت؛ و نەخۆشییەکەی هەندێک توند بوو، تا ئەوەی هەناسەیەک لە ناویدا نەما. ئەویش بە ئیلیا وت: من و تۆ چیتمان پێکەوە هەیە، ئەی پیاوی خودا؟ ئایا هاتوویت بۆ لای من تاکوو گوناهەکەم بەیادم بهێنیت و کوڕەکەم بکوژیت؟ ئەویش پێی وت: کوڕەکەت بدە من. جا لە باوەشی دایکییەوە وەریگرت، و بردییە سەرژوورەکەی ژوورەوە، لەوێ کە خۆی تێدا دەژیا، و خستیه سەر جێگای خۆی. ئینجا هاواری بۆ یەزدان کرد و وتی: ئەی یەزدانی پەروەردگاری من، ئایا تۆش خراپەیەکت هێناوەتە سەر ئەم بێوەژنەیەی لەلای دەژیم، بەوەی کوڕەکەی دەکوژیت؟ و سێ جار خۆی بەسەر منداڵەکەدا درێژ کردەوە، و هاواری بۆ یەزدان کرد و وتی: ئەی یەزدانی پەروەردگاری من، تکایە گیانی ئەم منداڵە بگەڕێتەوە ناویدا. و یەزدان گوێی لە دەنگی ئیلیا گرت؛ و گیانی منداڵەکە گەڕایەوە ناویدا، و زیندوو بووەوە. ئیلیاش منداڵەکەی هەڵگرت، لە ژوورەوە هێنایە خوارەوە بۆ ناو ماڵەکە، و دایە دەستی دایکی؛ و ئیلیا وتی: سەیر بکە، کوڕەکەت زیندووە. ئەو ژنەش بە ئیلیای وت: ئێستا بەەمە دەزانم کە تۆ پیاوی خودایت، و ئەوەی فەرموودی یەزدانە لە دەمتدا ڕاستییە. ١ پاشایان ١٧:١٧–٢٤.</w:t>
      </w:r>
    </w:p>
    <w:p>
      <w:pPr>
        <w:pStyle w:val="ArticleBody"/>
        <w:jc w:val="left"/>
      </w:pPr>
      <w:r>
        <w:rPr>
          <w:rFonts w:ascii="Nirmala UI" w:hAnsi="Nirmala UI" w:eastAsia="Nirmala UI" w:cs="Nirmala UI"/>
        </w:rPr>
        <w:t>ஆளில்லாத</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எலியா</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மனுஷன்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அறிந்தாள்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அவளுடைய</w:t>
      </w:r>
      <w:r>
        <w:rPr>
          <w:rFonts w:ascii="Times New Roman" w:hAnsi="Times New Roman" w:eastAsia="Times New Roman" w:cs="Times New Roman"/>
        </w:rPr>
        <w:t xml:space="preserve"> </w:t>
      </w:r>
      <w:r>
        <w:rPr>
          <w:rFonts w:ascii="Nirmala UI" w:hAnsi="Nirmala UI" w:eastAsia="Nirmala UI" w:cs="Nirmala UI"/>
        </w:rPr>
        <w:t>பிள்ளையை</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உயிர்ப்பித்த</w:t>
      </w:r>
      <w:r>
        <w:rPr>
          <w:rFonts w:ascii="Times New Roman" w:hAnsi="Times New Roman" w:eastAsia="Times New Roman" w:cs="Times New Roman"/>
        </w:rPr>
        <w:t xml:space="preserve">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w:t>
      </w:r>
      <w:r>
        <w:rPr>
          <w:rFonts w:ascii="Nirmala UI" w:hAnsi="Nirmala UI" w:eastAsia="Nirmala UI" w:cs="Nirmala UI"/>
        </w:rPr>
        <w:t>சத்தியமான</w:t>
      </w:r>
      <w:r>
        <w:rPr>
          <w:rFonts w:ascii="Times New Roman" w:hAnsi="Times New Roman" w:eastAsia="Times New Roman" w:cs="Times New Roman"/>
        </w:rPr>
        <w:t xml:space="preserve">” </w:t>
      </w:r>
      <w:r>
        <w:rPr>
          <w:rFonts w:ascii="Nirmala UI" w:hAnsi="Nirmala UI" w:eastAsia="Nirmala UI" w:cs="Nirmala UI"/>
        </w:rPr>
        <w:t>வார்த்தையாக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எலியா</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விதவையின்</w:t>
      </w:r>
      <w:r>
        <w:rPr>
          <w:rFonts w:ascii="Times New Roman" w:hAnsi="Times New Roman" w:eastAsia="Times New Roman" w:cs="Times New Roman"/>
        </w:rPr>
        <w:t xml:space="preserve"> </w:t>
      </w:r>
      <w:r>
        <w:rPr>
          <w:rFonts w:ascii="Nirmala UI" w:hAnsi="Nirmala UI" w:eastAsia="Nirmala UI" w:cs="Nirmala UI"/>
        </w:rPr>
        <w:t>மகன்</w:t>
      </w:r>
      <w:r>
        <w:rPr>
          <w:rFonts w:ascii="Times New Roman" w:hAnsi="Times New Roman" w:eastAsia="Times New Roman" w:cs="Times New Roman"/>
        </w:rPr>
        <w:t xml:space="preserve"> </w:t>
      </w:r>
      <w:r>
        <w:rPr>
          <w:rFonts w:ascii="Nirmala UI" w:hAnsi="Nirmala UI" w:eastAsia="Nirmala UI" w:cs="Nirmala UI"/>
        </w:rPr>
        <w:t>மீது</w:t>
      </w:r>
      <w:r>
        <w:rPr>
          <w:rFonts w:ascii="Times New Roman" w:hAnsi="Times New Roman" w:eastAsia="Times New Roman" w:cs="Times New Roman"/>
        </w:rPr>
        <w:t xml:space="preserve"> </w:t>
      </w:r>
      <w:r>
        <w:rPr>
          <w:rFonts w:ascii="Nirmala UI" w:hAnsi="Nirmala UI" w:eastAsia="Nirmala UI" w:cs="Nirmala UI"/>
        </w:rPr>
        <w:t>தன்னை</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நிலைகளாக</w:t>
      </w:r>
      <w:r>
        <w:rPr>
          <w:rFonts w:ascii="Times New Roman" w:hAnsi="Times New Roman" w:eastAsia="Times New Roman" w:cs="Times New Roman"/>
        </w:rPr>
        <w:t xml:space="preserve"> </w:t>
      </w:r>
      <w:r>
        <w:rPr>
          <w:rFonts w:ascii="Nirmala UI" w:hAnsi="Nirmala UI" w:eastAsia="Nirmala UI" w:cs="Nirmala UI"/>
        </w:rPr>
        <w:t>நீட்டிக்கொண்ட</w:t>
      </w:r>
      <w:r>
        <w:rPr>
          <w:rFonts w:ascii="Times New Roman" w:hAnsi="Times New Roman" w:eastAsia="Times New Roman" w:cs="Times New Roman"/>
        </w:rPr>
        <w:t xml:space="preserve"> </w:t>
      </w:r>
      <w:r>
        <w:rPr>
          <w:rFonts w:ascii="Nirmala UI" w:hAnsi="Nirmala UI" w:eastAsia="Nirmala UI" w:cs="Nirmala UI"/>
        </w:rPr>
        <w:t>செயற்பாடு</w:t>
      </w:r>
      <w:r>
        <w:rPr>
          <w:rFonts w:ascii="Times New Roman" w:hAnsi="Times New Roman" w:eastAsia="Times New Roman" w:cs="Times New Roman"/>
        </w:rPr>
        <w:t xml:space="preserve">, </w:t>
      </w:r>
      <w:r>
        <w:rPr>
          <w:rFonts w:ascii="Nirmala UI" w:hAnsi="Nirmala UI" w:eastAsia="Nirmala UI" w:cs="Nirmala UI"/>
        </w:rPr>
        <w:t>எலியாவின்</w:t>
      </w:r>
      <w:r>
        <w:rPr>
          <w:rFonts w:ascii="Times New Roman" w:hAnsi="Times New Roman" w:eastAsia="Times New Roman" w:cs="Times New Roman"/>
        </w:rPr>
        <w:t xml:space="preserve"> </w:t>
      </w:r>
      <w:r>
        <w:rPr>
          <w:rFonts w:ascii="Nirmala UI" w:hAnsi="Nirmala UI" w:eastAsia="Nirmala UI" w:cs="Nirmala UI"/>
        </w:rPr>
        <w:t>வாயிலிருந்த</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w:t>
      </w:r>
      <w:r>
        <w:rPr>
          <w:rFonts w:ascii="Nirmala UI" w:hAnsi="Nirmala UI" w:eastAsia="Nirmala UI" w:cs="Nirmala UI"/>
        </w:rPr>
        <w:t>சத்தியம்</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விதவையால்</w:t>
      </w:r>
      <w:r>
        <w:rPr>
          <w:rFonts w:ascii="Times New Roman" w:hAnsi="Times New Roman" w:eastAsia="Times New Roman" w:cs="Times New Roman"/>
        </w:rPr>
        <w:t xml:space="preserve"> </w:t>
      </w:r>
      <w:r>
        <w:rPr>
          <w:rFonts w:ascii="Nirmala UI" w:hAnsi="Nirmala UI" w:eastAsia="Nirmala UI" w:cs="Nirmala UI"/>
        </w:rPr>
        <w:t>உணரப்பட்டது</w:t>
      </w:r>
      <w:r>
        <w:rPr>
          <w:rFonts w:ascii="Times New Roman" w:hAnsi="Times New Roman" w:eastAsia="Times New Roman" w:cs="Times New Roman"/>
        </w:rPr>
        <w:t xml:space="preserve">. </w:t>
      </w:r>
      <w:r>
        <w:rPr>
          <w:rFonts w:ascii="Nirmala UI" w:hAnsi="Nirmala UI" w:eastAsia="Nirmala UI" w:cs="Nirmala UI"/>
        </w:rPr>
        <w:t>எபிரெய</w:t>
      </w:r>
      <w:r>
        <w:rPr>
          <w:rFonts w:ascii="Times New Roman" w:hAnsi="Times New Roman" w:eastAsia="Times New Roman" w:cs="Times New Roman"/>
        </w:rPr>
        <w:t xml:space="preserve"> </w:t>
      </w:r>
      <w:r>
        <w:rPr>
          <w:rFonts w:ascii="Nirmala UI" w:hAnsi="Nirmala UI" w:eastAsia="Nirmala UI" w:cs="Nirmala UI"/>
        </w:rPr>
        <w:t>மொழிச்</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எமேத்</w:t>
      </w:r>
      <w:r>
        <w:rPr>
          <w:rFonts w:ascii="Times New Roman" w:hAnsi="Times New Roman" w:eastAsia="Times New Roman" w:cs="Times New Roman"/>
        </w:rPr>
        <w:t xml:space="preserve">,’ </w:t>
      </w:r>
      <w:r>
        <w:rPr>
          <w:rFonts w:ascii="Nirmala UI" w:hAnsi="Nirmala UI" w:eastAsia="Nirmala UI" w:cs="Nirmala UI"/>
        </w:rPr>
        <w:t>இவ்விடத்தில்</w:t>
      </w:r>
      <w:r>
        <w:rPr>
          <w:rFonts w:ascii="Times New Roman" w:hAnsi="Times New Roman" w:eastAsia="Times New Roman" w:cs="Times New Roman"/>
        </w:rPr>
        <w:t xml:space="preserve"> “</w:t>
      </w:r>
      <w:r>
        <w:rPr>
          <w:rFonts w:ascii="Nirmala UI" w:hAnsi="Nirmala UI" w:eastAsia="Nirmala UI" w:cs="Nirmala UI"/>
        </w:rPr>
        <w:t>சத்தியம்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மொழிபெயர்க்கப்பட்டுள்ளது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ஆல்பாவும்</w:t>
      </w:r>
      <w:r>
        <w:rPr>
          <w:rFonts w:ascii="Times New Roman" w:hAnsi="Times New Roman" w:eastAsia="Times New Roman" w:cs="Times New Roman"/>
        </w:rPr>
        <w:t xml:space="preserve"> </w:t>
      </w:r>
      <w:r>
        <w:rPr>
          <w:rFonts w:ascii="Nirmala UI" w:hAnsi="Nirmala UI" w:eastAsia="Nirmala UI" w:cs="Nirmala UI"/>
        </w:rPr>
        <w:t>ஓமேகாவுமானவரின்</w:t>
      </w:r>
      <w:r>
        <w:rPr>
          <w:rFonts w:ascii="Times New Roman" w:hAnsi="Times New Roman" w:eastAsia="Times New Roman" w:cs="Times New Roman"/>
        </w:rPr>
        <w:t xml:space="preserve"> </w:t>
      </w:r>
      <w:r>
        <w:rPr>
          <w:rFonts w:ascii="Nirmala UI" w:hAnsi="Nirmala UI" w:eastAsia="Nirmala UI" w:cs="Nirmala UI"/>
        </w:rPr>
        <w:t>சிருஷ்டிப்புச்</w:t>
      </w:r>
      <w:r>
        <w:rPr>
          <w:rFonts w:ascii="Times New Roman" w:hAnsi="Times New Roman" w:eastAsia="Times New Roman" w:cs="Times New Roman"/>
        </w:rPr>
        <w:t xml:space="preserve"> </w:t>
      </w:r>
      <w:r>
        <w:rPr>
          <w:rFonts w:ascii="Nirmala UI" w:hAnsi="Nirmala UI" w:eastAsia="Nirmala UI" w:cs="Nirmala UI"/>
        </w:rPr>
        <w:t>சக்தியைச்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எபிரெய</w:t>
      </w:r>
      <w:r>
        <w:rPr>
          <w:rFonts w:ascii="Times New Roman" w:hAnsi="Times New Roman" w:eastAsia="Times New Roman" w:cs="Times New Roman"/>
        </w:rPr>
        <w:t xml:space="preserve"> </w:t>
      </w:r>
      <w:r>
        <w:rPr>
          <w:rFonts w:ascii="Nirmala UI" w:hAnsi="Nirmala UI" w:eastAsia="Nirmala UI" w:cs="Nirmala UI"/>
        </w:rPr>
        <w:t>எழுத்துமுறையின்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பதிமூன்றாம்</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எழுத்துகளால்</w:t>
      </w:r>
      <w:r>
        <w:rPr>
          <w:rFonts w:ascii="Times New Roman" w:hAnsi="Times New Roman" w:eastAsia="Times New Roman" w:cs="Times New Roman"/>
        </w:rPr>
        <w:t xml:space="preserve"> </w:t>
      </w:r>
      <w:r>
        <w:rPr>
          <w:rFonts w:ascii="Nirmala UI" w:hAnsi="Nirmala UI" w:eastAsia="Nirmala UI" w:cs="Nirmala UI"/>
        </w:rPr>
        <w:t>அமைந்த</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இறந்தவர்களை</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உயிர்ப்பிக்க</w:t>
      </w:r>
      <w:r>
        <w:rPr>
          <w:rFonts w:ascii="Times New Roman" w:hAnsi="Times New Roman" w:eastAsia="Times New Roman" w:cs="Times New Roman"/>
        </w:rPr>
        <w:t xml:space="preserve"> </w:t>
      </w:r>
      <w:r>
        <w:rPr>
          <w:rFonts w:ascii="Nirmala UI" w:hAnsi="Nirmala UI" w:eastAsia="Nirmala UI" w:cs="Nirmala UI"/>
        </w:rPr>
        <w:t>வல்ல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அதிகாரத்தை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பிரதிநிதித்துவப்படுத்துகிறது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Lasăsəv, ʒast az ði anlasəsfəl in ðə “spās” əv prəbēšənəri tīm rəprizentəd bī ðə þrī and ə haf yīrz, rəsīvd ðə ʤaʤmənt əv ə “bed əv trɪbjulēšən.” Deþ wəz ði autkəm fər ðə ʧildrən əv ðə klas ðat falōd ðə hôr hu kəmɪtɪd fornɪkēšən and tôṭ ðə daktərinz əv pēgənɪzəm. Līf wəz gɪvən tu ði aþər klas hu falōd ðə dərɛkšənz əv Ilāʤə, and bəlīvd ðə Wərd əv “truþ.”</w:t>
      </w:r>
    </w:p>
    <w:p>
      <w:pPr>
        <w:pStyle w:val="ArticleBody"/>
        <w:jc w:val="left"/>
      </w:pPr>
      <w:r>
        <w:rPr>
          <w:rFonts w:ascii="Leelawadee UI" w:hAnsi="Leelawadee UI" w:eastAsia="Leelawadee UI" w:cs="Leelawadee UI"/>
        </w:rPr>
        <w:t>វិធវានោះបានធ្វើតាមបង្គាប់របស់អេលីយ៉ា</w:t>
      </w:r>
      <w:r>
        <w:rPr>
          <w:rFonts w:ascii="Times New Roman" w:hAnsi="Times New Roman" w:eastAsia="Times New Roman" w:cs="Times New Roman"/>
        </w:rPr>
        <w:t xml:space="preserve"> </w:t>
      </w:r>
      <w:r>
        <w:rPr>
          <w:rFonts w:ascii="Leelawadee UI" w:hAnsi="Leelawadee UI" w:eastAsia="Leelawadee UI" w:cs="Leelawadee UI"/>
        </w:rPr>
        <w:t>ដោយទៅយកទឹកឲ្យគាត់</w:t>
      </w:r>
      <w:r>
        <w:rPr>
          <w:rFonts w:ascii="Times New Roman" w:hAnsi="Times New Roman" w:eastAsia="Times New Roman" w:cs="Times New Roman"/>
        </w:rPr>
        <w:t xml:space="preserve"> </w:t>
      </w:r>
      <w:r>
        <w:rPr>
          <w:rFonts w:ascii="Leelawadee UI" w:hAnsi="Leelawadee UI" w:eastAsia="Leelawadee UI" w:cs="Leelawadee UI"/>
        </w:rPr>
        <w:t>និងឲ្យនំប៉័ងខ្លះដល់គាត់</w:t>
      </w:r>
      <w:r>
        <w:rPr>
          <w:rFonts w:ascii="Times New Roman" w:hAnsi="Times New Roman" w:eastAsia="Times New Roman" w:cs="Times New Roman"/>
        </w:rPr>
        <w:t xml:space="preserve"> </w:t>
      </w:r>
      <w:r>
        <w:rPr>
          <w:rFonts w:ascii="Leelawadee UI" w:hAnsi="Leelawadee UI" w:eastAsia="Leelawadee UI" w:cs="Leelawadee UI"/>
        </w:rPr>
        <w:t>ហើយការគោរពតាមពាក្យរបស់ហោរានេះតំណាងឲ្យពួកស្មោះត្រង់នៅក្នុងយុគងងឹតនៃថាយ៉ាទីរ៉ា។</w:t>
      </w:r>
      <w:r>
        <w:rPr>
          <w:rFonts w:ascii="Times New Roman" w:hAnsi="Times New Roman" w:eastAsia="Times New Roman" w:cs="Times New Roman"/>
        </w:rPr>
        <w:t xml:space="preserve"> (</w:t>
      </w:r>
      <w:r>
        <w:rPr>
          <w:rFonts w:ascii="Leelawadee UI" w:hAnsi="Leelawadee UI" w:eastAsia="Leelawadee UI" w:cs="Leelawadee UI"/>
        </w:rPr>
        <w:t>គួរឲ្យកត់សម្គាល់ថា</w:t>
      </w:r>
      <w:r>
        <w:rPr>
          <w:rFonts w:ascii="Times New Roman" w:hAnsi="Times New Roman" w:eastAsia="Times New Roman" w:cs="Times New Roman"/>
        </w:rPr>
        <w:t xml:space="preserve"> </w:t>
      </w:r>
      <w:r>
        <w:rPr>
          <w:rFonts w:ascii="Leelawadee UI" w:hAnsi="Leelawadee UI" w:eastAsia="Leelawadee UI" w:cs="Leelawadee UI"/>
        </w:rPr>
        <w:t>នៅពេលអេលីយ៉ាបង្គាប់វិធវាឲ្យចិញ្ចឹមគាត់ជាមុនសិន</w:t>
      </w:r>
      <w:r>
        <w:rPr>
          <w:rFonts w:ascii="Times New Roman" w:hAnsi="Times New Roman" w:eastAsia="Times New Roman" w:cs="Times New Roman"/>
        </w:rPr>
        <w:t xml:space="preserve"> </w:t>
      </w:r>
      <w:r>
        <w:rPr>
          <w:rFonts w:ascii="Leelawadee UI" w:hAnsi="Leelawadee UI" w:eastAsia="Leelawadee UI" w:cs="Leelawadee UI"/>
        </w:rPr>
        <w:t>ហើយបន្ទាប់មកទើបចិញ្ចឹមកូនប្រុសរបស់នាង</w:t>
      </w:r>
      <w:r>
        <w:rPr>
          <w:rFonts w:ascii="Times New Roman" w:hAnsi="Times New Roman" w:eastAsia="Times New Roman" w:cs="Times New Roman"/>
        </w:rPr>
        <w:t xml:space="preserve"> </w:t>
      </w:r>
      <w:r>
        <w:rPr>
          <w:rFonts w:ascii="Leelawadee UI" w:hAnsi="Leelawadee UI" w:eastAsia="Leelawadee UI" w:cs="Leelawadee UI"/>
        </w:rPr>
        <w:t>និងខ្លួននាង</w:t>
      </w:r>
      <w:r>
        <w:rPr>
          <w:rFonts w:ascii="Times New Roman" w:hAnsi="Times New Roman" w:eastAsia="Times New Roman" w:cs="Times New Roman"/>
        </w:rPr>
        <w:t xml:space="preserve"> </w:t>
      </w:r>
      <w:r>
        <w:rPr>
          <w:rFonts w:ascii="Leelawadee UI" w:hAnsi="Leelawadee UI" w:eastAsia="Leelawadee UI" w:cs="Leelawadee UI"/>
        </w:rPr>
        <w:t>នោះអ្វីដែលត្រូវបានតំណាងគឺថា</w:t>
      </w:r>
      <w:r>
        <w:rPr>
          <w:rFonts w:ascii="Times New Roman" w:hAnsi="Times New Roman" w:eastAsia="Times New Roman" w:cs="Times New Roman"/>
        </w:rPr>
        <w:t xml:space="preserve"> </w:t>
      </w:r>
      <w:r>
        <w:rPr>
          <w:rFonts w:ascii="Leelawadee UI" w:hAnsi="Leelawadee UI" w:eastAsia="Leelawadee UI" w:cs="Leelawadee UI"/>
        </w:rPr>
        <w:t>អេលីយ៉ាជាអ្នកដំបូងដែលទទួលអាហារសម្រាប់បរិភោគ។</w:t>
      </w:r>
      <w:r>
        <w:rPr>
          <w:rFonts w:ascii="Times New Roman" w:hAnsi="Times New Roman" w:eastAsia="Times New Roman" w:cs="Times New Roman"/>
        </w:rPr>
        <w:t xml:space="preserve"> </w:t>
      </w:r>
      <w:r>
        <w:rPr>
          <w:rFonts w:ascii="Leelawadee UI" w:hAnsi="Leelawadee UI" w:eastAsia="Leelawadee UI" w:cs="Leelawadee UI"/>
        </w:rPr>
        <w:t>គាត់ជាអ្នកដំបូងដែលទទួលសារ</w:t>
      </w:r>
      <w:r>
        <w:rPr>
          <w:rFonts w:ascii="Times New Roman" w:hAnsi="Times New Roman" w:eastAsia="Times New Roman" w:cs="Times New Roman"/>
        </w:rPr>
        <w:t xml:space="preserve"> </w:t>
      </w:r>
      <w:r>
        <w:rPr>
          <w:rFonts w:ascii="Leelawadee UI" w:hAnsi="Leelawadee UI" w:eastAsia="Leelawadee UI" w:cs="Leelawadee UI"/>
        </w:rPr>
        <w:t>ហើយបន្ទាប់មកទើបព្រះវិហារ។</w:t>
      </w:r>
      <w:r>
        <w:rPr>
          <w:rFonts w:ascii="Times New Roman" w:hAnsi="Times New Roman" w:eastAsia="Times New Roman" w:cs="Times New Roman"/>
        </w:rPr>
        <w:t xml:space="preserve">) </w:t>
      </w:r>
      <w:r>
        <w:rPr>
          <w:rFonts w:ascii="Leelawadee UI" w:hAnsi="Leelawadee UI" w:eastAsia="Leelawadee UI" w:cs="Leelawadee UI"/>
        </w:rPr>
        <w:t>យើងត្រូវបានប្រាប់ថា</w:t>
      </w:r>
      <w:r>
        <w:rPr>
          <w:rFonts w:ascii="Times New Roman" w:hAnsi="Times New Roman" w:eastAsia="Times New Roman" w:cs="Times New Roman"/>
        </w:rPr>
        <w:t xml:space="preserve"> </w:t>
      </w:r>
      <w:r>
        <w:rPr>
          <w:rFonts w:ascii="Leelawadee UI" w:hAnsi="Leelawadee UI" w:eastAsia="Leelawadee UI" w:cs="Leelawadee UI"/>
        </w:rPr>
        <w:t>កិច្ចការរបស់ពួកស្មោះត្រង់</w:t>
      </w:r>
      <w:r>
        <w:rPr>
          <w:rFonts w:ascii="Times New Roman" w:hAnsi="Times New Roman" w:eastAsia="Times New Roman" w:cs="Times New Roman"/>
        </w:rPr>
        <w:t xml:space="preserve"> </w:t>
      </w:r>
      <w:r>
        <w:rPr>
          <w:rFonts w:ascii="Leelawadee UI" w:hAnsi="Leelawadee UI" w:eastAsia="Leelawadee UI" w:cs="Leelawadee UI"/>
        </w:rPr>
        <w:t>មានច្រើនលើសនៅចុងបញ្ចប់ជាងនៅដើម។</w:t>
      </w:r>
    </w:p>
    <w:p>
      <w:pPr>
        <w:pStyle w:val="ArticleScripture"/>
        <w:jc w:val="left"/>
      </w:pPr>
      <w:r>
        <w:rPr>
          <w:rFonts w:ascii="Times New Roman" w:hAnsi="Times New Roman" w:eastAsia="Times New Roman" w:cs="Times New Roman"/>
        </w:rPr>
        <w:t>“And unto the angel of the church in Thyatira write” “Bënni suratë tek engjëlli i kishës në Tiatirë”; “These things saith the Son of God” “Kështu thotë Biri i Perëndisë”, “who hath his eyes like unto a flame of fire” “që i ka sytë porsi flakë zjarri”, “and his feet are like fine brass” “dhe këmbët e tij janë si tunxh i kulluar”; “I know thy works” “Unë i njoh veprat e tua”, “and charity, and service, and faith, and thy patience” “edhe dashurinë, edhe shërbesën, edhe besimin, edhe durimin tënd”, “and thy works” “edhe veprat e tua”; “and the last to be more than the first” “dhe të fundit janë më të shumta se të parat”. Zbulesa 2:18, 19.</w:t>
      </w:r>
    </w:p>
    <w:p>
      <w:pPr>
        <w:pStyle w:val="ArticleBody"/>
        <w:jc w:val="left"/>
      </w:pPr>
      <w:r>
        <w:rPr>
          <w:rFonts w:ascii="Times New Roman" w:hAnsi="Times New Roman" w:eastAsia="Times New Roman" w:cs="Times New Roman"/>
        </w:rPr>
        <w:t>A veporoka dia nampiseho “asa” tsara nandritra ilay “fotoana” nomena ny fahefam-papa hibebahany, nefa ny asany tamin’ny farany dia “mihoatra noho ny voalohany.” Rehefa hifarana ilay “fotoana,” Kristy dia naniraka ny kintan’ny maraina amin’ny fanavaozana, izay nanomboka ny asa tsy handefitra intsony amin’ny fahefam-papa, izay nampianatra ny fiangonana “hijangajanga sy hihinana izay naterina ho fanatitra tamin’ny sampy.”</w:t>
      </w:r>
    </w:p>
    <w:p>
      <w:pPr>
        <w:pStyle w:val="ArticleScripture"/>
        <w:jc w:val="left"/>
      </w:pPr>
      <w:r>
        <w:rPr>
          <w:rFonts w:ascii="Times New Roman" w:hAnsi="Times New Roman" w:eastAsia="Times New Roman" w:cs="Times New Roman"/>
        </w:rPr>
        <w:t>“</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शेवटपर्यंत</w:t>
      </w:r>
      <w:r>
        <w:rPr>
          <w:rFonts w:ascii="Times New Roman" w:hAnsi="Times New Roman" w:eastAsia="Times New Roman" w:cs="Times New Roman"/>
        </w:rPr>
        <w:t xml:space="preserve"> </w:t>
      </w:r>
      <w:r>
        <w:rPr>
          <w:rFonts w:ascii="Nirmala UI" w:hAnsi="Nirmala UI" w:eastAsia="Nirmala UI" w:cs="Nirmala UI"/>
        </w:rPr>
        <w:t>पाळत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वयल</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लोखंडाच्या</w:t>
      </w:r>
      <w:r>
        <w:rPr>
          <w:rFonts w:ascii="Times New Roman" w:hAnsi="Times New Roman" w:eastAsia="Times New Roman" w:cs="Times New Roman"/>
        </w:rPr>
        <w:t xml:space="preserve"> </w:t>
      </w:r>
      <w:r>
        <w:rPr>
          <w:rFonts w:ascii="Nirmala UI" w:hAnsi="Nirmala UI" w:eastAsia="Nirmala UI" w:cs="Nirmala UI"/>
        </w:rPr>
        <w:t>दंडान</w:t>
      </w:r>
      <w:r>
        <w:rPr>
          <w:rFonts w:ascii="Times New Roman" w:hAnsi="Times New Roman" w:eastAsia="Times New Roman" w:cs="Times New Roman"/>
        </w:rPr>
        <w:t xml:space="preserve"> </w:t>
      </w:r>
      <w:r>
        <w:rPr>
          <w:rFonts w:ascii="Nirmala UI" w:hAnsi="Nirmala UI" w:eastAsia="Nirmala UI" w:cs="Nirmala UI"/>
        </w:rPr>
        <w:t>तांचेर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कुंभाराच्या</w:t>
      </w:r>
      <w:r>
        <w:rPr>
          <w:rFonts w:ascii="Times New Roman" w:hAnsi="Times New Roman" w:eastAsia="Times New Roman" w:cs="Times New Roman"/>
        </w:rPr>
        <w:t xml:space="preserve"> </w:t>
      </w:r>
      <w:r>
        <w:rPr>
          <w:rFonts w:ascii="Nirmala UI" w:hAnsi="Nirmala UI" w:eastAsia="Nirmala UI" w:cs="Nirmala UI"/>
        </w:rPr>
        <w:t>भांड्यांप्रमाणें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तुकडे</w:t>
      </w:r>
      <w:r>
        <w:rPr>
          <w:rFonts w:ascii="Times New Roman" w:hAnsi="Times New Roman" w:eastAsia="Times New Roman" w:cs="Times New Roman"/>
        </w:rPr>
        <w:t>-</w:t>
      </w:r>
      <w:r>
        <w:rPr>
          <w:rFonts w:ascii="Nirmala UI" w:hAnsi="Nirmala UI" w:eastAsia="Nirmala UI" w:cs="Nirmala UI"/>
        </w:rPr>
        <w:t>तुकडे</w:t>
      </w:r>
      <w:r>
        <w:rPr>
          <w:rFonts w:ascii="Times New Roman" w:hAnsi="Times New Roman" w:eastAsia="Times New Roman" w:cs="Times New Roman"/>
        </w:rPr>
        <w:t xml:space="preserve"> </w:t>
      </w:r>
      <w:r>
        <w:rPr>
          <w:rFonts w:ascii="Nirmala UI" w:hAnsi="Nirmala UI" w:eastAsia="Nirmala UI" w:cs="Nirmala UI"/>
        </w:rPr>
        <w:t>जावंक</w:t>
      </w:r>
      <w:r>
        <w:rPr>
          <w:rFonts w:ascii="Times New Roman" w:hAnsi="Times New Roman" w:eastAsia="Times New Roman" w:cs="Times New Roman"/>
        </w:rPr>
        <w:t xml:space="preserve"> </w:t>
      </w:r>
      <w:r>
        <w:rPr>
          <w:rFonts w:ascii="Nirmala UI" w:hAnsi="Nirmala UI" w:eastAsia="Nirmala UI" w:cs="Nirmala UI"/>
        </w:rPr>
        <w:t>फोडिली</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माझ्या</w:t>
      </w:r>
      <w:r>
        <w:rPr>
          <w:rFonts w:ascii="Times New Roman" w:hAnsi="Times New Roman" w:eastAsia="Times New Roman" w:cs="Times New Roman"/>
        </w:rPr>
        <w:t xml:space="preserve"> </w:t>
      </w:r>
      <w:r>
        <w:rPr>
          <w:rFonts w:ascii="Nirmala UI" w:hAnsi="Nirmala UI" w:eastAsia="Nirmala UI" w:cs="Nirmala UI"/>
        </w:rPr>
        <w:t>पित्याकडल्यान</w:t>
      </w:r>
      <w:r>
        <w:rPr>
          <w:rFonts w:ascii="Times New Roman" w:hAnsi="Times New Roman" w:eastAsia="Times New Roman" w:cs="Times New Roman"/>
        </w:rPr>
        <w:t xml:space="preserve"> </w:t>
      </w:r>
      <w:r>
        <w:rPr>
          <w:rFonts w:ascii="Nirmala UI" w:hAnsi="Nirmala UI" w:eastAsia="Nirmala UI" w:cs="Nirmala UI"/>
        </w:rPr>
        <w:t>स्विकारिलां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प्रभातेचो</w:t>
      </w:r>
      <w:r>
        <w:rPr>
          <w:rFonts w:ascii="Times New Roman" w:hAnsi="Times New Roman" w:eastAsia="Times New Roman" w:cs="Times New Roman"/>
        </w:rPr>
        <w:t xml:space="preserve"> </w:t>
      </w:r>
      <w:r>
        <w:rPr>
          <w:rFonts w:ascii="Nirmala UI" w:hAnsi="Nirmala UI" w:eastAsia="Nirmala UI" w:cs="Nirmala UI"/>
        </w:rPr>
        <w:t>ताऱो</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ज्याका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ताणें</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मंडळ्यांक</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आयकूं</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2:26–29.</w:t>
      </w:r>
    </w:p>
    <w:p>
      <w:pPr>
        <w:pStyle w:val="ArticleBody"/>
        <w:jc w:val="left"/>
      </w:pPr>
      <w:r>
        <w:rPr>
          <w:rFonts w:ascii="Times New Roman" w:hAnsi="Times New Roman" w:eastAsia="Times New Roman" w:cs="Times New Roman"/>
        </w:rPr>
        <w:t>Masih dingats “saky uñtʼanakanïtap” arrepentisiñapatak papadorar churat “pachana” qalltanxatjja, kunattï jupanakax Jezabelaruw jaytapxäna, “kawkïritï jupapachax profetisar sasaw sutichasi, ukhamarak sirvijirinakajar yaticharaki ukat sallqjaraki, wachuq jucha lurañataki ukhamarak idolonakar luqtat manqʼanaka manqʼañataki.” Ukampis “pachana” tukuyarux faithfulanakatakix papadorax jan waltʼäwinakapamp sallqjatanakapamp sarantañapatak janiw jukʼamp jaytapkaniti.</w:t>
      </w:r>
    </w:p>
    <w:p>
      <w:pPr>
        <w:pStyle w:val="ArticleScripture"/>
        <w:jc w:val="left"/>
      </w:pPr>
      <w:r>
        <w:rPr>
          <w:rFonts w:ascii="Times New Roman" w:hAnsi="Times New Roman" w:eastAsia="Times New Roman" w:cs="Times New Roman"/>
        </w:rPr>
        <w:t>«ئەزدەهەمین سەدەدا لە ئینگلتەرا “ئەستێرەی بەیانیی چاكسازی” دەرکەوت. جۆن ویکلیف بانگەوازکەری چاكسازی بوو، نە تەنها بۆ ئینگلتەرا، بەڵکو بۆ هەموو مەسیحییەت. ئەو ناڕەزاییی گەورەی دژ بە ڕۆما کە ڕێگەی پێدرا بیدووێت، هەرگیز نەبوو بێدەنگ بکرێت. ئەو ناڕەزاییە دەستپێکی ئەو ملمڵانێ بوو کە دەبوو بگاتە ئازادکردنی تاکەکان، کڵێساکان، و نەتەوەکان.» The Great Controversy, 80.</w:t>
      </w:r>
    </w:p>
    <w:p>
      <w:pPr>
        <w:pStyle w:val="ArticleBody"/>
        <w:jc w:val="left"/>
      </w:pPr>
      <w:r>
        <w:rPr>
          <w:rFonts w:ascii="Times New Roman" w:hAnsi="Times New Roman" w:eastAsia="Times New Roman" w:cs="Times New Roman"/>
        </w:rPr>
        <w:t>دە خواردنەوەی خزمەتکارانی خودا دەیخۆن، ئەو دۆکتەرینان یان پەیامە کە وەریدەگرن. زیناکاری ئەوەیە کە کڵێسا هێزی دەوڵەت بەکاربهێنێت بۆ ئەنجامدانی جێبەجێکردنی دۆکتەرینە بتپەرستانەکانی خۆی. لەو «ماوە»یەی کە بە جێزەبێل درا بۆ تۆبەکردن، کڵێسا بۆ پاراستن هەڵهاتە بیابان.</w:t>
      </w:r>
    </w:p>
    <w:p>
      <w:pPr>
        <w:pStyle w:val="ArticleScripture"/>
        <w:jc w:val="left"/>
      </w:pPr>
      <w:r>
        <w:rPr>
          <w:rFonts w:ascii="Times New Roman" w:hAnsi="Times New Roman" w:eastAsia="Times New Roman" w:cs="Times New Roman"/>
        </w:rPr>
        <w:t>Añáŋkiŋ wuṡṫe ki iyé tȟokáhe kiŋ él waŋží yuhá, God ečhúŋpi kta hečha, heháŋl tȟaŋka kiŋ él iyáye, kaŋ héhaŋ ečhéya iyé oyúspa kta aŋpétu opáwiŋge kiŋ óta šákpe kiŋ héhaŋ kiŋ čhaŋgléška kiŋ opáwiŋge šákpe kiŋ na opáwiŋge yámni.... Kaŋ wiŋyáŋ kiŋ él wanáblí tȟáŋka waŋ pakhíŋ núŋpa ukíyapi, heháŋl tȟaŋka kiŋ él, owáyawa tȟawówahe él, wayáwa kta; héhaŋ él iwóuŋspeya yuhápi waŋží, na waŋží núŋpa, na waŋží napčhíyužuže, waŋžíŋla iyé šúŋka ská kiŋ íŋyaŋke él hé. Kaŋ maȟpíya-síča kiŋ íŋyaŋke iyé ištáŋyaŋke él mini waŋ bluhá tȟáŋka waŋžíya owáte, wiŋyáŋ kiŋ tókȟa iyáye čha, mini-bluhá kiŋ él káǧa iyé sni kta hečha. Kaŋ makȟá kiŋ wiŋyáŋ kiŋ ótaŋiŋyaŋke, kaŋ makȟá kiŋ iyé ištáŋyaŋke waŋží ožú, kaŋ mini-bluhá kiŋ maȟpíya-síča kiŋ iyé ištáŋyaŋke él ektá iyáya waŋží yúta. Revelation 12:6, 14–16.</w:t>
      </w:r>
    </w:p>
    <w:p>
      <w:pPr>
        <w:pStyle w:val="ArticleBody"/>
        <w:jc w:val="left"/>
      </w:pPr>
      <w:r>
        <w:rPr>
          <w:rFonts w:ascii="Times New Roman" w:hAnsi="Times New Roman" w:eastAsia="Times New Roman" w:cs="Times New Roman"/>
        </w:rPr>
        <w:t>Jezebel no Ahab ñembyahýi jave, Obadiah ohechauka pe ñangarekópe omeʼẽ vaʼekue desiérto pe aravo papal guasu poguýpe.</w:t>
      </w:r>
    </w:p>
    <w:p>
      <w:pPr>
        <w:pStyle w:val="ArticleScripture"/>
        <w:jc w:val="left"/>
      </w:pPr>
      <w:r>
        <w:rPr>
          <w:rFonts w:ascii="Times New Roman" w:hAnsi="Times New Roman" w:eastAsia="Times New Roman" w:cs="Times New Roman"/>
        </w:rPr>
        <w:t>ئەمجا ئەحاب عوبەدیای بانگ کرد، ئەوەی سەرپەرشتیاری ماڵەکەی بوو. (جا عوبەدیا یەزدانێکی زۆر دەترسا؛ چونکە وا بوو، کاتێک ئیزابێل پێغەمبەرانی یەزدان بڕییەوە، عوبەدیا سەد پێغەمبەری برد و بە پەنجا پەنجا لە ئەشکەوتێک شاردنەوە، و بە نان و ئاو خەریکی خواردنی کردن.) ١ پاشایان ١٨:٣، ٤.</w:t>
      </w:r>
    </w:p>
    <w:p>
      <w:pPr>
        <w:pStyle w:val="ArticleBody"/>
        <w:jc w:val="left"/>
      </w:pPr>
      <w:r>
        <w:rPr>
          <w:rFonts w:ascii="Times New Roman" w:hAnsi="Times New Roman" w:eastAsia="Times New Roman" w:cs="Times New Roman"/>
        </w:rPr>
        <w:t>عوبدیاہ دا کم، جیہڑا اوہ نے نبیواں نوں پنجاہ پنجاہ کر کے غاراں وچ لکایا، اوہ اس جگہے دا نشان اے جو بیابان وچ خدا ولوں وفاداراں دی پرورش لئی تیار کیتا گیا سی؛ اوہ جیہڑے پاپائیت دے عقیدے کھان توں انکاری سن، تے اوہ وی جیہڑے اُس ناپاک تعلق نوں قبول کرن توں انکاری سن جو اُس دی یورپ دے بادشاہاں نال زناکاری دے وسیلے نال ظاہر ہوندا اے۔ جِناں عرصہ ایلیاہ نوں صرِفہ دی بیوہ کول خوراک تے ایزبل تے اخی اب توں حفاظت لئی بھیجیا گیا سی، اوہی عرصہ کلیسیا بیابان ول بھج گئی؛ تے اوہ جگہ جو خدا نے اوہناں لئی تیار کیتی سی، عوبدیاہ دے کم دے ذریعے ظاہر کیتی گئی۔</w:t>
      </w:r>
    </w:p>
    <w:p>
      <w:pPr>
        <w:pStyle w:val="ArticleBody"/>
        <w:jc w:val="left"/>
      </w:pPr>
      <w:r>
        <w:rPr>
          <w:rFonts w:ascii="Times New Roman" w:hAnsi="Times New Roman" w:eastAsia="Times New Roman" w:cs="Times New Roman"/>
        </w:rPr>
        <w:t>مەڵگەی شاربوونەوەی ئیلیاس لە سەرەپتە، کە لە عیبریدا «صارەفەت» پێی دەوترێت، واتای پاکسازی دەگەیەنێت. کاتێک ماوەی ئەو دەرفەتەی بە ئیزابێل درا بۆ تۆبەکردن کۆتایی هات، ئیلیاس چوو بۆ ئۆبەدیاه و ئاهابی بانگهێشت تا هەموو ئیسرائیل بۆ کارمەل کۆ بکاتەوە.</w:t>
      </w:r>
    </w:p>
    <w:p>
      <w:pPr>
        <w:pStyle w:val="ArticleScripture"/>
        <w:jc w:val="left"/>
      </w:pPr>
      <w:r>
        <w:rPr>
          <w:rFonts w:ascii="Times New Roman" w:hAnsi="Times New Roman" w:eastAsia="Times New Roman" w:cs="Times New Roman"/>
        </w:rPr>
        <w:t>At qhipa Obadías thakinkaskipan, akhamaraki, Elías jupampi jikisipjjäna; ukatsti jupar uñtʼasajja, ajanupamp oraqer purtʼasisin sänwa: “¿Jumati nayan tata Elíasajja?” Ukatsti jupajj jupar säna: “Nayätwa; saram, uywirimaru yatiyam: ‘Akhamaraki, Elíasax akankiwa’.” 1 Reyes 18:17, 18.</w:t>
      </w:r>
    </w:p>
    <w:p>
      <w:pPr>
        <w:pStyle w:val="ArticleBody"/>
        <w:jc w:val="left"/>
      </w:pPr>
      <w:r>
        <w:rPr>
          <w:rFonts w:ascii="Times New Roman" w:hAnsi="Times New Roman" w:eastAsia="Times New Roman" w:cs="Times New Roman"/>
        </w:rPr>
        <w:t>زمانی که ئێلیا لەگەڵ بیوەژنی سەرەپتا بوو، هێمای سەردەمی تاریکییەکانە. لە چیرۆکی ئێلیا و بیوەژنەکەدا، ئەو دوو دارەقەڵە کۆدەکردەوە، چونکە خەریک بوو بمرێت. بیوەژن لە پێشبینییدا کڵێسایە، و ئەو نوێنەرایەتیی ئەو کڵێسایەی دەکرد کە لە چۆڵەوانییەکەدا بوو و خەریک بوو بمرێت.</w:t>
      </w:r>
    </w:p>
    <w:p>
      <w:pPr>
        <w:pStyle w:val="ArticleScripture"/>
        <w:jc w:val="left"/>
      </w:pPr>
      <w:r>
        <w:rPr>
          <w:rFonts w:ascii="Malgun Gothic" w:hAnsi="Malgun Gothic" w:eastAsia="Malgun Gothic" w:cs="Malgun Gothic"/>
        </w:rPr>
        <w:t>샤르데</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천사에게</w:t>
      </w:r>
      <w:r>
        <w:rPr>
          <w:rFonts w:ascii="Times New Roman" w:hAnsi="Times New Roman" w:eastAsia="Times New Roman" w:cs="Times New Roman"/>
        </w:rPr>
        <w:t xml:space="preserve"> </w:t>
      </w:r>
      <w:r>
        <w:rPr>
          <w:rFonts w:ascii="Malgun Gothic" w:hAnsi="Malgun Gothic" w:eastAsia="Malgun Gothic" w:cs="Malgun Gothic"/>
        </w:rPr>
        <w:t>편지하라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영과</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별을</w:t>
      </w:r>
      <w:r>
        <w:rPr>
          <w:rFonts w:ascii="Times New Roman" w:hAnsi="Times New Roman" w:eastAsia="Times New Roman" w:cs="Times New Roman"/>
        </w:rPr>
        <w:t xml:space="preserve"> </w:t>
      </w:r>
      <w:r>
        <w:rPr>
          <w:rFonts w:ascii="Malgun Gothic" w:hAnsi="Malgun Gothic" w:eastAsia="Malgun Gothic" w:cs="Malgun Gothic"/>
        </w:rPr>
        <w:t>가지신</w:t>
      </w:r>
      <w:r>
        <w:rPr>
          <w:rFonts w:ascii="Times New Roman" w:hAnsi="Times New Roman" w:eastAsia="Times New Roman" w:cs="Times New Roman"/>
        </w:rPr>
        <w:t xml:space="preserve"> </w:t>
      </w:r>
      <w:r>
        <w:rPr>
          <w:rFonts w:ascii="Malgun Gothic" w:hAnsi="Malgun Gothic" w:eastAsia="Malgun Gothic" w:cs="Malgun Gothic"/>
        </w:rPr>
        <w:t>이가</w:t>
      </w:r>
      <w:r>
        <w:rPr>
          <w:rFonts w:ascii="Times New Roman" w:hAnsi="Times New Roman" w:eastAsia="Times New Roman" w:cs="Times New Roman"/>
        </w:rPr>
        <w:t xml:space="preserve"> </w:t>
      </w:r>
      <w:r>
        <w:rPr>
          <w:rFonts w:ascii="Malgun Gothic" w:hAnsi="Malgun Gothic" w:eastAsia="Malgun Gothic" w:cs="Malgun Gothic"/>
        </w:rPr>
        <w:t>말씀하시되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아노니</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이름은</w:t>
      </w:r>
      <w:r>
        <w:rPr>
          <w:rFonts w:ascii="Times New Roman" w:hAnsi="Times New Roman" w:eastAsia="Times New Roman" w:cs="Times New Roman"/>
        </w:rPr>
        <w:t xml:space="preserve"> </w:t>
      </w:r>
      <w:r>
        <w:rPr>
          <w:rFonts w:ascii="Malgun Gothic" w:hAnsi="Malgun Gothic" w:eastAsia="Malgun Gothic" w:cs="Malgun Gothic"/>
        </w:rPr>
        <w:t>가졌으나</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자로다</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깨어</w:t>
      </w:r>
      <w:r>
        <w:rPr>
          <w:rFonts w:ascii="Times New Roman" w:hAnsi="Times New Roman" w:eastAsia="Times New Roman" w:cs="Times New Roman"/>
        </w:rPr>
        <w:t xml:space="preserve">, </w:t>
      </w:r>
      <w:r>
        <w:rPr>
          <w:rFonts w:ascii="Malgun Gothic" w:hAnsi="Malgun Gothic" w:eastAsia="Malgun Gothic" w:cs="Malgun Gothic"/>
        </w:rPr>
        <w:t>남아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죽게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것들을</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행위의</w:t>
      </w:r>
      <w:r>
        <w:rPr>
          <w:rFonts w:ascii="Times New Roman" w:hAnsi="Times New Roman" w:eastAsia="Times New Roman" w:cs="Times New Roman"/>
        </w:rPr>
        <w:t xml:space="preserve"> </w:t>
      </w:r>
      <w:r>
        <w:rPr>
          <w:rFonts w:ascii="Malgun Gothic" w:hAnsi="Malgun Gothic" w:eastAsia="Malgun Gothic" w:cs="Malgun Gothic"/>
        </w:rPr>
        <w:t>온전함을</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찾지</w:t>
      </w:r>
      <w:r>
        <w:rPr>
          <w:rFonts w:ascii="Times New Roman" w:hAnsi="Times New Roman" w:eastAsia="Times New Roman" w:cs="Times New Roman"/>
        </w:rPr>
        <w:t xml:space="preserve"> </w:t>
      </w:r>
      <w:r>
        <w:rPr>
          <w:rFonts w:ascii="Malgun Gothic" w:hAnsi="Malgun Gothic" w:eastAsia="Malgun Gothic" w:cs="Malgun Gothic"/>
        </w:rPr>
        <w:t>못하였음이라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3:1, 2.</w:t>
      </w:r>
    </w:p>
    <w:p>
      <w:pPr>
        <w:pStyle w:val="ArticleBody"/>
        <w:jc w:val="left"/>
      </w:pPr>
      <w:r>
        <w:rPr>
          <w:rFonts w:ascii="Times New Roman" w:hAnsi="Times New Roman" w:eastAsia="Times New Roman" w:cs="Times New Roman"/>
        </w:rPr>
        <w:t>Tte “a y-jujjoñee ñaari bant”, te dafa waajal sa dee bi, bi Iliyas dafa ko doggal.</w:t>
      </w:r>
    </w:p>
    <w:p>
      <w:pPr>
        <w:pStyle w:val="ArticleScripture"/>
        <w:jc w:val="left"/>
      </w:pPr>
      <w:r>
        <w:rPr>
          <w:rFonts w:ascii="Times New Roman" w:hAnsi="Times New Roman" w:eastAsia="Times New Roman" w:cs="Times New Roman"/>
        </w:rPr>
        <w:t>او خداوند کے کلام نے اُس سے فرمایا: اُٹھ، صرفت کو جا، جو صیدا کے علاقہ میں ہے، اور وہاں رہ؛ دیکھ، میں نے وہاں ایک بیوہ عورت کو حکم دیا ہے کہ وہ تیری پرورش کرے۔ چنانچہ وہ اُٹھا اور صرفت کو گیا۔ اور جب وہ شہر کے پھاٹک پر پہنچا تو دیکھ، وہاں ایک بیوہ عورت لکڑیاں چُن رہی تھی؛ اُس نے اُسے پکار کر کہا، میں تجھ سے التماس کرتا ہوں، ایک برتن میں تھوڑا سا پانی میرے لیے لے آ تاکہ میں پیوں۔ اور جب وہ اُسے لینے جا رہی تھی تو اُس نے اُسے پھر پکار کر کہا، میں تجھ سے التماس کرتا ہوں، اپنے ہاتھ میں ایک ٹکڑا روٹی بھی میرے لیے لے آ۔ اُس نے کہا، خداوند تیرے خدا کی حیات کی قسم، میرے پاس کوئی پکی ہوئی روٹی نہیں، صرف ایک مٹکے میں مٹھی بھر آٹا اور ایک کوزے میں تھوڑا سا تیل ہے؛ اور دیکھ، میں دو لکڑیاں چُن رہی ہوں تاکہ جا کر اسے اپنے اور اپنے بیٹے کے لیے تیار کروں، تاکہ ہم اسے کھائیں اور مر جائیں۔ 1 سلاطین 17:8–12۔</w:t>
      </w:r>
    </w:p>
    <w:p>
      <w:pPr>
        <w:pStyle w:val="ArticleBody"/>
        <w:jc w:val="left"/>
      </w:pPr>
      <w:r>
        <w:rPr>
          <w:rFonts w:ascii="Nirmala UI" w:hAnsi="Nirmala UI" w:eastAsia="Nirmala UI" w:cs="Nirmala UI"/>
        </w:rPr>
        <w:t>खार</w:t>
      </w:r>
      <w:r>
        <w:rPr>
          <w:rFonts w:ascii="Times New Roman" w:hAnsi="Times New Roman" w:eastAsia="Times New Roman" w:cs="Times New Roman"/>
        </w:rPr>
        <w:t>-</w:t>
      </w:r>
      <w:r>
        <w:rPr>
          <w:rFonts w:ascii="Nirmala UI" w:hAnsi="Nirmala UI" w:eastAsia="Nirmala UI" w:cs="Nirmala UI"/>
        </w:rPr>
        <w:t>पट्टीचा</w:t>
      </w:r>
      <w:r>
        <w:rPr>
          <w:rFonts w:ascii="Times New Roman" w:hAnsi="Times New Roman" w:eastAsia="Times New Roman" w:cs="Times New Roman"/>
        </w:rPr>
        <w:t xml:space="preserve"> </w:t>
      </w:r>
      <w:r>
        <w:rPr>
          <w:rFonts w:ascii="Nirmala UI" w:hAnsi="Nirmala UI" w:eastAsia="Nirmala UI" w:cs="Nirmala UI"/>
        </w:rPr>
        <w:t>विधवा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काठ्या</w:t>
      </w:r>
      <w:r>
        <w:rPr>
          <w:rFonts w:ascii="Times New Roman" w:hAnsi="Times New Roman" w:eastAsia="Times New Roman" w:cs="Times New Roman"/>
        </w:rPr>
        <w:t xml:space="preserve">” </w:t>
      </w:r>
      <w:r>
        <w:rPr>
          <w:rFonts w:ascii="Nirmala UI" w:hAnsi="Nirmala UI" w:eastAsia="Nirmala UI" w:cs="Nirmala UI"/>
        </w:rPr>
        <w:t>गोळा</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विधवा</w:t>
      </w:r>
      <w:r>
        <w:rPr>
          <w:rFonts w:ascii="Times New Roman" w:hAnsi="Times New Roman" w:eastAsia="Times New Roman" w:cs="Times New Roman"/>
        </w:rPr>
        <w:t xml:space="preserve"> </w:t>
      </w:r>
      <w:r>
        <w:rPr>
          <w:rFonts w:ascii="Nirmala UI" w:hAnsi="Nirmala UI" w:eastAsia="Nirmala UI" w:cs="Nirmala UI"/>
        </w:rPr>
        <w:t>ईजेबेलच्या</w:t>
      </w:r>
      <w:r>
        <w:rPr>
          <w:rFonts w:ascii="Times New Roman" w:hAnsi="Times New Roman" w:eastAsia="Times New Roman" w:cs="Times New Roman"/>
        </w:rPr>
        <w:t xml:space="preserve"> </w:t>
      </w:r>
      <w:r>
        <w:rPr>
          <w:rFonts w:ascii="Nirmala UI" w:hAnsi="Nirmala UI" w:eastAsia="Nirmala UI" w:cs="Nirmala UI"/>
        </w:rPr>
        <w:t>काळातील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लोकांचे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मुलगा</w:t>
      </w:r>
      <w:r>
        <w:rPr>
          <w:rFonts w:ascii="Times New Roman" w:hAnsi="Times New Roman" w:eastAsia="Times New Roman" w:cs="Times New Roman"/>
        </w:rPr>
        <w:t xml:space="preserve"> </w:t>
      </w:r>
      <w:r>
        <w:rPr>
          <w:rFonts w:ascii="Nirmala UI" w:hAnsi="Nirmala UI" w:eastAsia="Nirmala UI" w:cs="Nirmala UI"/>
        </w:rPr>
        <w:t>थयातिराच्या</w:t>
      </w:r>
      <w:r>
        <w:rPr>
          <w:rFonts w:ascii="Times New Roman" w:hAnsi="Times New Roman" w:eastAsia="Times New Roman" w:cs="Times New Roman"/>
        </w:rPr>
        <w:t xml:space="preserve"> </w:t>
      </w:r>
      <w:r>
        <w:rPr>
          <w:rFonts w:ascii="Nirmala UI" w:hAnsi="Nirmala UI" w:eastAsia="Nirmala UI" w:cs="Nirmala UI"/>
        </w:rPr>
        <w:t>इतिहासकाळात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लोकांचे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पुनरुत्थानात</w:t>
      </w:r>
      <w:r>
        <w:rPr>
          <w:rFonts w:ascii="Times New Roman" w:hAnsi="Times New Roman" w:eastAsia="Times New Roman" w:cs="Times New Roman"/>
        </w:rPr>
        <w:t xml:space="preserve"> </w:t>
      </w:r>
      <w:r>
        <w:rPr>
          <w:rFonts w:ascii="Nirmala UI" w:hAnsi="Nirmala UI" w:eastAsia="Nirmala UI" w:cs="Nirmala UI"/>
        </w:rPr>
        <w:t>उठविले</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वचनासह</w:t>
      </w:r>
      <w:r>
        <w:rPr>
          <w:rFonts w:ascii="Times New Roman" w:hAnsi="Times New Roman" w:eastAsia="Times New Roman" w:cs="Times New Roman"/>
        </w:rPr>
        <w:t xml:space="preserve"> </w:t>
      </w:r>
      <w:r>
        <w:rPr>
          <w:rFonts w:ascii="Nirmala UI" w:hAnsi="Nirmala UI" w:eastAsia="Nirmala UI" w:cs="Nirmala UI"/>
        </w:rPr>
        <w:t>मरण</w:t>
      </w:r>
      <w:r>
        <w:rPr>
          <w:rFonts w:ascii="Times New Roman" w:hAnsi="Times New Roman" w:eastAsia="Times New Roman" w:cs="Times New Roman"/>
        </w:rPr>
        <w:t xml:space="preserve"> </w:t>
      </w:r>
      <w:r>
        <w:rPr>
          <w:rFonts w:ascii="Nirmala UI" w:hAnsi="Nirmala UI" w:eastAsia="Nirmala UI" w:cs="Nirmala UI"/>
        </w:rPr>
        <w:t>पावले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Syam sey otronoko, na woketen ase so, na wɔde atemmu hyɛɛ wɔn nsa; na mihuu wɔn a wɔatwa wɔn ti agu no akra, esiane Yesu adansedi no ne Onyankopɔn asɛm no nti, ne wɔn a wɔansɔre ammɔ aboa no ne ne honi no, na wɔannye ne agyirae no angu wɔn moma so anaa wɔn nsa so no; na wɔsan baa nkwa mu na wɔne Kristo dii hene mfe apem. Na awufo a aka no de, wɔansan amma nkwa mu kosii sɛ mfe apem no baa awiei. Eyi ne owusɔre a edi kan no. Nhyira ne kronkron ne nea ɔwɔ kyɛfa wɔ owusɔre a edi kan no mu; eyinom so na owu a ɛto so abien no nni tumi, na mmom wɔbɛyɛ Onyankopɔn ne Kristo asɔfo, na wɔne no bedi hene mfe apem. Adiyisɛm 20:4–6.</w:t>
      </w:r>
    </w:p>
    <w:p>
      <w:pPr>
        <w:pStyle w:val="ArticleBody"/>
        <w:jc w:val="left"/>
      </w:pPr>
      <w:r>
        <w:rPr>
          <w:rFonts w:ascii="Times New Roman" w:hAnsi="Times New Roman" w:eastAsia="Times New Roman" w:cs="Times New Roman"/>
        </w:rPr>
        <w:t>Ан ирэхинль, Сардис ахъалин вуьйцарх, белхин долчу агата цаьрца хьан йижаргаш а, къобалкхахш а, цуьнан кхечу.</w:t>
      </w:r>
    </w:p>
    <w:p>
      <w:pPr>
        <w:pStyle w:val="ArticleScripture"/>
        <w:jc w:val="left"/>
      </w:pPr>
      <w:r>
        <w:rPr>
          <w:rFonts w:ascii="Times New Roman" w:hAnsi="Times New Roman" w:eastAsia="Times New Roman" w:cs="Times New Roman"/>
        </w:rPr>
        <w:t>Aŋ go Sardis nɛ baŋa pɛgɛr bɔra a n bɛra nɛ n yɔgɔ yirise; ka ba bɛ taara nɛ ŋa nɛ fɔɔrɔ wɔlɔ, sabu ba kaan. Nii wo yala, o yɛrɛ bɛ sira a nɛ fɔɔrɔ dɔgɔ; ka n ma bɔ o yɔgɔsi tuma nɛ sɔŋgɔ yikɛgɛbɛra puka nɔɔ, ka n bɛ pɔrɔ o yɔgɔ n Ŋa Fa nɛ o malɛkɛbɛra tɛrɛ. Revelation 3:4, 5.</w:t>
      </w:r>
    </w:p>
    <w:p>
      <w:pPr>
        <w:pStyle w:val="ArticleBody"/>
        <w:jc w:val="left"/>
      </w:pPr>
      <w:r>
        <w:rPr>
          <w:rFonts w:ascii="Nirmala UI" w:hAnsi="Nirmala UI" w:eastAsia="Nirmala UI" w:cs="Nirmala UI"/>
        </w:rPr>
        <w:t>મૃત્યુ</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વિશ્વાસપૂર્વક</w:t>
      </w:r>
      <w:r>
        <w:rPr>
          <w:rFonts w:ascii="Times New Roman" w:hAnsi="Times New Roman" w:eastAsia="Times New Roman" w:cs="Times New Roman"/>
        </w:rPr>
        <w:t xml:space="preserve"> </w:t>
      </w:r>
      <w:r>
        <w:rPr>
          <w:rFonts w:ascii="Nirmala UI" w:hAnsi="Nirmala UI" w:eastAsia="Nirmala UI" w:cs="Nirmala UI"/>
        </w:rPr>
        <w:t>અડગ</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થુઆતીરાની</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સભાના</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વિધવાના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મુહરમાં</w:t>
      </w:r>
      <w:r>
        <w:rPr>
          <w:rFonts w:ascii="Times New Roman" w:hAnsi="Times New Roman" w:eastAsia="Times New Roman" w:cs="Times New Roman"/>
        </w:rPr>
        <w:t xml:space="preserve"> </w:t>
      </w:r>
      <w:r>
        <w:rPr>
          <w:rFonts w:ascii="Nirmala UI" w:hAnsi="Nirmala UI" w:eastAsia="Nirmala UI" w:cs="Nirmala UI"/>
        </w:rPr>
        <w:t>શ્વેત</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Ug seges he had opened the fifth seal, ay saw under the altar the souls of them that were slain for the word of God, and for the testimony which they held: And they cried with a loud voice, saying, How long, O Lord, holy and true, dost thou not judge and avenge our blood on them that dwell on the earth? And white robes were given unto every one of them; and it was said unto them, that they should rest yet for a little season, until their fellowservants also and their brethren, that should be killed as they were, should be fulfilled. Revelation 6:9–11.</w:t>
      </w:r>
    </w:p>
    <w:p>
      <w:pPr>
        <w:pStyle w:val="ArticleBody"/>
        <w:jc w:val="left"/>
      </w:pPr>
      <w:r>
        <w:rPr>
          <w:rFonts w:ascii="Times New Roman" w:hAnsi="Times New Roman" w:eastAsia="Times New Roman" w:cs="Times New Roman"/>
        </w:rPr>
        <w:t>ئاخۆنیانی سەردەمی تاریکی جلە سپییەکان پێدرا، و پێیان گوترا لە گۆڕەکانیاندا پشوو بدەن، هەتا گرووپێکی دیکە لە شەهیدانی پاپایی بکوژرێن، وەک ئەوان کوژران. ئەوان لەلایەن پاپایەتییەوە لە ماوەی سێ ساڵ و نیوەدا کوژرابوون، و بەڵێنی ئەوەیان پێدرا کە پاپایەتی لە کۆتاییدا دادوەری دەکرێت، بەڵام نەک پێش ئەوەی گرووپێکی دووەم لە شەهیدانی پاپایی لەناوببرێن، لە کاتی قەیرانی نزیکی یاسای یەکشەممەدا. خوشک وایت داواکاریی شەهیدان بۆ دادوەری لەسەر پاپایەتی بە دوو دەق لە پەرتوکی ئاشکراکردندا پەیوەست دەکات.</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ကွင်းဆက်တံဆိပ်</w:t>
      </w:r>
      <w:r>
        <w:rPr>
          <w:rFonts w:ascii="Times New Roman" w:hAnsi="Times New Roman" w:eastAsia="Times New Roman" w:cs="Times New Roman"/>
        </w:rPr>
        <w:t xml:space="preserve"> </w:t>
      </w:r>
      <w:r>
        <w:rPr>
          <w:rFonts w:ascii="Myanmar Text" w:hAnsi="Myanmar Text" w:eastAsia="Myanmar Text" w:cs="Myanmar Text"/>
        </w:rPr>
        <w:t>ပဉ္စမကို</w:t>
      </w:r>
      <w:r>
        <w:rPr>
          <w:rFonts w:ascii="Times New Roman" w:hAnsi="Times New Roman" w:eastAsia="Times New Roman" w:cs="Times New Roman"/>
        </w:rPr>
        <w:t xml:space="preserve"> </w:t>
      </w:r>
      <w:r>
        <w:rPr>
          <w:rFonts w:ascii="Myanmar Text" w:hAnsi="Myanmar Text" w:eastAsia="Myanmar Text" w:cs="Myanmar Text"/>
        </w:rPr>
        <w:t>ဖွင့်သောအခါ၊</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လက်ခံရရှိသူ</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ဗျာဒိတ်ရူပါရုံ၌</w:t>
      </w:r>
      <w:r>
        <w:rPr>
          <w:rFonts w:ascii="Times New Roman" w:hAnsi="Times New Roman" w:eastAsia="Times New Roman" w:cs="Times New Roman"/>
        </w:rPr>
        <w:t xml:space="preserve"> </w:t>
      </w:r>
      <w:r>
        <w:rPr>
          <w:rFonts w:ascii="Myanmar Text" w:hAnsi="Myanmar Text" w:eastAsia="Myanmar Text" w:cs="Myanmar Text"/>
        </w:rPr>
        <w:t>ယဇ်ပလ္လင်အောက်တွင်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နှုတ်ကပတ်တော်နှင့်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သက်သေခံခြင်းကြောင့်</w:t>
      </w:r>
      <w:r>
        <w:rPr>
          <w:rFonts w:ascii="Times New Roman" w:hAnsi="Times New Roman" w:eastAsia="Times New Roman" w:cs="Times New Roman"/>
        </w:rPr>
        <w:t xml:space="preserve"> </w:t>
      </w:r>
      <w:r>
        <w:rPr>
          <w:rFonts w:ascii="Myanmar Text" w:hAnsi="Myanmar Text" w:eastAsia="Myanmar Text" w:cs="Myanmar Text"/>
        </w:rPr>
        <w:t>သတ်ဖြတ်ခံခဲ့ရသော</w:t>
      </w:r>
      <w:r>
        <w:rPr>
          <w:rFonts w:ascii="Times New Roman" w:hAnsi="Times New Roman" w:eastAsia="Times New Roman" w:cs="Times New Roman"/>
        </w:rPr>
        <w:t xml:space="preserve"> </w:t>
      </w:r>
      <w:r>
        <w:rPr>
          <w:rFonts w:ascii="Myanmar Text" w:hAnsi="Myanmar Text" w:eastAsia="Myanmar Text" w:cs="Myanmar Text"/>
        </w:rPr>
        <w:t>အစုအဖွဲ့ကို</w:t>
      </w:r>
      <w:r>
        <w:rPr>
          <w:rFonts w:ascii="Times New Roman" w:hAnsi="Times New Roman" w:eastAsia="Times New Roman" w:cs="Times New Roman"/>
        </w:rPr>
        <w:t xml:space="preserve"> </w:t>
      </w:r>
      <w:r>
        <w:rPr>
          <w:rFonts w:ascii="Myanmar Text" w:hAnsi="Myanmar Text" w:eastAsia="Myanmar Text" w:cs="Myanmar Text"/>
        </w:rPr>
        <w:t>မြင်လေ၏။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ရောက်ရှိလာသည်။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သစ္စာရှိ၍</w:t>
      </w:r>
      <w:r>
        <w:rPr>
          <w:rFonts w:ascii="Times New Roman" w:hAnsi="Times New Roman" w:eastAsia="Times New Roman" w:cs="Times New Roman"/>
        </w:rPr>
        <w:t xml:space="preserve"> </w:t>
      </w:r>
      <w:r>
        <w:rPr>
          <w:rFonts w:ascii="Myanmar Text" w:hAnsi="Myanmar Text" w:eastAsia="Myanmar Text" w:cs="Myanmar Text"/>
        </w:rPr>
        <w:t>မှန်ကန်သောသူတို့သည်</w:t>
      </w:r>
      <w:r>
        <w:rPr>
          <w:rFonts w:ascii="Times New Roman" w:hAnsi="Times New Roman" w:eastAsia="Times New Roman" w:cs="Times New Roman"/>
        </w:rPr>
        <w:t xml:space="preserve"> </w:t>
      </w:r>
      <w:r>
        <w:rPr>
          <w:rFonts w:ascii="Myanmar Text" w:hAnsi="Myanmar Text" w:eastAsia="Myanmar Text" w:cs="Myanmar Text"/>
        </w:rPr>
        <w:t>ဗာဗုလုန်မှ</w:t>
      </w:r>
      <w:r>
        <w:rPr>
          <w:rFonts w:ascii="Times New Roman" w:hAnsi="Times New Roman" w:eastAsia="Times New Roman" w:cs="Times New Roman"/>
        </w:rPr>
        <w:t xml:space="preserve"> </w:t>
      </w:r>
      <w:r>
        <w:rPr>
          <w:rFonts w:ascii="Myanmar Text" w:hAnsi="Myanmar Text" w:eastAsia="Myanmar Text" w:cs="Myanmar Text"/>
        </w:rPr>
        <w:t>ထွက်လာကြရန်</w:t>
      </w:r>
      <w:r>
        <w:rPr>
          <w:rFonts w:ascii="Times New Roman" w:hAnsi="Times New Roman" w:eastAsia="Times New Roman" w:cs="Times New Roman"/>
        </w:rPr>
        <w:t xml:space="preserve"> </w:t>
      </w:r>
      <w:r>
        <w:rPr>
          <w:rFonts w:ascii="Myanmar Text" w:hAnsi="Myanmar Text" w:eastAsia="Myanmar Text" w:cs="Myanmar Text"/>
        </w:rPr>
        <w:t>ခေါ်ယူခြင်းခံရကြသည်။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18:1–5, quoted.]” Manuscript Releases, volume 20, 14.</w:t>
      </w:r>
    </w:p>
    <w:p>
      <w:pPr>
        <w:pStyle w:val="ArticleBody"/>
        <w:jc w:val="left"/>
      </w:pPr>
      <w:r>
        <w:rPr>
          <w:rFonts w:ascii="Times New Roman" w:hAnsi="Times New Roman" w:eastAsia="Times New Roman" w:cs="Times New Roman"/>
        </w:rPr>
        <w:t>دلسوزی هەژدە، ئایەتەکانی یەک تا پێنج، دوو دەنگی ئایەتی یەک و ئایەتی چوار نیشان دەدات. دەنگی دووەم بانگەوازی دەرچوونە لە بابڵۆنە، و ئەوە دەستپێکی چەوساندنەوەی یاسای یەکشەممە نیشان دەکات، کاتێک جوڵەی بەهێزی فریشتەی سێیەم، مەڕی دیکەی خودا لە بابڵۆن بانگ دەکاتە دەرەوە. هەروەها ئەو دێڕەکەی پەیوەندیدار بە مووری پێنجەم لە سەرەتای مووری حەوتەم دادەنێت.</w:t>
      </w:r>
    </w:p>
    <w:p>
      <w:pPr>
        <w:pStyle w:val="ArticleScripture"/>
        <w:jc w:val="left"/>
      </w:pPr>
      <w:r>
        <w:rPr>
          <w:rFonts w:ascii="Times New Roman" w:hAnsi="Times New Roman" w:eastAsia="Times New Roman" w:cs="Times New Roman"/>
        </w:rPr>
        <w:t xml:space="preserve">“[Revelation 6:9–11 quoted]. Jumawax yäyohannes yätäsäṭut </w:t>
      </w:r>
      <w:r>
        <w:rPr>
          <w:rFonts w:ascii="Ebrima" w:hAnsi="Ebrima" w:eastAsia="Ebrima" w:cs="Ebrima"/>
        </w:rPr>
        <w:t>ማሳያዎች</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የነበሩ</w:t>
      </w:r>
      <w:r>
        <w:rPr>
          <w:rFonts w:ascii="Times New Roman" w:hAnsi="Times New Roman" w:eastAsia="Times New Roman" w:cs="Times New Roman"/>
        </w:rPr>
        <w:t xml:space="preserve"> </w:t>
      </w:r>
      <w:r>
        <w:rPr>
          <w:rFonts w:ascii="Ebrima" w:hAnsi="Ebrima" w:eastAsia="Ebrima" w:cs="Ebrima"/>
        </w:rPr>
        <w:t>አልነበሩም፤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በወደፊት</w:t>
      </w:r>
      <w:r>
        <w:rPr>
          <w:rFonts w:ascii="Times New Roman" w:hAnsi="Times New Roman" w:eastAsia="Times New Roman" w:cs="Times New Roman"/>
        </w:rPr>
        <w:t xml:space="preserve"> </w:t>
      </w:r>
      <w:r>
        <w:rPr>
          <w:rFonts w:ascii="Ebrima" w:hAnsi="Ebrima" w:eastAsia="Ebrima" w:cs="Ebrima"/>
        </w:rPr>
        <w:t>የዘመን</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የሚሆኑት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«Зохион илчлэл 8:1–4 эш татав.» Гар бичмэлийн хэвлэлүүд, 20-р боть, 197.</w:t>
      </w:r>
    </w:p>
    <w:p>
      <w:pPr>
        <w:pStyle w:val="ArticleBody"/>
        <w:jc w:val="left"/>
      </w:pPr>
      <w:r>
        <w:rPr>
          <w:rFonts w:ascii="Myanmar Text" w:hAnsi="Myanmar Text" w:eastAsia="Myanmar Text" w:cs="Myanmar Text"/>
        </w:rPr>
        <w:t>ခွေဖော်ပြချက်ကျမ်း</w:t>
      </w:r>
      <w:r>
        <w:rPr>
          <w:rFonts w:ascii="Times New Roman" w:hAnsi="Times New Roman" w:eastAsia="Times New Roman" w:cs="Times New Roman"/>
        </w:rPr>
        <w:t xml:space="preserve"> </w:t>
      </w:r>
      <w:r>
        <w:rPr>
          <w:rFonts w:ascii="Myanmar Text" w:hAnsi="Myanmar Text" w:eastAsia="Myanmar Text" w:cs="Myanmar Text"/>
        </w:rPr>
        <w:t>ရှစ်ခန်း၊</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၄</w:t>
      </w:r>
      <w:r>
        <w:rPr>
          <w:rFonts w:ascii="Times New Roman" w:hAnsi="Times New Roman" w:eastAsia="Times New Roman" w:cs="Times New Roman"/>
        </w:rPr>
        <w:t xml:space="preserve"> </w:t>
      </w:r>
      <w:r>
        <w:rPr>
          <w:rFonts w:ascii="Myanmar Text" w:hAnsi="Myanmar Text" w:eastAsia="Myanmar Text" w:cs="Myanmar Text"/>
        </w:rPr>
        <w:t>ထိတွင်</w:t>
      </w:r>
      <w:r>
        <w:rPr>
          <w:rFonts w:ascii="Times New Roman" w:hAnsi="Times New Roman" w:eastAsia="Times New Roman" w:cs="Times New Roman"/>
        </w:rPr>
        <w:t xml:space="preserve"> </w:t>
      </w:r>
      <w:r>
        <w:rPr>
          <w:rFonts w:ascii="Myanmar Text" w:hAnsi="Myanmar Text" w:eastAsia="Myanmar Text" w:cs="Myanmar Text"/>
        </w:rPr>
        <w:t>တံဆိပ်ခုနစ်ခုမြောက်ကို</w:t>
      </w:r>
      <w:r>
        <w:rPr>
          <w:rFonts w:ascii="Times New Roman" w:hAnsi="Times New Roman" w:eastAsia="Times New Roman" w:cs="Times New Roman"/>
        </w:rPr>
        <w:t xml:space="preserve"> </w:t>
      </w:r>
      <w:r>
        <w:rPr>
          <w:rFonts w:ascii="Myanmar Text" w:hAnsi="Myanmar Text" w:eastAsia="Myanmar Text" w:cs="Myanmar Text"/>
        </w:rPr>
        <w:t>ဖွင့်လှစ်သည်။</w:t>
      </w:r>
    </w:p>
    <w:p>
      <w:pPr>
        <w:pStyle w:val="ArticleScripture"/>
        <w:jc w:val="left"/>
      </w:pPr>
      <w:r>
        <w:rPr>
          <w:rFonts w:ascii="Times New Roman" w:hAnsi="Times New Roman" w:eastAsia="Times New Roman" w:cs="Times New Roman"/>
        </w:rPr>
        <w:t>Ketika Ia membuka meterai yang ketujuh, terjadilah keheningan di surga kira-kira setengah jam lamanya. Lalu aku melihat ketujuh malaikat yang berdiri di hadapan Allah; dan kepada mereka diberikan tujuh sangkakala. Maka datanglah seorang malaikat lain dan berdiri di dekat mezbah dengan sebuah pedupaan emas; dan kepadanya diberikan banyak kemenyan, supaya ia mempersembahkannya bersama-sama dengan doa semua orang kudus di atas mezbah emas yang ada di hadapan takhta itu. Maka asap kemenyan itu, bersama-sama dengan doa orang-orang kudus, naik ke hadapan Allah dari tangan malaikat itu. Wahyu 8:1–4.</w:t>
      </w:r>
    </w:p>
    <w:p>
      <w:pPr>
        <w:pStyle w:val="ArticleBody"/>
        <w:jc w:val="left"/>
      </w:pPr>
      <w:r>
        <w:rPr>
          <w:rFonts w:ascii="Myanmar Text" w:hAnsi="Myanmar Text" w:eastAsia="Myanmar Text" w:cs="Myanmar Text"/>
        </w:rPr>
        <w:t>ဆိတ်မှောင်ခေတ်၏</w:t>
      </w:r>
      <w:r>
        <w:rPr>
          <w:rFonts w:ascii="Times New Roman" w:hAnsi="Times New Roman" w:eastAsia="Times New Roman" w:cs="Times New Roman"/>
        </w:rPr>
        <w:t xml:space="preserve"> </w:t>
      </w:r>
      <w:r>
        <w:rPr>
          <w:rFonts w:ascii="Myanmar Text" w:hAnsi="Myanmar Text" w:eastAsia="Myanmar Text" w:cs="Myanmar Text"/>
        </w:rPr>
        <w:t>သက်သေခံအသေခံသူတို့၏</w:t>
      </w:r>
      <w:r>
        <w:rPr>
          <w:rFonts w:ascii="Times New Roman" w:hAnsi="Times New Roman" w:eastAsia="Times New Roman" w:cs="Times New Roman"/>
        </w:rPr>
        <w:t xml:space="preserve"> </w:t>
      </w:r>
      <w:r>
        <w:rPr>
          <w:rFonts w:ascii="Myanmar Text" w:hAnsi="Myanmar Text" w:eastAsia="Myanmar Text" w:cs="Myanmar Text"/>
        </w:rPr>
        <w:t>ပဌနာများသည်</w:t>
      </w:r>
      <w:r>
        <w:rPr>
          <w:rFonts w:ascii="Times New Roman" w:hAnsi="Times New Roman" w:eastAsia="Times New Roman" w:cs="Times New Roman"/>
        </w:rPr>
        <w:t>—</w:t>
      </w:r>
      <w:r>
        <w:rPr>
          <w:rFonts w:ascii="Myanmar Text" w:hAnsi="Myanmar Text" w:eastAsia="Myanmar Text" w:cs="Myanmar Text"/>
        </w:rPr>
        <w:t>ပဉ္စမတံဆိပ်၌</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ဘုရင်များနှင့်</w:t>
      </w:r>
      <w:r>
        <w:rPr>
          <w:rFonts w:ascii="Times New Roman" w:hAnsi="Times New Roman" w:eastAsia="Times New Roman" w:cs="Times New Roman"/>
        </w:rPr>
        <w:t xml:space="preserve"> </w:t>
      </w:r>
      <w:r>
        <w:rPr>
          <w:rFonts w:ascii="Myanmar Text" w:hAnsi="Myanmar Text" w:eastAsia="Myanmar Text" w:cs="Myanmar Text"/>
        </w:rPr>
        <w:t>ကာမပျက်ပြားခြင်းပြုသော</w:t>
      </w:r>
      <w:r>
        <w:rPr>
          <w:rFonts w:ascii="Times New Roman" w:hAnsi="Times New Roman" w:eastAsia="Times New Roman" w:cs="Times New Roman"/>
        </w:rPr>
        <w:t xml:space="preserve"> </w:t>
      </w:r>
      <w:r>
        <w:rPr>
          <w:rFonts w:ascii="Myanmar Text" w:hAnsi="Myanmar Text" w:eastAsia="Myanmar Text" w:cs="Myanmar Text"/>
        </w:rPr>
        <w:t>ပြည့်တန်ဆာမကို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တရားစီရင်တော်မူရန်</w:t>
      </w:r>
      <w:r>
        <w:rPr>
          <w:rFonts w:ascii="Times New Roman" w:hAnsi="Times New Roman" w:eastAsia="Times New Roman" w:cs="Times New Roman"/>
        </w:rPr>
        <w:t xml:space="preserve"> </w:t>
      </w:r>
      <w:r>
        <w:rPr>
          <w:rFonts w:ascii="Myanmar Text" w:hAnsi="Myanmar Text" w:eastAsia="Myanmar Text" w:cs="Myanmar Text"/>
        </w:rPr>
        <w:t>တောင်းဆိုလျက်ရှိသော</w:t>
      </w:r>
      <w:r>
        <w:rPr>
          <w:rFonts w:ascii="Times New Roman" w:hAnsi="Times New Roman" w:eastAsia="Times New Roman" w:cs="Times New Roman"/>
        </w:rPr>
        <w:t xml:space="preserve"> </w:t>
      </w:r>
      <w:r>
        <w:rPr>
          <w:rFonts w:ascii="Myanmar Text" w:hAnsi="Myanmar Text" w:eastAsia="Myanmar Text" w:cs="Myanmar Text"/>
        </w:rPr>
        <w:t>အဆိုပါပဌနာများသည်</w:t>
      </w:r>
      <w:r>
        <w:rPr>
          <w:rFonts w:ascii="Times New Roman" w:hAnsi="Times New Roman" w:eastAsia="Times New Roman" w:cs="Times New Roman"/>
        </w:rPr>
        <w:t>—</w:t>
      </w:r>
      <w:r>
        <w:rPr>
          <w:rFonts w:ascii="Myanmar Text" w:hAnsi="Myanmar Text" w:eastAsia="Myanmar Text" w:cs="Myanmar Text"/>
        </w:rPr>
        <w:t>သတ္တမတံဆိပ်ဖွင့်လှစ်သောအခါ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ရှေ့တော်သို့</w:t>
      </w:r>
      <w:r>
        <w:rPr>
          <w:rFonts w:ascii="Times New Roman" w:hAnsi="Times New Roman" w:eastAsia="Times New Roman" w:cs="Times New Roman"/>
        </w:rPr>
        <w:t xml:space="preserve">” </w:t>
      </w:r>
      <w:r>
        <w:rPr>
          <w:rFonts w:ascii="Myanmar Text" w:hAnsi="Myanmar Text" w:eastAsia="Myanmar Text" w:cs="Myanmar Text"/>
        </w:rPr>
        <w:t>တက်ရောက်ကြသည်။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တစ်ဆယ့်ရှစ်၏</w:t>
      </w:r>
      <w:r>
        <w:rPr>
          <w:rFonts w:ascii="Times New Roman" w:hAnsi="Times New Roman" w:eastAsia="Times New Roman" w:cs="Times New Roman"/>
        </w:rPr>
        <w:t xml:space="preserve"> </w:t>
      </w:r>
      <w:r>
        <w:rPr>
          <w:rFonts w:ascii="Myanmar Text" w:hAnsi="Myanmar Text" w:eastAsia="Myanmar Text" w:cs="Myanmar Text"/>
        </w:rPr>
        <w:t>ဒုတိယအသံနှင့်</w:t>
      </w:r>
      <w:r>
        <w:rPr>
          <w:rFonts w:ascii="Times New Roman" w:hAnsi="Times New Roman" w:eastAsia="Times New Roman" w:cs="Times New Roman"/>
        </w:rPr>
        <w:t xml:space="preserve"> </w:t>
      </w:r>
      <w:r>
        <w:rPr>
          <w:rFonts w:ascii="Myanmar Text" w:hAnsi="Myanmar Text" w:eastAsia="Myanmar Text" w:cs="Myanmar Text"/>
        </w:rPr>
        <w:t>သတ္တမတံဆိပ်ဖွင့်လှစ်ခြင်းကို</w:t>
      </w:r>
      <w:r>
        <w:rPr>
          <w:rFonts w:ascii="Times New Roman" w:hAnsi="Times New Roman" w:eastAsia="Times New Roman" w:cs="Times New Roman"/>
        </w:rPr>
        <w:t xml:space="preserve"> </w:t>
      </w:r>
      <w:r>
        <w:rPr>
          <w:rFonts w:ascii="Myanmar Text" w:hAnsi="Myanmar Text" w:eastAsia="Myanmar Text" w:cs="Myanmar Text"/>
        </w:rPr>
        <w:t>မှုတ်သွင်းတော်မူခြင်းက</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ချိတ်ဆက်ထားသည်။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ဒုတိယအသံ၌ပင်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အပြစ်ဒုစရိုက်များကို</w:t>
      </w:r>
      <w:r>
        <w:rPr>
          <w:rFonts w:ascii="Times New Roman" w:hAnsi="Times New Roman" w:eastAsia="Times New Roman" w:cs="Times New Roman"/>
        </w:rPr>
        <w:t xml:space="preserve"> </w:t>
      </w:r>
      <w:r>
        <w:rPr>
          <w:rFonts w:ascii="Myanmar Text" w:hAnsi="Myanmar Text" w:eastAsia="Myanmar Text" w:cs="Myanmar Text"/>
        </w:rPr>
        <w:t>အောက်မေ့တော်မူပြီး၊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သူမအပေါ်</w:t>
      </w:r>
      <w:r>
        <w:rPr>
          <w:rFonts w:ascii="Times New Roman" w:hAnsi="Times New Roman" w:eastAsia="Times New Roman" w:cs="Times New Roman"/>
        </w:rPr>
        <w:t xml:space="preserve"> </w:t>
      </w:r>
      <w:r>
        <w:rPr>
          <w:rFonts w:ascii="Myanmar Text" w:hAnsi="Myanmar Text" w:eastAsia="Myanmar Text" w:cs="Myanmar Text"/>
        </w:rPr>
        <w:t>ကျရောက်မည့်</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နှစ်ဆပြုတော်မူသဖြင့်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တစ်ကြိမ်သည်</w:t>
      </w:r>
      <w:r>
        <w:rPr>
          <w:rFonts w:ascii="Times New Roman" w:hAnsi="Times New Roman" w:eastAsia="Times New Roman" w:cs="Times New Roman"/>
        </w:rPr>
        <w:t xml:space="preserve"> </w:t>
      </w:r>
      <w:r>
        <w:rPr>
          <w:rFonts w:ascii="Myanmar Text" w:hAnsi="Myanmar Text" w:eastAsia="Myanmar Text" w:cs="Myanmar Text"/>
        </w:rPr>
        <w:t>ဆိတ်မှောင်ခေတ်၏</w:t>
      </w:r>
      <w:r>
        <w:rPr>
          <w:rFonts w:ascii="Times New Roman" w:hAnsi="Times New Roman" w:eastAsia="Times New Roman" w:cs="Times New Roman"/>
        </w:rPr>
        <w:t xml:space="preserve"> </w:t>
      </w:r>
      <w:r>
        <w:rPr>
          <w:rFonts w:ascii="Myanmar Text" w:hAnsi="Myanmar Text" w:eastAsia="Myanmar Text" w:cs="Myanmar Text"/>
        </w:rPr>
        <w:t>သက်သေခံအသေခံသူတို့အတွက်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တစ်ကြိမ်သည်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အကျပ်အတည်း၏</w:t>
      </w:r>
      <w:r>
        <w:rPr>
          <w:rFonts w:ascii="Times New Roman" w:hAnsi="Times New Roman" w:eastAsia="Times New Roman" w:cs="Times New Roman"/>
        </w:rPr>
        <w:t xml:space="preserve"> </w:t>
      </w:r>
      <w:r>
        <w:rPr>
          <w:rFonts w:ascii="Myanmar Text" w:hAnsi="Myanmar Text" w:eastAsia="Myanmar Text" w:cs="Myanmar Text"/>
        </w:rPr>
        <w:t>သွေးချောင်းစီးသတ်ဖြတ်မှုအတွက်</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ئەن جەننەتتىن يەنە بىر ئاۋازنى ئاڭلىدىم، ئۇ مۇنداق دەيتتى: «ئەي مېنىڭ خەلقىم، ئۇنىڭدىن چىقىڭلار؛ ئۇنىڭ گۇناھلىرىغا شېرىك بولۇپ قالماڭلار ۋە ئۇنىڭ ئاپەتلىرىدىن نىسىۋىدار بولماڭلار. چۈنكى ئۇنىڭ گۇناھلىرى ئاسمانغىچە يېتىپ باردى، خۇدا ئۇنىڭ قانۇنسىزلىقلىرىنى ئەسلەپ قالدى. ئۇ سىلەرگە قانداق قايتۇرغان بولسا، سىلەرمۇ ئۇنىڭغا شۇنداق قايتۇرۇڭلار؛ ئۇنىڭ ئەمەللىرىگە قاراپ ئۇنىڭغا ئىككى ھەسسە قايتۇرۇڭلار: ئۇ تولدۇرغان قەدەھتە ئۇنىڭغا ئىككى ھەسسە تولدۇرۇپ بېرىڭلار.» ۋەھىي 18:4–6.</w:t>
      </w:r>
    </w:p>
    <w:p>
      <w:pPr>
        <w:pStyle w:val="ArticleBody"/>
        <w:jc w:val="left"/>
      </w:pPr>
      <w:r>
        <w:rPr>
          <w:rFonts w:ascii="Times New Roman" w:hAnsi="Times New Roman" w:eastAsia="Times New Roman" w:cs="Times New Roman"/>
        </w:rPr>
        <w:t>ساردیس میں وہ تھوڑے لوگ جنہوں نے اپنے لباس آلودہ نہیں کیے تھے، اُن کی نمائندگی کرتے ہیں جو تھیاتیرا کی اُس تاریخ سے نکلے تھے جو 1798 میں اختتام پذیر ہوئی۔ اُن کی نمائندگی صارفتہ کی بیوہ کرتی ہے، ایک ایسی بیوہ جو 1844 میں شادی کی طرف جا رہی تھی۔</w:t>
      </w:r>
    </w:p>
    <w:p>
      <w:pPr>
        <w:pStyle w:val="ArticleScripture"/>
        <w:jc w:val="left"/>
      </w:pPr>
      <w:r>
        <w:rPr>
          <w:rFonts w:ascii="Times New Roman" w:hAnsi="Times New Roman" w:eastAsia="Times New Roman" w:cs="Times New Roman"/>
        </w:rPr>
        <w:t>“Kristor atërsoq ataata nut nunamut isersimaffimmut, illernarnerpaamik, illernartup minguitsunngortinnissaanut, Daniel 8:14-mi saqqummersinneqartoq; Inuup Ernera Ulluisaaqatigiinnut takkunnissaa, Daniel 7:13-mi saqqummiunneqartoq; aammalu Naalakkap naalaffimminut takkunnissaa, Malakiap siulittuutigisaa, tamarmik pisumut ataatsimut nassuiaataapput; tamannalu aamma assersuutigineqarpoq uissap katinnermut takkunnermigut, Kristusip qulinik niviarsianik assersuusiaani, Matthæus 25-mi, oqaatigisaatut.” The Great Controversy, 426.</w:t>
      </w:r>
    </w:p>
    <w:p>
      <w:pPr>
        <w:pStyle w:val="ArticleBody"/>
        <w:jc w:val="left"/>
      </w:pPr>
      <w:r>
        <w:rPr>
          <w:rFonts w:ascii="Myanmar Text" w:hAnsi="Myanmar Text" w:eastAsia="Myanmar Text" w:cs="Myanmar Text"/>
        </w:rPr>
        <w:t>အိလိယက</w:t>
      </w:r>
      <w:r>
        <w:rPr>
          <w:rFonts w:ascii="Times New Roman" w:hAnsi="Times New Roman" w:eastAsia="Times New Roman" w:cs="Times New Roman"/>
        </w:rPr>
        <w:t xml:space="preserve"> </w:t>
      </w:r>
      <w:r>
        <w:rPr>
          <w:rFonts w:ascii="Myanmar Text" w:hAnsi="Myanmar Text" w:eastAsia="Myanmar Text" w:cs="Myanmar Text"/>
        </w:rPr>
        <w:t>မိမိအား</w:t>
      </w:r>
      <w:r>
        <w:rPr>
          <w:rFonts w:ascii="Times New Roman" w:hAnsi="Times New Roman" w:eastAsia="Times New Roman" w:cs="Times New Roman"/>
        </w:rPr>
        <w:t xml:space="preserve"> </w:t>
      </w:r>
      <w:r>
        <w:rPr>
          <w:rFonts w:ascii="Myanmar Text" w:hAnsi="Myanmar Text" w:eastAsia="Myanmar Text" w:cs="Myanmar Text"/>
        </w:rPr>
        <w:t>ကျွေးမွေးစေလိုက်သောအခါ၊</w:t>
      </w:r>
      <w:r>
        <w:rPr>
          <w:rFonts w:ascii="Times New Roman" w:hAnsi="Times New Roman" w:eastAsia="Times New Roman" w:cs="Times New Roman"/>
        </w:rPr>
        <w:t xml:space="preserve"> </w:t>
      </w:r>
      <w:r>
        <w:rPr>
          <w:rFonts w:ascii="Myanmar Text" w:hAnsi="Myanmar Text" w:eastAsia="Myanmar Text" w:cs="Myanmar Text"/>
        </w:rPr>
        <w:t>မုတ်ဆိုးမသည်</w:t>
      </w:r>
      <w:r>
        <w:rPr>
          <w:rFonts w:ascii="Times New Roman" w:hAnsi="Times New Roman" w:eastAsia="Times New Roman" w:cs="Times New Roman"/>
        </w:rPr>
        <w:t xml:space="preserve"> </w:t>
      </w:r>
      <w:r>
        <w:rPr>
          <w:rFonts w:ascii="Myanmar Text" w:hAnsi="Myanmar Text" w:eastAsia="Myanmar Text" w:cs="Myanmar Text"/>
        </w:rPr>
        <w:t>မိမိသေခြင်းမတိုင်မီ</w:t>
      </w:r>
      <w:r>
        <w:rPr>
          <w:rFonts w:ascii="Times New Roman" w:hAnsi="Times New Roman" w:eastAsia="Times New Roman" w:cs="Times New Roman"/>
        </w:rPr>
        <w:t xml:space="preserve"> </w:t>
      </w:r>
      <w:r>
        <w:rPr>
          <w:rFonts w:ascii="Myanmar Text" w:hAnsi="Myanmar Text" w:eastAsia="Myanmar Text" w:cs="Myanmar Text"/>
        </w:rPr>
        <w:t>နောက်ဆုံးညစာကို</w:t>
      </w:r>
      <w:r>
        <w:rPr>
          <w:rFonts w:ascii="Times New Roman" w:hAnsi="Times New Roman" w:eastAsia="Times New Roman" w:cs="Times New Roman"/>
        </w:rPr>
        <w:t xml:space="preserve"> </w:t>
      </w:r>
      <w:r>
        <w:rPr>
          <w:rFonts w:ascii="Myanmar Text" w:hAnsi="Myanmar Text" w:eastAsia="Myanmar Text" w:cs="Myanmar Text"/>
        </w:rPr>
        <w:t>ပြင်ဆင်နေခဲ့သည်။</w:t>
      </w:r>
      <w:r>
        <w:rPr>
          <w:rFonts w:ascii="Times New Roman" w:hAnsi="Times New Roman" w:eastAsia="Times New Roman" w:cs="Times New Roman"/>
        </w:rPr>
        <w:t xml:space="preserve"> </w:t>
      </w:r>
      <w:r>
        <w:rPr>
          <w:rFonts w:ascii="Myanmar Text" w:hAnsi="Myanmar Text" w:eastAsia="Myanmar Text" w:cs="Myanmar Text"/>
        </w:rPr>
        <w:t>ထိုမုတ်ဆိုးမသည်</w:t>
      </w:r>
      <w:r>
        <w:rPr>
          <w:rFonts w:ascii="Times New Roman" w:hAnsi="Times New Roman" w:eastAsia="Times New Roman" w:cs="Times New Roman"/>
        </w:rPr>
        <w:t xml:space="preserve"> Thyatira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သစ္စာရှိသော</w:t>
      </w:r>
      <w:r>
        <w:rPr>
          <w:rFonts w:ascii="Times New Roman" w:hAnsi="Times New Roman" w:eastAsia="Times New Roman" w:cs="Times New Roman"/>
        </w:rPr>
        <w:t xml:space="preserve"> </w:t>
      </w:r>
      <w:r>
        <w:rPr>
          <w:rFonts w:ascii="Myanmar Text" w:hAnsi="Myanmar Text" w:eastAsia="Myanmar Text" w:cs="Myanmar Text"/>
        </w:rPr>
        <w:t>နည်းစုကို</w:t>
      </w:r>
      <w:r>
        <w:rPr>
          <w:rFonts w:ascii="Times New Roman" w:hAnsi="Times New Roman" w:eastAsia="Times New Roman" w:cs="Times New Roman"/>
        </w:rPr>
        <w:t xml:space="preserve"> </w:t>
      </w:r>
      <w:r>
        <w:rPr>
          <w:rFonts w:ascii="Myanmar Text" w:hAnsi="Myanmar Text" w:eastAsia="Myanmar Text" w:cs="Myanmar Text"/>
        </w:rPr>
        <w:t>ပုံဖော်ပြသကာ၊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တုတ်နှစ်ချောင်း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စုဆောင်းလျက်ရှိသော</w:t>
      </w:r>
      <w:r>
        <w:rPr>
          <w:rFonts w:ascii="Times New Roman" w:hAnsi="Times New Roman" w:eastAsia="Times New Roman" w:cs="Times New Roman"/>
        </w:rPr>
        <w:t xml:space="preserve"> Sardis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သစ္စာရှိသော</w:t>
      </w:r>
      <w:r>
        <w:rPr>
          <w:rFonts w:ascii="Times New Roman" w:hAnsi="Times New Roman" w:eastAsia="Times New Roman" w:cs="Times New Roman"/>
        </w:rPr>
        <w:t xml:space="preserve"> </w:t>
      </w:r>
      <w:r>
        <w:rPr>
          <w:rFonts w:ascii="Myanmar Text" w:hAnsi="Myanmar Text" w:eastAsia="Myanmar Text" w:cs="Myanmar Text"/>
        </w:rPr>
        <w:t>နည်းစုသို့</w:t>
      </w:r>
      <w:r>
        <w:rPr>
          <w:rFonts w:ascii="Times New Roman" w:hAnsi="Times New Roman" w:eastAsia="Times New Roman" w:cs="Times New Roman"/>
        </w:rPr>
        <w:t xml:space="preserve"> </w:t>
      </w:r>
      <w:r>
        <w:rPr>
          <w:rFonts w:ascii="Myanmar Text" w:hAnsi="Myanmar Text" w:eastAsia="Myanmar Text" w:cs="Myanmar Text"/>
        </w:rPr>
        <w:t>ကူးပြောင်းသွားခြင်းကိုလည်း</w:t>
      </w:r>
      <w:r>
        <w:rPr>
          <w:rFonts w:ascii="Times New Roman" w:hAnsi="Times New Roman" w:eastAsia="Times New Roman" w:cs="Times New Roman"/>
        </w:rPr>
        <w:t xml:space="preserve"> </w:t>
      </w:r>
      <w:r>
        <w:rPr>
          <w:rFonts w:ascii="Myanmar Text" w:hAnsi="Myanmar Text" w:eastAsia="Myanmar Text" w:cs="Myanmar Text"/>
        </w:rPr>
        <w:t>ဖော်ညွှန်းသည်။</w:t>
      </w:r>
    </w:p>
    <w:p>
      <w:pPr>
        <w:pStyle w:val="ArticleBody"/>
        <w:jc w:val="left"/>
      </w:pPr>
      <w:r>
        <w:rPr>
          <w:rFonts w:ascii="Times New Roman" w:hAnsi="Times New Roman" w:eastAsia="Times New Roman" w:cs="Times New Roman"/>
        </w:rPr>
        <w:t>Le « deux bâtons » représentent les deux maisons de l’ancien Israël, qui furent foulées aux pieds par le paganisme, puis par le papisme, mais qui devaient être rassemblées et réunies en « un seul bâton », dans l’histoire de 1798 à 1844.</w:t>
      </w:r>
    </w:p>
    <w:p>
      <w:pPr>
        <w:pStyle w:val="ArticleScripture"/>
        <w:jc w:val="left"/>
      </w:pPr>
      <w:r>
        <w:rPr>
          <w:rFonts w:ascii="Times New Roman" w:hAnsi="Times New Roman" w:eastAsia="Times New Roman" w:cs="Times New Roman"/>
        </w:rPr>
        <w:t>Әмән Идиниң сөзи йәнә маңа келип мундақ деди: «Әй инсан оғли, өзүңгә бир таяқни алғин вә униң үстигә: “Йәһуда үчүн вә униңға һәмраһ болған Исраил оғуллири үчүн”, дәп язғин; андин йәнә бир таяқни алғин вә униң үстигә: “Йүсүп үчүн, йәни Әфраимниң таяғи вә униңға һәмраһ болған пүтүн Исраил җәмәти үчүн”, дәп язғин. Андин уларни бир-биригә қошуп бир таяқ қилғин; улар сениң қолуңда бир болсун. Сениң хәлқиңниң балилири саңа сөз қилип: “Булар билән немини көздә тутқиниңни бизгә ейтип бәрмәмсән?” — дегәндә, уларға мундақ дегин: “Рәб Пәрвәрдигар мундақ дәйду: Мана, Мән Әфраимниң қолида болған Йүсүпниң таяғини, униңға қошулған Исраил қәбилилирини алимән; андин уларни Йәһуданиң таяғи билән, йәни униң билән қошуп, бир таяқ қилимән; улар Мениң қолумда бир болиду.” Сән язған таяқлар уларниң көз алдида қолуңда болсун. Уларға йәнә мундақ дегин: “Рәб Пәрвәрдигар мундақ дәйду: Мана, Мән Исраил оғуллирини улар кәткән хәлиқләр арисидин алимән, һәр тәрәптин жиғип, өз зиминиға елип келимән. Мән уларни Исраил тағлириниң үстидә, шу зиминда бир хәлиқ қилимән; уларниң һәммисигә бир падиша падиша болиду; улар йәнә һеч қачан икки хәлиқ болмайду, йәнә һеч қачан икки падишалиққа бөлүнмәйду. Улар өзлирини йәнә һеч қачан бутлири билән, жиркиничлик нәрсилири билән, яки һәрқандақ асийлиқлири билән напак қилмайду; бәлки Мән уларни гуна қилған барлиқ олтурақ җайлиридин қутқузуп, пак қилимән. Шуниң билән улар Мениң хәлқим болиду, Мән уларниң Худаси болимән. Қулум Давут уларниң үстидә падиша болиду; уларниң һәммисиниң бир падичиси болиду. Улар Мениң һөкүмлирим бойичә меңип, низамлиримни сақлап, уларни ада қилиду. Улар Мениң қулум Яқупқа бәргән зиминда — атилириңлар турған шу зиминда — макан қилиду; улар, уларниң балилири вә балилириниң балилири анда мәңгү туриду; Қулум Давут уларниң мәңгүлүк әмири болиду. Униңдин ташқири, Мән улар билән аманлиқ әһди түзимән; бу улар билән болған мәңгүлүк әһдә болиду. Мән уларни орунлаштуруп, көпәйтимән вә Өз муқәддәс җайимни уларниң оттурисида мәңгү турғузимән. Мениң чедиримму уларниң үстидә болиду; Мән уларниң Худаси болимән, улар болса Мениң хәлқим болиду. Мениң муқәддәс җайим уларниң оттурисида мәңгү турғанда, әлләр Мән — Пәрвәрдигарниң — Исраилни муқәддәс қилидиғанлиғимни билиду.” Әзакиял 37:15–28.</w:t>
      </w:r>
    </w:p>
    <w:p>
      <w:pPr>
        <w:pStyle w:val="ArticleBody"/>
        <w:jc w:val="left"/>
      </w:pPr>
      <w:r>
        <w:rPr>
          <w:rFonts w:ascii="Times New Roman" w:hAnsi="Times New Roman" w:eastAsia="Times New Roman" w:cs="Times New Roman"/>
        </w:rPr>
        <w:t>Hänä Elias Sareptaan sarip sirayha Ahab nay tukso Israel ooquib laqaan Karmel, ya garéethun church cha widowed chaq wilderness ooquib hlaa, duu sticks ga gathering aqaan fire ya purifies ya widow in advance of ya wedding on October 22, 1844. Ya gathering of ya two sticks, ya gathering of ya Millerite movement aa accomplished in ya last sixty-five year period ya identified in Isaiah seven. Ya northern kingdom, curse of Moses ga suffered 723 BC through 1798, nay ya southern kingdom, same curse ga suffered 677 BC until 1844. In 1844, ya spiritual descendants of those two literal nations, gathered together as one stick, or one nation.</w:t>
      </w:r>
    </w:p>
    <w:p>
      <w:pPr>
        <w:pStyle w:val="ArticleBody"/>
        <w:jc w:val="left"/>
      </w:pPr>
      <w:r>
        <w:rPr>
          <w:rFonts w:ascii="Times New Roman" w:hAnsi="Times New Roman" w:eastAsia="Times New Roman" w:cs="Times New Roman"/>
        </w:rPr>
        <w:t>As manam juk’a chiqanchkiti, Ezequielax pä qawqha lawanakax pä markanakawa sasaw qhanañchi, ukhamaraki mä sapa markaruw tuku.</w:t>
      </w:r>
    </w:p>
    <w:p>
      <w:pPr>
        <w:pStyle w:val="ArticleScripture"/>
        <w:jc w:val="left"/>
      </w:pPr>
      <w:r>
        <w:rPr>
          <w:rFonts w:ascii="Times New Roman" w:hAnsi="Times New Roman" w:eastAsia="Times New Roman" w:cs="Times New Roman"/>
        </w:rPr>
        <w:t>Ka Siria um u long ka Damascus, bad u khlieh ka Damascus u long u Rezin; bad hapoh hynriewphew san snem yn pynpra noh ïa ka Ephraim, ba kan ym long shuh ka jaitbynriew. Bad u khlieh ka Ephraim u long ka Samaria, bad u khlieh ka Samaria u long u khun u Remaliah. Lada phim ngeit, shisha yn ym pynskhem ïa phi. Isaiah 7:8, 9.</w:t>
      </w:r>
    </w:p>
    <w:p>
      <w:pPr>
        <w:pStyle w:val="ArticleBody"/>
        <w:jc w:val="left"/>
      </w:pPr>
      <w:r>
        <w:rPr>
          <w:rFonts w:ascii="Times New Roman" w:hAnsi="Times New Roman" w:eastAsia="Times New Roman" w:cs="Times New Roman"/>
        </w:rPr>
        <w:t>Agar biz oltmish besh yil haqidagi bashoratga ishonmasak, mustahkam bo‘lmaymiz.</w:t>
      </w:r>
    </w:p>
    <w:p>
      <w:pPr>
        <w:pStyle w:val="ArticleBody"/>
        <w:jc w:val="left"/>
      </w:pPr>
      <w:r>
        <w:rPr>
          <w:rFonts w:ascii="Times New Roman" w:hAnsi="Times New Roman" w:eastAsia="Times New Roman" w:cs="Times New Roman"/>
        </w:rPr>
        <w:t>Yatiwaꞌis lo que representa Elías en ohtli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ئالیاس - ژمارەی دوازدەهەم</dc:title>
  <dc:subject>هر دره‌ای برافراشته خواهد شد</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