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Ruuxii Nebinimadaa: Iyyoo Halkan Walakkaa</w:t>
      </w:r>
    </w:p>
    <w:p>
      <w:pPr>
        <w:pStyle w:val="ArticleSubtitle"/>
        <w:jc w:val="left"/>
      </w:pPr>
      <w:r>
        <w:rPr>
          <w:rFonts w:ascii="Arial" w:hAnsi="Arial" w:eastAsia="Arial" w:cs="Arial"/>
        </w:rPr>
        <w:t>таблицаʾ Пайғамбар Хабаққуқтың Екі Тасы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Un Saṃtana Chāyanīpaṇunăy Anubādane</w:t>
      </w:r>
    </w:p>
    <w:p>
      <w:pPr>
        <w:pStyle w:val="ArticleBody"/>
        <w:jc w:val="left"/>
      </w:pPr>
      <w:r>
        <w:rPr>
          <w:rFonts w:ascii="Times New Roman" w:hAnsi="Times New Roman" w:eastAsia="Times New Roman" w:cs="Times New Roman"/>
        </w:rPr>
        <w:t>قریب ہی ہم نے حبقوق کی دو تختیوں کے نقلِ تحریر کو اس غرض سے تیار کرنا شروع کیا کہ اسے ہماری ویب سائٹ پر موجود مختلف زبانوں میں ترجمہ کیا جا سکے۔ زبانی پیشکش کو تحریری پیشکش میں بدلنے کا کام اس سے کہیں زیادہ دشوار ہے جتنا کوئی شخص سمجھ سکتا ہے، اگر وہ ان تمام مراحل سے واقف نہ ہو جن سے گزرنا پڑتا ہے تاکہ ایک زبانی پیشکش کو تحریری صورت دی جا سکے، نیز اس کے ساتھ اس مواد کو بالآخر ویب سائٹ کی مختلف زبانوں میں ترجمہ کرنے کے لازمی مسائل بھی شامل ہیں۔ ہم نے ابھی پچانوے پیشکشوں میں سے پہلی کی نقل کی ادارت شروع ہی کی تھی کہ میں نے ایک اور مرحلہ دریافت کیا جس سے ہمیں بھی گزرنا ہوگا۔ اس کا تعلق 1989 سے لے کر ہماری موجودہ تاریخ تک اس پیغام کی تدریجی ترقی سے ہے۔</w:t>
      </w:r>
    </w:p>
    <w:p>
      <w:pPr>
        <w:pStyle w:val="ArticleBody"/>
        <w:jc w:val="left"/>
      </w:pPr>
      <w:r>
        <w:rPr>
          <w:rFonts w:ascii="Times New Roman" w:hAnsi="Times New Roman" w:eastAsia="Times New Roman" w:cs="Times New Roman"/>
        </w:rPr>
        <w:t>Na vopresentashon ya abaot fifteen years ago, der were troots dat were still in de infant steyj ov andastandin. De fos ov dose troots dat ai mas clarifai iz de arrival ov de second angel in Millerite history. Ai andastood at dat taim dat de second angel arrived wen de Protestant charches began fu close dem doors against Miller im presentation ov de fos angel’s message, in conjunction wit de termination ov de year 1843. William Miller worked pan a reckoning ov taim dat ih believed identified dat de year ov 1843 began pan March 22, 1843 an ended pan March 22, 1844. Ih had thought de three prophecies dat ultimately were placed pan de two sacred charts would terminate in de year ov 1843, an ih believed dat year ended pan March 22, 1844. Ih was wrong pan two points.</w:t>
      </w:r>
    </w:p>
    <w:p>
      <w:pPr>
        <w:pStyle w:val="ArticleBody"/>
        <w:jc w:val="left"/>
      </w:pP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બારના</w:t>
      </w:r>
      <w:r>
        <w:rPr>
          <w:rFonts w:ascii="Times New Roman" w:hAnsi="Times New Roman" w:eastAsia="Times New Roman" w:cs="Times New Roman"/>
        </w:rPr>
        <w:t xml:space="preserve"> 1335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લેવીયવ્યવસ્થા</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2520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આઠના</w:t>
      </w:r>
      <w:r>
        <w:rPr>
          <w:rFonts w:ascii="Times New Roman" w:hAnsi="Times New Roman" w:eastAsia="Times New Roman" w:cs="Times New Roman"/>
        </w:rPr>
        <w:t xml:space="preserve"> 2300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ભવિષ્યવાણીઓનું</w:t>
      </w:r>
      <w:r>
        <w:rPr>
          <w:rFonts w:ascii="Times New Roman" w:hAnsi="Times New Roman" w:eastAsia="Times New Roman" w:cs="Times New Roman"/>
        </w:rPr>
        <w:t xml:space="preserve"> </w:t>
      </w:r>
      <w:r>
        <w:rPr>
          <w:rFonts w:ascii="Nirmala UI" w:hAnsi="Nirmala UI" w:eastAsia="Nirmala UI" w:cs="Nirmala UI"/>
        </w:rPr>
        <w:t>સમાપન</w:t>
      </w:r>
      <w:r>
        <w:rPr>
          <w:rFonts w:ascii="Times New Roman" w:hAnsi="Times New Roman" w:eastAsia="Times New Roman" w:cs="Times New Roman"/>
        </w:rPr>
        <w:t xml:space="preserve"> </w:t>
      </w:r>
      <w:r>
        <w:rPr>
          <w:rFonts w:ascii="Nirmala UI" w:hAnsi="Nirmala UI" w:eastAsia="Nirmala UI" w:cs="Nirmala UI"/>
        </w:rPr>
        <w:t>માર્ચ</w:t>
      </w:r>
      <w:r>
        <w:rPr>
          <w:rFonts w:ascii="Times New Roman" w:hAnsi="Times New Roman" w:eastAsia="Times New Roman" w:cs="Times New Roman"/>
        </w:rPr>
        <w:t xml:space="preserve"> 1844</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હોવાનું</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સમજ્યું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પ્રભુએ</w:t>
      </w:r>
      <w:r>
        <w:rPr>
          <w:rFonts w:ascii="Times New Roman" w:hAnsi="Times New Roman" w:eastAsia="Times New Roman" w:cs="Times New Roman"/>
        </w:rPr>
        <w:t xml:space="preserve"> </w:t>
      </w:r>
      <w:r>
        <w:rPr>
          <w:rFonts w:ascii="Nirmala UI" w:hAnsi="Nirmala UI" w:eastAsia="Nirmala UI" w:cs="Nirmala UI"/>
        </w:rPr>
        <w:t>સેમ્યુઅલ</w:t>
      </w:r>
      <w:r>
        <w:rPr>
          <w:rFonts w:ascii="Times New Roman" w:hAnsi="Times New Roman" w:eastAsia="Times New Roman" w:cs="Times New Roman"/>
        </w:rPr>
        <w:t xml:space="preserve"> </w:t>
      </w:r>
      <w:r>
        <w:rPr>
          <w:rFonts w:ascii="Nirmala UI" w:hAnsi="Nirmala UI" w:eastAsia="Nirmala UI" w:cs="Nirmala UI"/>
        </w:rPr>
        <w:t>સ્નોને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આપીને</w:t>
      </w:r>
      <w:r>
        <w:rPr>
          <w:rFonts w:ascii="Times New Roman" w:hAnsi="Times New Roman" w:eastAsia="Times New Roman" w:cs="Times New Roman"/>
        </w:rPr>
        <w:t xml:space="preserve"> </w:t>
      </w:r>
      <w:r>
        <w:rPr>
          <w:rFonts w:ascii="Nirmala UI" w:hAnsi="Nirmala UI" w:eastAsia="Nirmala UI" w:cs="Nirmala UI"/>
        </w:rPr>
        <w:t>માર્ગદર્શન</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ભવિષ્યવાણીઓનું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1843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1844</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સ્નોએ</w:t>
      </w:r>
      <w:r>
        <w:rPr>
          <w:rFonts w:ascii="Times New Roman" w:hAnsi="Times New Roman" w:eastAsia="Times New Roman" w:cs="Times New Roman"/>
        </w:rPr>
        <w:t xml:space="preserve"> </w:t>
      </w:r>
      <w:r>
        <w:rPr>
          <w:rFonts w:ascii="Nirmala UI" w:hAnsi="Nirmala UI" w:eastAsia="Nirmala UI" w:cs="Nirmala UI"/>
        </w:rPr>
        <w:t>સમયગણનાની</w:t>
      </w:r>
      <w:r>
        <w:rPr>
          <w:rFonts w:ascii="Times New Roman" w:hAnsi="Times New Roman" w:eastAsia="Times New Roman" w:cs="Times New Roman"/>
        </w:rPr>
        <w:t xml:space="preserve"> </w:t>
      </w:r>
      <w:r>
        <w:rPr>
          <w:rFonts w:ascii="Nirmala UI" w:hAnsi="Nirmala UI" w:eastAsia="Nirmala UI" w:cs="Nirmala UI"/>
        </w:rPr>
        <w:t>કરાઈટ</w:t>
      </w:r>
      <w:r>
        <w:rPr>
          <w:rFonts w:ascii="Times New Roman" w:hAnsi="Times New Roman" w:eastAsia="Times New Roman" w:cs="Times New Roman"/>
        </w:rPr>
        <w:t xml:space="preserve"> </w:t>
      </w:r>
      <w:r>
        <w:rPr>
          <w:rFonts w:ascii="Nirmala UI" w:hAnsi="Nirmala UI" w:eastAsia="Nirmala UI" w:cs="Nirmala UI"/>
        </w:rPr>
        <w:t>પદ્ધતિનો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સમયગણનાની</w:t>
      </w:r>
      <w:r>
        <w:rPr>
          <w:rFonts w:ascii="Times New Roman" w:hAnsi="Times New Roman" w:eastAsia="Times New Roman" w:cs="Times New Roman"/>
        </w:rPr>
        <w:t xml:space="preserve"> </w:t>
      </w:r>
      <w:r>
        <w:rPr>
          <w:rFonts w:ascii="Nirmala UI" w:hAnsi="Nirmala UI" w:eastAsia="Nirmala UI" w:cs="Nirmala UI"/>
        </w:rPr>
        <w:t>પદ્ધતિથી</w:t>
      </w:r>
      <w:r>
        <w:rPr>
          <w:rFonts w:ascii="Times New Roman" w:hAnsi="Times New Roman" w:eastAsia="Times New Roman" w:cs="Times New Roman"/>
        </w:rPr>
        <w:t xml:space="preserve"> </w:t>
      </w:r>
      <w:r>
        <w:rPr>
          <w:rFonts w:ascii="Nirmala UI" w:hAnsi="Nirmala UI" w:eastAsia="Nirmala UI" w:cs="Nirmala UI"/>
        </w:rPr>
        <w:t>ભિન્ન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અપનાવતો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રબ્બીની</w:t>
      </w:r>
      <w:r>
        <w:rPr>
          <w:rFonts w:ascii="Times New Roman" w:hAnsi="Times New Roman" w:eastAsia="Times New Roman" w:cs="Times New Roman"/>
        </w:rPr>
        <w:t>/</w:t>
      </w:r>
      <w:r>
        <w:rPr>
          <w:rFonts w:ascii="Nirmala UI" w:hAnsi="Nirmala UI" w:eastAsia="Nirmala UI" w:cs="Nirmala UI"/>
        </w:rPr>
        <w:t>વિષુવાધારિત</w:t>
      </w:r>
      <w:r>
        <w:rPr>
          <w:rFonts w:ascii="Times New Roman" w:hAnsi="Times New Roman" w:eastAsia="Times New Roman" w:cs="Times New Roman"/>
        </w:rPr>
        <w:t xml:space="preserve"> </w:t>
      </w:r>
      <w:r>
        <w:rPr>
          <w:rFonts w:ascii="Nirmala UI" w:hAnsi="Nirmala UI" w:eastAsia="Nirmala UI" w:cs="Nirmala UI"/>
        </w:rPr>
        <w:t>સમયગણનાનો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નિર્ધારણ</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વસંતથી</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વસંત</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માનવામાં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 Habakkuk Ñe'en Ka'a Mesa-kuera ñambohechauka jave, ndoikuaa porãi gueteri roime ko añetegua histórico rehe, ha roiporu kuri Miller rembiasakue hag̃ua ñamohu'ã hag̃ua 22 jasypoapy 1844-pe og̃uahẽ hague pe mokõiha ángel ha oñepyrũ hague pe aravo oñembotapykue'ỹva. Che aikuaa kuri, ha ko'ág̃a peve upéicha aikuaa, pe og̃uahẽkue upe ángel rehegua oñembojoja hague upe aravópe umi protestánte-kuéra omboyke jave Miller marandu pe peteĩha ángel rehegua, ha pe jehaipyre oúva upe rire va'ekue che remimoĩmby hag̃ua.</w:t>
      </w:r>
    </w:p>
    <w:p>
      <w:pPr>
        <w:pStyle w:val="ArticleScripture"/>
        <w:jc w:val="left"/>
      </w:pPr>
      <w:r>
        <w:rPr>
          <w:rFonts w:ascii="Times New Roman" w:hAnsi="Times New Roman" w:eastAsia="Times New Roman" w:cs="Times New Roman"/>
        </w:rPr>
        <w:t>«En junio de 1842, el Sr. Miller dio su segundo ciclo de conferencias en la iglesia de Casco Street, en Portland. Sentí que era un gran privilegio asistir a estas conferencias; pues había caído bajo desánimos y no me sentía preparada para encontrarme con mi Salvador. Este segundo ciclo despertó mucha más agitación en la ciudad que el primero. Con pocas excepciones, las diferentes denominaciones cerraron las puertas de sus iglesias al Sr. Miller. Muchos discursos desde los diversos púlpitos procuraron poner en evidencia los supuestos errores fanáticos del conferenciante; pero multitudes de oyentes ansiosos asistían a sus reuniones, y muchos no podían entrar en el local. Las congregaciones estaban extraordinariamente calladas y atentas». Life Sketches, 27.</w:t>
      </w:r>
    </w:p>
    <w:p>
      <w:pPr>
        <w:pStyle w:val="ArticleBody"/>
        <w:jc w:val="left"/>
      </w:pPr>
      <w:r>
        <w:rPr>
          <w:rFonts w:ascii="Times New Roman" w:hAnsi="Times New Roman" w:eastAsia="Times New Roman" w:cs="Times New Roman"/>
        </w:rPr>
        <w:t>Мэн ойлгосноор, Миллерийн захиасын үүд хаагдсан явдал нь эхний тэнгэрэлчийн захиасыг няцаахын эхлэлийг тэмдэглэсэн бөгөөд цаг тооллыг Раббиний/өдөр шөнө тэнцлийн тооцооллоор тооцсон Миллерийн ойлголттой нийцүүлэн, 1844 оны 3 дугаар сарын 22 нь 1843 оны төгсгөлийг тэмдэглэсэн гэж би үзэж байв. 1842 оны 6 дугаар сард Портландад Миллерийн хийсэн танилцуулга нь үнэн хэрэгтээ 1844 оны 4 дүгээр сарын 18-нд эцэслэн дууссан аажим, шаталсан няцаалтыг тодорхойлдог нэгэн замын тэмдэг мөн боловч, тэрхүү танилцуулгуудын үед бид Самуэл Сноугийн цаг тооллын Караит тооцооллыг хэрэглэсэн байдлыг хараахан хүлээн зөвшөөрөөгүй байлаа.</w:t>
      </w:r>
    </w:p>
    <w:p>
      <w:pPr>
        <w:pStyle w:val="ArticleBody"/>
        <w:jc w:val="left"/>
      </w:pPr>
      <w:r>
        <w:rPr>
          <w:rFonts w:ascii="Times New Roman" w:hAnsi="Times New Roman" w:eastAsia="Times New Roman" w:cs="Times New Roman"/>
        </w:rPr>
        <w:t>ئەو پێشکەشەی یەکەمەی کە دەستمان پێکرد بە دەستکاریکردنی زمانەوەی، من دەستم کرد بە بینینی ئەوەی کە ئەوەی لەو کاتەدا تۆمار کراوە وا دیارە دژایەتی ئەوە بکات کە ئێستا فێری دەکەین. هەروایە و هەرواش نییە. تەنها جەختکردنەوەیەکە لەسەر هاتنی پێشکەوتوو و بە تەدریجی فریشتەی دووەم، و هەروەها وێنەیەکە بۆ کردنەوەی بە تەدریجی ئەم پەیامە، وەک لە مێژووی میللەریشدا هەمان دۆخ هەبوو. ئەم تێبینییەی ڕوونکردنەوە دەبێت چارەسەری ئەوانە بکات کە لەسەر ناساندنی ئێمە بۆ 19ی نیسانی 1844 وەک یەکەمین دڵتەنگیی میللەری و ئەوەی لە ڕابردوودا فێر دەکرا، کەوتوونەتە هەڵەوە.</w:t>
      </w:r>
    </w:p>
    <w:p>
      <w:pPr>
        <w:pStyle w:val="ArticleScripture"/>
        <w:jc w:val="left"/>
      </w:pPr>
      <w:r>
        <w:rPr>
          <w:rFonts w:ascii="Times New Roman" w:hAnsi="Times New Roman" w:eastAsia="Times New Roman" w:cs="Times New Roman"/>
        </w:rPr>
        <w:t>«Первое и второе вести были даны в 1843 и 1844 годах, и ныне мы находимся под провозглашением третьей; однако все три вести по-прежнему должны быть провозглашаемы. Теперь столь же необходимо, как и когда-либо прежде, чтобы они были повторены тем, кто ищет истину. Пером и устами мы должны возвещать это провозглашение, показывая их последовательность и применение пророчеств, которые приводят нас к вести третьего ангела. Не может быть третьей без первой и второй. Эти вести мы должны нести миру в публикациях, в проповедях, показывая в русле пророческой истории то, что было, и то, что будет». Selected Messages, book 2, 104.</w:t>
      </w:r>
    </w:p>
    <w:p>
      <w:pPr>
        <w:pStyle w:val="ArticleHeading"/>
        <w:jc w:val="left"/>
      </w:pPr>
      <w:r>
        <w:rPr>
          <w:rFonts w:ascii="Ebrima" w:hAnsi="Ebrima" w:eastAsia="Ebrima" w:cs="Ebrima"/>
        </w:rPr>
        <w:t>የእንባቆም</w:t>
      </w:r>
      <w:r>
        <w:rPr>
          <w:rFonts w:ascii="Arial" w:hAnsi="Arial" w:eastAsia="Arial" w:cs="Arial"/>
        </w:rPr>
        <w:t xml:space="preserve"> </w:t>
      </w:r>
      <w:r>
        <w:rPr>
          <w:rFonts w:ascii="Ebrima" w:hAnsi="Ebrima" w:eastAsia="Ebrima" w:cs="Ebrima"/>
        </w:rPr>
        <w:t>ሁለት</w:t>
      </w:r>
      <w:r>
        <w:rPr>
          <w:rFonts w:ascii="Arial" w:hAnsi="Arial" w:eastAsia="Arial" w:cs="Arial"/>
        </w:rPr>
        <w:t xml:space="preserve"> </w:t>
      </w:r>
      <w:r>
        <w:rPr>
          <w:rFonts w:ascii="Ebrima" w:hAnsi="Ebrima" w:eastAsia="Ebrima" w:cs="Ebrima"/>
        </w:rPr>
        <w:t>ሰሌዳዎች</w:t>
      </w:r>
      <w:r>
        <w:rPr>
          <w:rFonts w:ascii="Arial" w:hAnsi="Arial" w:eastAsia="Arial" w:cs="Arial"/>
        </w:rPr>
        <w:t xml:space="preserve"> 1 </w:t>
      </w:r>
      <w:r>
        <w:rPr>
          <w:rFonts w:ascii="Ebrima" w:hAnsi="Ebrima" w:eastAsia="Ebrima" w:cs="Ebrima"/>
        </w:rPr>
        <w:t>ከ</w:t>
      </w:r>
      <w:r>
        <w:rPr>
          <w:rFonts w:ascii="Arial" w:hAnsi="Arial" w:eastAsia="Arial" w:cs="Arial"/>
        </w:rPr>
        <w:t xml:space="preserve"> 95</w:t>
      </w:r>
    </w:p>
    <w:p>
      <w:pPr>
        <w:pStyle w:val="ArticleHeading"/>
        <w:jc w:val="left"/>
      </w:pPr>
      <w:r>
        <w:rPr>
          <w:rFonts w:ascii="Ebrima" w:hAnsi="Ebrima" w:eastAsia="Ebrima" w:cs="Ebrima"/>
        </w:rPr>
        <w:t>ግብአተ</w:t>
      </w:r>
      <w:r>
        <w:rPr>
          <w:rFonts w:ascii="Arial" w:hAnsi="Arial" w:eastAsia="Arial" w:cs="Arial"/>
        </w:rPr>
        <w:t xml:space="preserve"> </w:t>
      </w:r>
      <w:r>
        <w:rPr>
          <w:rFonts w:ascii="Ebrima" w:hAnsi="Ebrima" w:eastAsia="Ebrima" w:cs="Ebrima"/>
        </w:rPr>
        <w:t>ነቢዩ</w:t>
      </w:r>
      <w:r>
        <w:rPr>
          <w:rFonts w:ascii="Arial" w:hAnsi="Arial" w:eastAsia="Arial" w:cs="Arial"/>
        </w:rPr>
        <w:t xml:space="preserve"> </w:t>
      </w:r>
      <w:r>
        <w:rPr>
          <w:rFonts w:ascii="Ebrima" w:hAnsi="Ebrima" w:eastAsia="Ebrima" w:cs="Ebrima"/>
        </w:rPr>
        <w:t>ሐበቁቅ</w:t>
      </w:r>
      <w:r>
        <w:rPr>
          <w:rFonts w:ascii="Arial" w:hAnsi="Arial" w:eastAsia="Arial" w:cs="Arial"/>
        </w:rPr>
        <w:t xml:space="preserve"> </w:t>
      </w:r>
      <w:r>
        <w:rPr>
          <w:rFonts w:ascii="Ebrima" w:hAnsi="Ebrima" w:eastAsia="Ebrima" w:cs="Ebrima"/>
        </w:rPr>
        <w:t>ሁለቱ</w:t>
      </w:r>
      <w:r>
        <w:rPr>
          <w:rFonts w:ascii="Arial" w:hAnsi="Arial" w:eastAsia="Arial" w:cs="Arial"/>
        </w:rPr>
        <w:t xml:space="preserve"> </w:t>
      </w:r>
      <w:r>
        <w:rPr>
          <w:rFonts w:ascii="Ebrima" w:hAnsi="Ebrima" w:eastAsia="Ebrima" w:cs="Ebrima"/>
        </w:rPr>
        <w:t>ጽላቶች</w:t>
      </w:r>
      <w:r>
        <w:rPr>
          <w:rFonts w:ascii="Arial" w:hAnsi="Arial" w:eastAsia="Arial" w:cs="Arial"/>
        </w:rPr>
        <w:t xml:space="preserve"> </w:t>
      </w:r>
      <w:r>
        <w:rPr>
          <w:rFonts w:ascii="Ebrima" w:hAnsi="Ebrima" w:eastAsia="Ebrima" w:cs="Ebrima"/>
        </w:rPr>
        <w:t>እና</w:t>
      </w:r>
      <w:r>
        <w:rPr>
          <w:rFonts w:ascii="Arial" w:hAnsi="Arial" w:eastAsia="Arial" w:cs="Arial"/>
        </w:rPr>
        <w:t xml:space="preserve"> </w:t>
      </w:r>
      <w:r>
        <w:rPr>
          <w:rFonts w:ascii="Ebrima" w:hAnsi="Ebrima" w:eastAsia="Ebrima" w:cs="Ebrima"/>
        </w:rPr>
        <w:t>የእኩለ</w:t>
      </w:r>
      <w:r>
        <w:rPr>
          <w:rFonts w:ascii="Arial" w:hAnsi="Arial" w:eastAsia="Arial" w:cs="Arial"/>
        </w:rPr>
        <w:t xml:space="preserve"> </w:t>
      </w:r>
      <w:r>
        <w:rPr>
          <w:rFonts w:ascii="Ebrima" w:hAnsi="Ebrima" w:eastAsia="Ebrima" w:cs="Ebrima"/>
        </w:rPr>
        <w:t>ሌሊት</w:t>
      </w:r>
      <w:r>
        <w:rPr>
          <w:rFonts w:ascii="Arial" w:hAnsi="Arial" w:eastAsia="Arial" w:cs="Arial"/>
        </w:rPr>
        <w:t xml:space="preserve"> </w:t>
      </w:r>
      <w:r>
        <w:rPr>
          <w:rFonts w:ascii="Ebrima" w:hAnsi="Ebrima" w:eastAsia="Ebrima" w:cs="Ebrima"/>
        </w:rPr>
        <w:t>ጩኸት</w:t>
      </w:r>
    </w:p>
    <w:p>
      <w:pPr>
        <w:pStyle w:val="ArticleBody"/>
        <w:jc w:val="left"/>
      </w:pPr>
      <w:r>
        <w:rPr>
          <w:rFonts w:ascii="Times New Roman" w:hAnsi="Times New Roman" w:eastAsia="Times New Roman" w:cs="Times New Roman"/>
        </w:rPr>
        <w:t>Ina kan barna, za mu duba teburori biyu na Habakkuk—Taswirar 1843 da Taswirar 1850—a cikin wani tsawon lokaci. Za mu fara ne da sanya Kiran Tsakar Dare a matsayinsa. Kamar yadda aka ambata, yawancin gabatarwar farko za su zama bitar abin da aka riga aka sani ga waɗanda suka saba da wannan saƙo, amma da yake muna shirya wata barna da mutanen da suke sababbi ga wannan saƙo za su iya nazari a kanta, dole ne mu shimfiɗa musu wasu muhimman ra’ayoyi na asali. Za mu fara da Kiran Tsakar Dare, muna mai da hankali kan wani ɓangare da ake samu a wahayi na farko na Ellen White. Bari mu karanta sakin layi na farko daga Christian Experience and Teachings, shafi na 57.</w:t>
      </w:r>
    </w:p>
    <w:p>
      <w:pPr>
        <w:pStyle w:val="ArticleScripture"/>
        <w:jc w:val="left"/>
      </w:pPr>
      <w:r>
        <w:rPr>
          <w:rFonts w:ascii="Times New Roman" w:hAnsi="Times New Roman" w:eastAsia="Times New Roman" w:cs="Times New Roman"/>
        </w:rPr>
        <w:t>“1844 йылдағы ваҡыт үтеүенән күп тә тормайынса, миңә тәүге асыҡ күренешем бирелде. Мин Мэн штатының Портленд ҡалаһында Христостағы ҡәҙерле апай-ҡәрендәш, йөрәге минекенә береккән миссис Хейнсҡа ҡунаҡҡа барғайным. Беҙҙең бишәү, барыбыҙ ҙа ҡатын-ҡыҙҙар, ғаилә ҡорбанлығы алдында тын ғына тубыҡланған инек. Доға ҡылғанда, Алланың ҡөҙрәте миңә элек һис ҡасан булмағанса иңде.”</w:t>
      </w:r>
    </w:p>
    <w:p>
      <w:pPr>
        <w:pStyle w:val="ArticleBody"/>
        <w:jc w:val="left"/>
      </w:pPr>
      <w:r>
        <w:rPr>
          <w:rFonts w:ascii="Nirmala UI" w:hAnsi="Nirmala UI" w:eastAsia="Nirmala UI" w:cs="Nirmala UI"/>
        </w:rPr>
        <w:t>ଇହା</w:t>
      </w:r>
      <w:r>
        <w:rPr>
          <w:rFonts w:ascii="Times New Roman" w:hAnsi="Times New Roman" w:eastAsia="Times New Roman" w:cs="Times New Roman"/>
        </w:rPr>
        <w:t xml:space="preserve"> </w:t>
      </w:r>
      <w:r>
        <w:rPr>
          <w:rFonts w:ascii="Nirmala UI" w:hAnsi="Nirmala UI" w:eastAsia="Nirmala UI" w:cs="Nirmala UI"/>
        </w:rPr>
        <w:t>ପାଞ୍ଚଜଣ</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ଯାହାଙ୍କର</w:t>
      </w:r>
      <w:r>
        <w:rPr>
          <w:rFonts w:ascii="Times New Roman" w:hAnsi="Times New Roman" w:eastAsia="Times New Roman" w:cs="Times New Roman"/>
        </w:rPr>
        <w:t xml:space="preserve"> </w:t>
      </w:r>
      <w:r>
        <w:rPr>
          <w:rFonts w:ascii="Nirmala UI" w:hAnsi="Nirmala UI" w:eastAsia="Nirmala UI" w:cs="Nirmala UI"/>
        </w:rPr>
        <w:t>ହୃଦୟ</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ବାନ୍ଧାଯାଇଥିଲା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ପ୍ରକାଶକୁ</w:t>
      </w:r>
      <w:r>
        <w:rPr>
          <w:rFonts w:ascii="Times New Roman" w:hAnsi="Times New Roman" w:eastAsia="Times New Roman" w:cs="Times New Roman"/>
        </w:rPr>
        <w:t xml:space="preserve"> </w:t>
      </w:r>
      <w:r>
        <w:rPr>
          <w:rFonts w:ascii="Nirmala UI" w:hAnsi="Nirmala UI" w:eastAsia="Nirmala UI" w:cs="Nirmala UI"/>
        </w:rPr>
        <w:t>ବିରୋଧ</w:t>
      </w:r>
      <w:r>
        <w:rPr>
          <w:rFonts w:ascii="Times New Roman" w:hAnsi="Times New Roman" w:eastAsia="Times New Roman" w:cs="Times New Roman"/>
        </w:rPr>
        <w:t xml:space="preserve"> </w:t>
      </w:r>
      <w:r>
        <w:rPr>
          <w:rFonts w:ascii="Nirmala UI" w:hAnsi="Nirmala UI" w:eastAsia="Nirmala UI" w:cs="Nirmala UI"/>
        </w:rPr>
        <w:t>କରୁନଥିଲେ।</w:t>
      </w:r>
      <w:r>
        <w:rPr>
          <w:rFonts w:ascii="Times New Roman" w:hAnsi="Times New Roman" w:eastAsia="Times New Roman" w:cs="Times New Roman"/>
        </w:rPr>
        <w:t xml:space="preserve"> </w:t>
      </w:r>
      <w:r>
        <w:rPr>
          <w:rFonts w:ascii="Nirmala UI" w:hAnsi="Nirmala UI" w:eastAsia="Nirmala UI" w:cs="Nirmala UI"/>
        </w:rPr>
        <w:t>ବିଶେଷତଃ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ମଣ୍ଡଳୀର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ପାଞ୍ଚଜଣ</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ପାଞ୍ଚଜଣ</w:t>
      </w:r>
      <w:r>
        <w:rPr>
          <w:rFonts w:ascii="Times New Roman" w:hAnsi="Times New Roman" w:eastAsia="Times New Roman" w:cs="Times New Roman"/>
        </w:rPr>
        <w:t xml:space="preserve"> </w:t>
      </w:r>
      <w:r>
        <w:rPr>
          <w:rFonts w:ascii="Nirmala UI" w:hAnsi="Nirmala UI" w:eastAsia="Nirmala UI" w:cs="Nirmala UI"/>
        </w:rPr>
        <w:t>ପ୍ରଜ୍ଞାବତୀ</w:t>
      </w:r>
      <w:r>
        <w:rPr>
          <w:rFonts w:ascii="Times New Roman" w:hAnsi="Times New Roman" w:eastAsia="Times New Roman" w:cs="Times New Roman"/>
        </w:rPr>
        <w:t xml:space="preserve"> </w:t>
      </w:r>
      <w:r>
        <w:rPr>
          <w:rFonts w:ascii="Nirmala UI" w:hAnsi="Nirmala UI" w:eastAsia="Nirmala UI" w:cs="Nirmala UI"/>
        </w:rPr>
        <w:t>କୁମାରୀମାନଙ୍କ</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ଦେଖାଯାଇପାରେ।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ପର୍ଯ୍ୟବେକ୍ଷଣ।</w:t>
      </w:r>
    </w:p>
    <w:p>
      <w:pPr>
        <w:pStyle w:val="ArticleScripture"/>
        <w:jc w:val="left"/>
      </w:pPr>
      <w:r>
        <w:rPr>
          <w:rFonts w:ascii="Times New Roman" w:hAnsi="Times New Roman" w:eastAsia="Times New Roman" w:cs="Times New Roman"/>
        </w:rPr>
        <w:t>«Светээр хүрээлэгдсэн мэт санагдаж, газраас дээш, улам өндөрт хөөрөн буй мэт байлаа. Би ертөнц дэх Адвентийн хүмүүсийг хайж харахаар эргэн тойрсон боловч тэднийг олж харж чадсангүй. Тэгтэл нэгэн дуу надад, “Дахин хар, жаахан илүү өндөрт хар” гэж хэлэв. Үүнийг сонсоод би нүдээ өргөн хартал, ертөнцөөс өндөрт өргөгдөн тавигдсан шулуун бөгөөд нарийн замыг харлаа. Энэ замаар Адвентийн хүмүүс замын нөгөө үзүүрт орших хот өөд аялж байв. Замын эхэнд, тэдний ар талд тод гэрэл тавигдсан байсан бөгөөд нэгэн тэнгэрэлч надад үүнийг Шөнийн Дунд Хашхираан мөн гэж хэлсэн. Энэ гэрэл зам дагуу бүхэлд нь гэрэлтэж, тэд бүдрэхгүй байхын тулд хөлд нь гэрэл өгч байлаа. Хэрэв тэд нүдийг нь яг өмнө нь явж, хот өөд тэднийг удирдан чиглүүлж байсан Есүс дээр тогтоон баривал, тэд аюулгүй байв. Гэвч удалгүй зарим нь эцэж, хот маш хол байна, бид түүнд үүнээс өмнө аль хэдийн орсон байх ёстой байсан гэж хэлэв. Тэгэхэд Есүс Өөрийн алдарт баруун мутраа өргөн тэднийг зоригжуулдаг байсан бөгөөд Түүний мутраас Адвентийн бүлгийн дээгүүр намиран өнгөрөх нэгэн гэрэл гарч, тэд “Аллилуйя!” хэмээн хашхирдаг байв. Бусад нь ар талд байсан тэр гэрлийг бодлогогүйгээр үгүйсгэн, тэднийг ийм хол хүртэл удирдан гаргасан нь Бурхан биш гэж хэлэв. Тэгэхэд тэдний ар дахь гэрэл унтарч, хөлийг нь төгс харанхуйд орхисноор тэд бүдэрч, тэмдэг болон Есүсийг харах чадвараа алдан, замаас доош, доорх харанхуй бөгөөд ёс бус ертөнц рүү унацгаав.»</w:t>
      </w:r>
    </w:p>
    <w:p>
      <w:pPr>
        <w:pStyle w:val="ArticleHeading"/>
        <w:jc w:val="left"/>
      </w:pPr>
      <w:r>
        <w:rPr>
          <w:rFonts w:ascii="Arial" w:hAnsi="Arial" w:eastAsia="Arial" w:cs="Arial"/>
        </w:rPr>
        <w:t>William Miller dan Teriakan Tengah Malam</w:t>
      </w:r>
    </w:p>
    <w:p>
      <w:pPr>
        <w:pStyle w:val="ArticleBody"/>
        <w:jc w:val="left"/>
      </w:pPr>
      <w:r>
        <w:rPr>
          <w:rFonts w:ascii="Times New Roman" w:hAnsi="Times New Roman" w:eastAsia="Times New Roman" w:cs="Times New Roman"/>
        </w:rPr>
        <w:t>In this first presentation, lẹhin tí a bá ti fi díẹ̀ lára àwọn kókó sílẹ̀ múlẹ̀, a óò jíròrò nípa Ìpàdé Low Hampton ti àwọn Adventist ní oṣù December ọdún 1844. Ní ìpàdé yìí, àwọn Millerite kan péjọ, William Miller sì kọ́ ìmòye nípa Midnight Cry. Ìṣírò ọgbọ́n tí ó wà níbí ni pé ìran yìí, bí ó tilẹ̀ jẹ́ pé ó jẹ́ fún gbogbo wa, ṣùgbọ́n ó ṣe pàtàkì ní ọ̀nà àkànṣe fún William Miller.</w:t>
      </w:r>
    </w:p>
    <w:p>
      <w:pPr>
        <w:pStyle w:val="ArticleBody"/>
        <w:jc w:val="left"/>
      </w:pPr>
      <w:r>
        <w:rPr>
          <w:rFonts w:ascii="Times New Roman" w:hAnsi="Times New Roman" w:eastAsia="Times New Roman" w:cs="Times New Roman"/>
        </w:rPr>
        <w:t>Nganga mwezi uleule, William Miller alikana nuru iliyokuwa nyuma yao—Kilio cha Usiku wa Manane—ambacho kingemsababisha aanguke kutoka njiani hadi ulimwengu mwovu uliokuwa chini. Tutachunguza athari za jambo hili. Ushahidi wa kihistoria unaonyesha kwamba Wamillerite wote waliamini kwamba walikuwa wakilitimiza fumbo la wanawali kumi; hili lilikuwa jambo linalojulikana miongoni mwao. Tutaonyesha kwamba William Miller alikuwa na ufahamu wa kile Kilio cha Usiku wa Manane kilikuwa. Miller aliamini kwamba Kilio cha Usiku wa Manane kilikuwa ujumbe wa saa ya hukumu wa Danieli 8:14 na Ufunuo 14:6-9. Aliamini kwamba ujumbe aliouanza kuuhubiri katika miaka ya mwanzo ya 1830 ulikuwa Kilio cha Usiku wa Manane, “Tazama, bwana-arusi anakuja,” na kwamba Yesu alikuwa akiujia ulimwengu kama bwana-arusi.</w:t>
      </w:r>
    </w:p>
    <w:p>
      <w:pPr>
        <w:pStyle w:val="ArticleBody"/>
        <w:jc w:val="left"/>
      </w:pPr>
      <w:r>
        <w:rPr>
          <w:rFonts w:ascii="Times New Roman" w:hAnsi="Times New Roman" w:eastAsia="Times New Roman" w:cs="Times New Roman"/>
        </w:rPr>
        <w:t>Այլընտրանքայինների պատմության մեծ մասի ընթացքում նրանք հավատում էին, թե իրենք կատարում էին տասը կույսերի առակը, սակայն կարծում էին, որ «Կեսգիշերյան Աղաղակը» նկարագրում էր այն լուրը, որ իրենք հռչակում էին։ Սակայն 1844 թվականի ամռանը ի հայտ եկավ նոր և ճիշտ ըմբռնում. «Կեսգիշերյան Աղաղակը» յոթերորդ ամսվա շարժումն էր, և Հիսուսի գալուստը սպասվում էր յոթերորդ ամսվա տասներորդ օրը։ Դա էր ճշմարիտ «Կեսգիշերյան Աղաղակը»։ Երբ Միլլերը 1844 թվականի դեկտեմբերին մերժեց ճշմարիտ «Կեսգիշերյան Աղաղակը», նա մերժում էր 1844 թվականի ամռան պատմությունը և վերադառնում էր իր ավելի վաղ այն դիրքորոշմանը, թե դա պարզապես 1830-ական թվականների ընդհանուր լուրն էր։ «Կեսգիշերյան Աղաղակի» ընթացքի ըմբռնումը վճռական նշանակություն ունի։ Եթե դուք չեք հասկանում 2520-ը այնպես, ինչպես այն հասկանում էին այլընտրանքայինները, չեք կարող հասկանալ «Կեսգիշերյան Աղաղակը»։ Եթե դուք չեք կարող հասկանալ «Կեսգիշերյան Աղաղակը» այնպես, ինչպես այն հասկանում էին այլընտրանքայինները, դուք ընկնում եք ստորև գտնվող ամբարիշտ աշխարհի ճանապարհից։</w:t>
      </w:r>
    </w:p>
    <w:p>
      <w:pPr>
        <w:pStyle w:val="ArticleBody"/>
        <w:jc w:val="left"/>
      </w:pPr>
      <w:r>
        <w:rPr>
          <w:rFonts w:ascii="Times New Roman" w:hAnsi="Times New Roman" w:eastAsia="Times New Roman" w:cs="Times New Roman"/>
        </w:rPr>
        <w:t>Ky prastim, dhè nyaqmi me disa të vërteta në hartë që sot refuzohen haptazi nga Adventizmi. Instituti i Kërkimit Biblik i Kishës Adventiste të Ditës së Shtatë dhe shumica e teologëve adventistë e refuzojnë 2520-n. Këtë do ta trajtojmë biblikisht ndërsa vazhdojmë, por fillimisht do të tregojmë se Ellen White e miraton plotësisht 2520-n. Instituti dhe shumica e teologëve refuzojnë gjithashtu kuptimin pionier të së Përditshmes. Ne do të tregojmë se refuzimi i kuptimit pionier se e Përditshmja është paganizmi është refuzim i Frymës së Profecisë. Instituti gjithashtu e refuzon publikisht kuptimin pionier të trumbetave—Trumbetën e Pestë dhe Trumbetën e Gjashtë. Ne do të fillojmë duke treguar se refuzimi i kuptimit pionier të trumbetave është refuzim i Frymës së Profecisë.</w:t>
      </w:r>
    </w:p>
    <w:p>
      <w:pPr>
        <w:pStyle w:val="ArticleBody"/>
        <w:jc w:val="left"/>
      </w:pPr>
      <w:r>
        <w:rPr>
          <w:rFonts w:ascii="Times New Roman" w:hAnsi="Times New Roman" w:eastAsia="Times New Roman" w:cs="Times New Roman"/>
        </w:rPr>
        <w:t>Vitabuuno, Adventistoota hedduun isaanii waaʼee 1290 fi 1335 irratti yoo baayʼate ifa hin qaban. Hubannaa qajeeltota durii waaʼee 1335 malee, yeroo tursiisaa kan Bitootessa 22, 1844 jalqabe adda baasuuf mootummaa macaafa qulqulluu irraa ragaan hin jiru. Yeroo tursiisaa hubachuu malee, sochii iyyisa Halkan Giddugaleessaa hubachuun hin dandaʼamu. Iyyisa Halkan Giddugaleessaa hubachuu malee, namni kara irraa kufee gara addunyaa hamaa isa gadiitti buʼa. Dhugaa kana hunda chaartii irratti akka deeggarsa ifaa Hafuura Raajii jalatti agarsiifna; achiis Dubbii Waaqayyoo irraa isaanii qoodnee qoranna. Garuu dura, wanta seenaa Millerite marse fi wanta Iyyisa Halkan Giddugaleessaa dhalche ilaaluun nu barbaachisa.</w:t>
      </w:r>
    </w:p>
    <w:p>
      <w:pPr>
        <w:pStyle w:val="ArticleHeading"/>
        <w:jc w:val="left"/>
      </w:pPr>
      <w:r>
        <w:rPr>
          <w:rFonts w:ascii="Arial" w:hAnsi="Arial" w:eastAsia="Arial" w:cs="Arial"/>
        </w:rPr>
        <w:t>تاریخِ میلری اور پہلے فرشتے کی آمد</w:t>
      </w:r>
    </w:p>
    <w:p>
      <w:pPr>
        <w:pStyle w:val="ArticleBody"/>
        <w:jc w:val="left"/>
      </w:pPr>
      <w:r>
        <w:rPr>
          <w:rFonts w:ascii="Times New Roman" w:hAnsi="Times New Roman" w:eastAsia="Times New Roman" w:cs="Times New Roman"/>
        </w:rPr>
        <w:t>نحن نبدأ بأوريا سميث من كتاب *خواطر في دانيال والرؤيا*، الصفحة 521، لإظهار تاريخ الميلريين ومعالجة سنة 1798. يكتب أوريا سميث: «إن تسلسل أحداث رؤيا 10 يتأكد أيضًا من حقيقة أن هذا الملاك هو نفسه الملاك الأول من رؤيا 14». في رؤيا 10، ينزل ملاك قوي من السماء وفي يده سفر صغير مفتوح. وتخبرنا إلن وايت أن هذا الملاك القوي هو يسوع المسيح، وأن السفر الصغير هو سفر دانيال. وفي نهاية الأصحاح العاشر، يُؤمر يوحنا أن يأكل السفر الصغير، الذي يكون حلوًا في فمه ومرًّا في بطنه. ويمثل يوحنا تاريخ الميلريين، حيث تكون رسالة دانيال حلوة، لكنها تقود إلى خيبة أمل مريرة. والملاك القوي في رؤيا 10، بحسب الرواد، هو الملاك الأول من رؤيا 14 — إنهما الملاك نفسه.</w:t>
      </w:r>
    </w:p>
    <w:p>
      <w:pPr>
        <w:pStyle w:val="ArticleBody"/>
        <w:jc w:val="left"/>
      </w:pP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પ્રકાશિતવાક્યમાં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વિશિષ્ટ</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વિચારવામાં</w:t>
      </w:r>
      <w:r>
        <w:rPr>
          <w:rFonts w:ascii="Times New Roman" w:hAnsi="Times New Roman" w:eastAsia="Times New Roman" w:cs="Times New Roman"/>
        </w:rPr>
        <w:t xml:space="preserve"> </w:t>
      </w:r>
      <w:r>
        <w:rPr>
          <w:rFonts w:ascii="Nirmala UI" w:hAnsi="Nirmala UI" w:eastAsia="Nirmala UI" w:cs="Nirmala UI"/>
        </w:rPr>
        <w:t>બહુ</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વિતાવતા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10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શક્તિશાળી</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માનતા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14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મધ્યરાત્રિની</w:t>
      </w:r>
      <w:r>
        <w:rPr>
          <w:rFonts w:ascii="Times New Roman" w:hAnsi="Times New Roman" w:eastAsia="Times New Roman" w:cs="Times New Roman"/>
        </w:rPr>
        <w:t xml:space="preserve"> </w:t>
      </w:r>
      <w:r>
        <w:rPr>
          <w:rFonts w:ascii="Nirmala UI" w:hAnsi="Nirmala UI" w:eastAsia="Nirmala UI" w:cs="Nirmala UI"/>
        </w:rPr>
        <w:t>પોકારને</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ભય</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મહિમા</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8:14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સંદર્ભ</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કરાયેલા</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ભિન્ન</w:t>
      </w:r>
      <w:r>
        <w:rPr>
          <w:rFonts w:ascii="Times New Roman" w:hAnsi="Times New Roman" w:eastAsia="Times New Roman" w:cs="Times New Roman"/>
        </w:rPr>
        <w:t xml:space="preserve"> </w:t>
      </w:r>
      <w:r>
        <w:rPr>
          <w:rFonts w:ascii="Nirmala UI" w:hAnsi="Nirmala UI" w:eastAsia="Nirmala UI" w:cs="Nirmala UI"/>
        </w:rPr>
        <w:t>પાસાઓને</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ئۆرىيا سىمىسقا قايتىپ كەلسەك: «ۋەھىي 10-بابتىكى ۋەقەلەرنىڭ ۋاقىت تىزىملىكى يەنە شۇ ھەقىقەت ئارقىلىق تېخىمۇ ئېنىق بېكىتىلىدۇكى، بۇ پەرىشتە ۋەھىي 14-بابتىكى بىرىنچى پەرىشتە بىلەن ئوخشاشتۇر.» ئۇ ئۇلارنى بىر-بىرىگە باغلايدىغان نەرسىلەرنى چۈشەندۈرىدۇ: ھەر ئىككىسىنىڭ جاكارلايدىغان ئالاھىدە بىر خەۋىرى بار، ھەر ئىككىسى جاكارلىشىنى زور ئاۋاز بىلەن ئېيتىدۇ، ھەر ئىككىسى ياراتقۇچىغا مۇناسىۋەتلىك ئوخشاشقا يېقىن تىلنى قوللىنىدۇ، ۋە ھەر ئىككىسى ۋاقىتنى جاكارلايدۇ — بىرى ۋاقىتنىڭ ئەمدى بولمايدىغانلىقىغا قەسەم قىلىدۇ، يەنە بىرى بولسا خۇدانىڭ ھۆكۈم سائىتىنىڭ كەلگەنلىكىنى جاكارلايدۇ. ۋەھىي 14:6 دىكى خەۋەر زامان ئاخىرىنىڭ باشلىنىشىنىڭ بۇ تەرىپىگە ئورۇنلاشتۇرۇلغان.</w:t>
      </w:r>
    </w:p>
    <w:p>
      <w:pPr>
        <w:pStyle w:val="ArticleBody"/>
        <w:jc w:val="left"/>
      </w:pPr>
      <w:r>
        <w:rPr>
          <w:rFonts w:ascii="Times New Roman" w:hAnsi="Times New Roman" w:eastAsia="Times New Roman" w:cs="Times New Roman"/>
        </w:rPr>
        <w:t>Урия Смит излага, че времето на края е 1798 година и че вестта от Откровение 14 идва след това. Той пише: „Но вестта от Откровение 14:6 се намира отсам началото на времето на края. Тя е прогласяване, че е настанал часът на Божия съд, и следователно трябва да има своето приложение в последното поколение. Павел не проповядваше, че е настанал часът на съда. Лутер и неговите съработници не го проповядваха. Павел разсъждаваше за съд, който предстои да дойде, неопределено в бъдещето, а Лутер го поставяше най-малко на триста години след своето време. Освен това Павел предупреждава църквата против всяко такова проповядване, че е настанал часът на Божия съд, до едно определено време.“ В 2 Солунци 2:1-3 Павел казва, че денят на Христос не е близо, докато първо не дойде отстъплението и не се открие човекът на греха. Павел въвежда човека на греха, малкия рог, папството, и с предупреждение обхваща целия период на неговото върховенство, който продължи 1260 години и завърши през 1798 година.</w:t>
      </w:r>
    </w:p>
    <w:p>
      <w:pPr>
        <w:pStyle w:val="ArticleBody"/>
        <w:jc w:val="left"/>
      </w:pPr>
      <w:r>
        <w:rPr>
          <w:rFonts w:ascii="Times New Roman" w:hAnsi="Times New Roman" w:eastAsia="Times New Roman" w:cs="Times New Roman"/>
        </w:rPr>
        <w:t xml:space="preserve">1798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ခရစ်တော်၏နေ့</w:t>
      </w:r>
      <w:r>
        <w:rPr>
          <w:rFonts w:ascii="Times New Roman" w:hAnsi="Times New Roman" w:eastAsia="Times New Roman" w:cs="Times New Roman"/>
        </w:rPr>
        <w:t xml:space="preserve"> </w:t>
      </w:r>
      <w:r>
        <w:rPr>
          <w:rFonts w:ascii="Myanmar Text" w:hAnsi="Myanmar Text" w:eastAsia="Myanmar Text" w:cs="Myanmar Text"/>
        </w:rPr>
        <w:t>နီးကပ်နေပြီဟု</w:t>
      </w:r>
      <w:r>
        <w:rPr>
          <w:rFonts w:ascii="Times New Roman" w:hAnsi="Times New Roman" w:eastAsia="Times New Roman" w:cs="Times New Roman"/>
        </w:rPr>
        <w:t xml:space="preserve"> </w:t>
      </w:r>
      <w:r>
        <w:rPr>
          <w:rFonts w:ascii="Myanmar Text" w:hAnsi="Myanmar Text" w:eastAsia="Myanmar Text" w:cs="Myanmar Text"/>
        </w:rPr>
        <w:t>ကြေညာခြင်းကို</w:t>
      </w:r>
      <w:r>
        <w:rPr>
          <w:rFonts w:ascii="Times New Roman" w:hAnsi="Times New Roman" w:eastAsia="Times New Roman" w:cs="Times New Roman"/>
        </w:rPr>
        <w:t xml:space="preserve"> </w:t>
      </w:r>
      <w:r>
        <w:rPr>
          <w:rFonts w:ascii="Myanmar Text" w:hAnsi="Myanmar Text" w:eastAsia="Myanmar Text" w:cs="Myanmar Text"/>
        </w:rPr>
        <w:t>တားမြစ်ထားသော</w:t>
      </w:r>
      <w:r>
        <w:rPr>
          <w:rFonts w:ascii="Times New Roman" w:hAnsi="Times New Roman" w:eastAsia="Times New Roman" w:cs="Times New Roman"/>
        </w:rPr>
        <w:t xml:space="preserve"> </w:t>
      </w:r>
      <w:r>
        <w:rPr>
          <w:rFonts w:ascii="Myanmar Text" w:hAnsi="Myanmar Text" w:eastAsia="Myanmar Text" w:cs="Myanmar Text"/>
        </w:rPr>
        <w:t>ကန့်သတ်ချက်သည်</w:t>
      </w:r>
      <w:r>
        <w:rPr>
          <w:rFonts w:ascii="Times New Roman" w:hAnsi="Times New Roman" w:eastAsia="Times New Roman" w:cs="Times New Roman"/>
        </w:rPr>
        <w:t xml:space="preserve"> </w:t>
      </w:r>
      <w:r>
        <w:rPr>
          <w:rFonts w:ascii="Myanmar Text" w:hAnsi="Myanmar Text" w:eastAsia="Myanmar Text" w:cs="Myanmar Text"/>
        </w:rPr>
        <w:t>ရပ်စဲသွားခဲ့သည်။</w:t>
      </w:r>
      <w:r>
        <w:rPr>
          <w:rFonts w:ascii="Times New Roman" w:hAnsi="Times New Roman" w:eastAsia="Times New Roman" w:cs="Times New Roman"/>
        </w:rPr>
        <w:t xml:space="preserve"> </w:t>
      </w:r>
      <w:r>
        <w:rPr>
          <w:rFonts w:ascii="Myanmar Text" w:hAnsi="Myanmar Text" w:eastAsia="Myanmar Text" w:cs="Myanmar Text"/>
        </w:rPr>
        <w:t>အဆုံးကာလသည်</w:t>
      </w:r>
      <w:r>
        <w:rPr>
          <w:rFonts w:ascii="Times New Roman" w:hAnsi="Times New Roman" w:eastAsia="Times New Roman" w:cs="Times New Roman"/>
        </w:rPr>
        <w:t xml:space="preserve"> </w:t>
      </w:r>
      <w:r>
        <w:rPr>
          <w:rFonts w:ascii="Myanmar Text" w:hAnsi="Myanmar Text" w:eastAsia="Myanmar Text" w:cs="Myanmar Text"/>
        </w:rPr>
        <w:t>စတင်လာခဲ့ပြီး၊</w:t>
      </w:r>
      <w:r>
        <w:rPr>
          <w:rFonts w:ascii="Times New Roman" w:hAnsi="Times New Roman" w:eastAsia="Times New Roman" w:cs="Times New Roman"/>
        </w:rPr>
        <w:t xml:space="preserve"> </w:t>
      </w:r>
      <w:r>
        <w:rPr>
          <w:rFonts w:ascii="Myanmar Text" w:hAnsi="Myanmar Text" w:eastAsia="Myanmar Text" w:cs="Myanmar Text"/>
        </w:rPr>
        <w:t>စာအုပ်ငယ်ပေါ်ရှိ</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ဖယ်ရှားယူခဲ့သည်။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ထွက်သွားခဲ့သည်။</w:t>
      </w:r>
      <w:r>
        <w:rPr>
          <w:rFonts w:ascii="Times New Roman" w:hAnsi="Times New Roman" w:eastAsia="Times New Roman" w:cs="Times New Roman"/>
        </w:rPr>
        <w:t xml:space="preserve"> Uriah Smith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ဤသို့ဆိုသည်</w:t>
      </w:r>
      <w:r>
        <w:rPr>
          <w:rFonts w:ascii="Times New Roman" w:hAnsi="Times New Roman" w:eastAsia="Times New Roman" w:cs="Times New Roman"/>
        </w:rPr>
        <w:t>—“</w:t>
      </w:r>
      <w:r>
        <w:rPr>
          <w:rFonts w:ascii="Myanmar Text" w:hAnsi="Myanmar Text" w:eastAsia="Myanmar Text" w:cs="Myanmar Text"/>
        </w:rPr>
        <w:t>သင်မြင်နိုင်မည်ဆိုလျှင်၊</w:t>
      </w:r>
      <w:r>
        <w:rPr>
          <w:rFonts w:ascii="Times New Roman" w:hAnsi="Times New Roman" w:eastAsia="Times New Roman" w:cs="Times New Roman"/>
        </w:rPr>
        <w:t xml:space="preserve"> 1798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ထွက်သွားခဲ့ပြီဖြစ်သည်။</w:t>
      </w:r>
      <w:r>
        <w:rPr>
          <w:rFonts w:ascii="Times New Roman" w:hAnsi="Times New Roman" w:eastAsia="Times New Roman" w:cs="Times New Roman"/>
        </w:rPr>
        <w:t xml:space="preserve"> 1798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ပထမကောင်းကင်တမန်သည်</w:t>
      </w:r>
      <w:r>
        <w:rPr>
          <w:rFonts w:ascii="Times New Roman" w:hAnsi="Times New Roman" w:eastAsia="Times New Roman" w:cs="Times New Roman"/>
        </w:rPr>
        <w:t xml:space="preserve"> </w:t>
      </w:r>
      <w:r>
        <w:rPr>
          <w:rFonts w:ascii="Myanmar Text" w:hAnsi="Myanmar Text" w:eastAsia="Myanmar Text" w:cs="Myanmar Text"/>
        </w:rPr>
        <w:t>သမိုင်းထဲသို့</w:t>
      </w:r>
      <w:r>
        <w:rPr>
          <w:rFonts w:ascii="Times New Roman" w:hAnsi="Times New Roman" w:eastAsia="Times New Roman" w:cs="Times New Roman"/>
        </w:rPr>
        <w:t xml:space="preserve"> </w:t>
      </w:r>
      <w:r>
        <w:rPr>
          <w:rFonts w:ascii="Myanmar Text" w:hAnsi="Myanmar Text" w:eastAsia="Myanmar Text" w:cs="Myanmar Text"/>
        </w:rPr>
        <w:t>ရောက်ရှိလာသည်</w:t>
      </w:r>
      <w:r>
        <w:rPr>
          <w:rFonts w:ascii="Times New Roman" w:hAnsi="Times New Roman" w:eastAsia="Times New Roman" w:cs="Times New Roman"/>
        </w:rPr>
        <w:t>”—</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ရှေ့ဆောင်များ၏</w:t>
      </w:r>
      <w:r>
        <w:rPr>
          <w:rFonts w:ascii="Times New Roman" w:hAnsi="Times New Roman" w:eastAsia="Times New Roman" w:cs="Times New Roman"/>
        </w:rPr>
        <w:t xml:space="preserve"> </w:t>
      </w:r>
      <w:r>
        <w:rPr>
          <w:rFonts w:ascii="Myanmar Text" w:hAnsi="Myanmar Text" w:eastAsia="Myanmar Text" w:cs="Myanmar Text"/>
        </w:rPr>
        <w:t>နားလည်မှုဖြစ်သည်။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တရားစီရင်ခြင်းအချိန်</w:t>
      </w:r>
      <w:r>
        <w:rPr>
          <w:rFonts w:ascii="Times New Roman" w:hAnsi="Times New Roman" w:eastAsia="Times New Roman" w:cs="Times New Roman"/>
        </w:rPr>
        <w:t xml:space="preserve"> </w:t>
      </w:r>
      <w:r>
        <w:rPr>
          <w:rFonts w:ascii="Myanmar Text" w:hAnsi="Myanmar Text" w:eastAsia="Myanmar Text" w:cs="Myanmar Text"/>
        </w:rPr>
        <w:t>ရောက်လာပြီဟု</w:t>
      </w:r>
      <w:r>
        <w:rPr>
          <w:rFonts w:ascii="Times New Roman" w:hAnsi="Times New Roman" w:eastAsia="Times New Roman" w:cs="Times New Roman"/>
        </w:rPr>
        <w:t xml:space="preserve"> </w:t>
      </w:r>
      <w:r>
        <w:rPr>
          <w:rFonts w:ascii="Myanmar Text" w:hAnsi="Myanmar Text" w:eastAsia="Myanmar Text" w:cs="Myanmar Text"/>
        </w:rPr>
        <w:t>ကြေညာခဲ့ပြီး၊</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ပင်လယ်နှင့်</w:t>
      </w:r>
      <w:r>
        <w:rPr>
          <w:rFonts w:ascii="Times New Roman" w:hAnsi="Times New Roman" w:eastAsia="Times New Roman" w:cs="Times New Roman"/>
        </w:rPr>
        <w:t xml:space="preserve"> </w:t>
      </w:r>
      <w:r>
        <w:rPr>
          <w:rFonts w:ascii="Myanmar Text" w:hAnsi="Myanmar Text" w:eastAsia="Myanmar Text" w:cs="Myanmar Text"/>
        </w:rPr>
        <w:t>ကုန်းမြေပေါ်၌</w:t>
      </w:r>
      <w:r>
        <w:rPr>
          <w:rFonts w:ascii="Times New Roman" w:hAnsi="Times New Roman" w:eastAsia="Times New Roman" w:cs="Times New Roman"/>
        </w:rPr>
        <w:t xml:space="preserve"> </w:t>
      </w:r>
      <w:r>
        <w:rPr>
          <w:rFonts w:ascii="Myanmar Text" w:hAnsi="Myanmar Text" w:eastAsia="Myanmar Text" w:cs="Myanmar Text"/>
        </w:rPr>
        <w:t>ရပ်တည်လျက်</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နောက်ထပ်မရှိတော့ဟု</w:t>
      </w:r>
      <w:r>
        <w:rPr>
          <w:rFonts w:ascii="Times New Roman" w:hAnsi="Times New Roman" w:eastAsia="Times New Roman" w:cs="Times New Roman"/>
        </w:rPr>
        <w:t xml:space="preserve"> </w:t>
      </w:r>
      <w:r>
        <w:rPr>
          <w:rFonts w:ascii="Myanmar Text" w:hAnsi="Myanmar Text" w:eastAsia="Myanmar Text" w:cs="Myanmar Text"/>
        </w:rPr>
        <w:t>ကျိန်ဆိုခဲ့သည်။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အထောက်အထားတူညီမှုသည်</w:t>
      </w:r>
      <w:r>
        <w:rPr>
          <w:rFonts w:ascii="Times New Roman" w:hAnsi="Times New Roman" w:eastAsia="Times New Roman" w:cs="Times New Roman"/>
        </w:rPr>
        <w:t xml:space="preserve"> </w:t>
      </w:r>
      <w:r>
        <w:rPr>
          <w:rFonts w:ascii="Myanmar Text" w:hAnsi="Myanmar Text" w:eastAsia="Myanmar Text" w:cs="Myanmar Text"/>
        </w:rPr>
        <w:t>မငြင်းနိုင်စရာဖြစ်သည်။</w:t>
      </w:r>
      <w:r>
        <w:rPr>
          <w:rFonts w:ascii="Times New Roman" w:hAnsi="Times New Roman" w:eastAsia="Times New Roman" w:cs="Times New Roman"/>
        </w:rPr>
        <w:t xml:space="preserve"> </w:t>
      </w:r>
      <w:r>
        <w:rPr>
          <w:rFonts w:ascii="Myanmar Text" w:hAnsi="Myanmar Text" w:eastAsia="Myanmar Text" w:cs="Myanmar Text"/>
        </w:rPr>
        <w:t>တစ်ပါးကို</w:t>
      </w:r>
      <w:r>
        <w:rPr>
          <w:rFonts w:ascii="Times New Roman" w:hAnsi="Times New Roman" w:eastAsia="Times New Roman" w:cs="Times New Roman"/>
        </w:rPr>
        <w:t xml:space="preserve"> </w:t>
      </w:r>
      <w:r>
        <w:rPr>
          <w:rFonts w:ascii="Myanmar Text" w:hAnsi="Myanmar Text" w:eastAsia="Myanmar Text" w:cs="Myanmar Text"/>
        </w:rPr>
        <w:t>နေရာချထားသော</w:t>
      </w:r>
      <w:r>
        <w:rPr>
          <w:rFonts w:ascii="Times New Roman" w:hAnsi="Times New Roman" w:eastAsia="Times New Roman" w:cs="Times New Roman"/>
        </w:rPr>
        <w:t xml:space="preserve"> </w:t>
      </w:r>
      <w:r>
        <w:rPr>
          <w:rFonts w:ascii="Myanmar Text" w:hAnsi="Myanmar Text" w:eastAsia="Myanmar Text" w:cs="Myanmar Text"/>
        </w:rPr>
        <w:t>အကြောင်းပြချက်အားလုံးသည်</w:t>
      </w:r>
      <w:r>
        <w:rPr>
          <w:rFonts w:ascii="Times New Roman" w:hAnsi="Times New Roman" w:eastAsia="Times New Roman" w:cs="Times New Roman"/>
        </w:rPr>
        <w:t xml:space="preserve"> </w:t>
      </w:r>
      <w:r>
        <w:rPr>
          <w:rFonts w:ascii="Myanmar Text" w:hAnsi="Myanmar Text" w:eastAsia="Myanmar Text" w:cs="Myanmar Text"/>
        </w:rPr>
        <w:t>အခြားတစ်ပါးအတွက်လည်း</w:t>
      </w:r>
      <w:r>
        <w:rPr>
          <w:rFonts w:ascii="Times New Roman" w:hAnsi="Times New Roman" w:eastAsia="Times New Roman" w:cs="Times New Roman"/>
        </w:rPr>
        <w:t xml:space="preserve"> </w:t>
      </w:r>
      <w:r>
        <w:rPr>
          <w:rFonts w:ascii="Myanmar Text" w:hAnsi="Myanmar Text" w:eastAsia="Myanmar Text" w:cs="Myanmar Text"/>
        </w:rPr>
        <w:t>ထိရောက်သည်။</w:t>
      </w:r>
      <w:r>
        <w:rPr>
          <w:rFonts w:ascii="Times New Roman" w:hAnsi="Times New Roman" w:eastAsia="Times New Roman" w:cs="Times New Roman"/>
        </w:rPr>
        <w:t xml:space="preserve"> </w:t>
      </w:r>
      <w:r>
        <w:rPr>
          <w:rFonts w:ascii="Myanmar Text" w:hAnsi="Myanmar Text" w:eastAsia="Myanmar Text" w:cs="Myanmar Text"/>
        </w:rPr>
        <w:t>လက်ရှိမျိုးဆက်သည်</w:t>
      </w:r>
      <w:r>
        <w:rPr>
          <w:rFonts w:ascii="Times New Roman" w:hAnsi="Times New Roman" w:eastAsia="Times New Roman" w:cs="Times New Roman"/>
        </w:rPr>
        <w:t xml:space="preserve"> </w:t>
      </w:r>
      <w:r>
        <w:rPr>
          <w:rFonts w:ascii="Myanmar Text" w:hAnsi="Myanmar Text" w:eastAsia="Myanmar Text" w:cs="Myanmar Text"/>
        </w:rPr>
        <w:t>ဤပရောဖက်ပြုချက်</w:t>
      </w:r>
      <w:r>
        <w:rPr>
          <w:rFonts w:ascii="Times New Roman" w:hAnsi="Times New Roman" w:eastAsia="Times New Roman" w:cs="Times New Roman"/>
        </w:rPr>
        <w:t xml:space="preserve"> </w:t>
      </w:r>
      <w:r>
        <w:rPr>
          <w:rFonts w:ascii="Myanmar Text" w:hAnsi="Myanmar Text" w:eastAsia="Myanmar Text" w:cs="Myanmar Text"/>
        </w:rPr>
        <w:t>နှစ်ခု၏</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မျက်မြင်တွေ့နေရသည်။</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1840 </w:t>
      </w:r>
      <w:r>
        <w:rPr>
          <w:rFonts w:ascii="Myanmar Text" w:hAnsi="Myanmar Text" w:eastAsia="Myanmar Text" w:cs="Myanmar Text"/>
        </w:rPr>
        <w:t>မှ</w:t>
      </w:r>
      <w:r>
        <w:rPr>
          <w:rFonts w:ascii="Times New Roman" w:hAnsi="Times New Roman" w:eastAsia="Times New Roman" w:cs="Times New Roman"/>
        </w:rPr>
        <w:t xml:space="preserve"> 1844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အက်ဒ်ဗင့်တရားဟောကြားခြင်း၌၊</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အပြည့်အစုံနှင့်</w:t>
      </w:r>
      <w:r>
        <w:rPr>
          <w:rFonts w:ascii="Times New Roman" w:hAnsi="Times New Roman" w:eastAsia="Times New Roman" w:cs="Times New Roman"/>
        </w:rPr>
        <w:t xml:space="preserve"> </w:t>
      </w:r>
      <w:r>
        <w:rPr>
          <w:rFonts w:ascii="Myanmar Text" w:hAnsi="Myanmar Text" w:eastAsia="Myanmar Text" w:cs="Myanmar Text"/>
        </w:rPr>
        <w:t>အသေးစိတ်ပြည့်စုံခြင်းသည်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Smith ŋɛ 1840 dɔŋ 1844 nda faa na, sababu ya naŋ kpɛli Revelation 14 ni maaŋ ayi ba 1798 ni, ka o hãa naŋ kpɛli maaŋ ayi ba 1840 ni, siŋa na ka saŋaŋ yɛl la ga ŋmɔ. Advent waazu ni, ka kɛseŋ 1840 haa 1844 ni, yɛl bɔhɔŋa la biŋi ka bi taŋ kpɛ. Malaika la ziŋ ka o nawɔkpaŋ ayi yi lɔɔ nyiŋ ni ka ayopɛ la yi tɛŋ ni, na yeli o waazu la yelaa ga kɛse. Saŋaŋ yɛl la n daam nyuɔɔ la ka n taŋ tɛŋgbɛɛsi kɔkɔɔ, ka advent waazu la maa taŋ ba missionary station mɔɔri mɔɔri ni duniyan la puŋ. 1840 ni kɔɔ, Ellen White hãa naŋ kpɛli maaŋ ayi la saŋaŋ yɛl la bi zo yi ba every mission station in the world. La taŋ kpɛ bo siŋa na ka Bible prophecy la year-day principle la yɛl kpɛŋ kpɛŋ la bi faŋ yɛl yi ka Ottoman Empire la lɔɔ. Yɛ bɛ naŋ yi la details la puŋ sa kaan yi, ama yɛ deŋ deŋ yi ka yɛ kpa Millerite history la zugu ka Midnight Cry la dynamics la.</w:t>
      </w:r>
    </w:p>
    <w:p>
      <w:pPr>
        <w:pStyle w:val="ArticleHeading"/>
        <w:jc w:val="left"/>
      </w:pPr>
      <w:r>
        <w:rPr>
          <w:rFonts w:ascii="Myanmar Text" w:hAnsi="Myanmar Text" w:eastAsia="Myanmar Text" w:cs="Myanmar Text"/>
        </w:rPr>
        <w:t>အဓိက</w:t>
      </w:r>
      <w:r>
        <w:rPr>
          <w:rFonts w:ascii="Arial" w:hAnsi="Arial" w:eastAsia="Arial" w:cs="Arial"/>
        </w:rPr>
        <w:t xml:space="preserve"> </w:t>
      </w:r>
      <w:r>
        <w:rPr>
          <w:rFonts w:ascii="Myanmar Text" w:hAnsi="Myanmar Text" w:eastAsia="Myanmar Text" w:cs="Myanmar Text"/>
        </w:rPr>
        <w:t>သမိုင်းဝင်</w:t>
      </w:r>
      <w:r>
        <w:rPr>
          <w:rFonts w:ascii="Arial" w:hAnsi="Arial" w:eastAsia="Arial" w:cs="Arial"/>
        </w:rPr>
        <w:t xml:space="preserve"> </w:t>
      </w:r>
      <w:r>
        <w:rPr>
          <w:rFonts w:ascii="Myanmar Text" w:hAnsi="Myanmar Text" w:eastAsia="Myanmar Text" w:cs="Myanmar Text"/>
        </w:rPr>
        <w:t>ဖြစ်ရပ်များ</w:t>
      </w:r>
      <w:r>
        <w:rPr>
          <w:rFonts w:ascii="Arial" w:hAnsi="Arial" w:eastAsia="Arial" w:cs="Arial"/>
        </w:rPr>
        <w:t xml:space="preserve"> — </w:t>
      </w:r>
      <w:r>
        <w:rPr>
          <w:rFonts w:ascii="Myanmar Text" w:hAnsi="Myanmar Text" w:eastAsia="Myanmar Text" w:cs="Myanmar Text"/>
        </w:rPr>
        <w:t>၁၈၃၃</w:t>
      </w:r>
      <w:r>
        <w:rPr>
          <w:rFonts w:ascii="Arial" w:hAnsi="Arial" w:eastAsia="Arial" w:cs="Arial"/>
        </w:rPr>
        <w:t xml:space="preserve"> </w:t>
      </w:r>
      <w:r>
        <w:rPr>
          <w:rFonts w:ascii="Myanmar Text" w:hAnsi="Myanmar Text" w:eastAsia="Myanmar Text" w:cs="Myanmar Text"/>
        </w:rPr>
        <w:t>ခုနှစ်နှင့်</w:t>
      </w:r>
      <w:r>
        <w:rPr>
          <w:rFonts w:ascii="Arial" w:hAnsi="Arial" w:eastAsia="Arial" w:cs="Arial"/>
        </w:rPr>
        <w:t xml:space="preserve"> </w:t>
      </w:r>
      <w:r>
        <w:rPr>
          <w:rFonts w:ascii="Myanmar Text" w:hAnsi="Myanmar Text" w:eastAsia="Myanmar Text" w:cs="Myanmar Text"/>
        </w:rPr>
        <w:t>ကြယ်များ</w:t>
      </w:r>
      <w:r>
        <w:rPr>
          <w:rFonts w:ascii="Arial" w:hAnsi="Arial" w:eastAsia="Arial" w:cs="Arial"/>
        </w:rPr>
        <w:t xml:space="preserve"> </w:t>
      </w:r>
      <w:r>
        <w:rPr>
          <w:rFonts w:ascii="Myanmar Text" w:hAnsi="Myanmar Text" w:eastAsia="Myanmar Text" w:cs="Myanmar Text"/>
        </w:rPr>
        <w:t>ကျခြင်း</w:t>
      </w:r>
    </w:p>
    <w:p>
      <w:pPr>
        <w:pStyle w:val="ArticleBody"/>
        <w:jc w:val="left"/>
      </w:pPr>
      <w:r>
        <w:rPr>
          <w:rFonts w:ascii="Times New Roman" w:hAnsi="Times New Roman" w:eastAsia="Times New Roman" w:cs="Times New Roman"/>
        </w:rPr>
        <w:t>1833-жылы жулдызларныӊ қулауы болды. Эллен Уайт «Уллы Күрес» китабыныӊ 333-бетинде былай деп аңлатадı: «1833-жылы, Миллер Мәсихтиӊ жақын арада келүвиниӊ дәлеллерин халық алдында жария түрде усынa баслағаннан еки жыл соң, Қутқарыўшы Өзиниӊ екинчи келүвиниӊ белгилери сыпатында уәде еткен белгилердиӊ соӊғысы көринди. Иса былай деди: “Жулдызлар көктен қулар”. Матфей 24:29. Ал Яхия Аянда, Қудай күниниӊ жақынлағанын хабарлайтуғын көринслерди аянда көргенинде, былай деп жария етти: “Көктеги жулдызлар жерге қулаdı, күшли жел силкигенде інжир ағашыныӊ мезгили жетпеген інжирлерин төккени сыяқлы”. Аян 6:13. Бул пайғамбарлық 1833-жыл 13-ноябрьдеги уллы метеорлық жаўында айрықша ҳәм тәсирли түрде орынланды».</w:t>
      </w:r>
    </w:p>
    <w:p>
      <w:pPr>
        <w:pStyle w:val="ArticleBody"/>
        <w:jc w:val="left"/>
      </w:pPr>
      <w:r>
        <w:rPr>
          <w:rFonts w:ascii="Times New Roman" w:hAnsi="Times New Roman" w:eastAsia="Times New Roman" w:cs="Times New Roman"/>
        </w:rPr>
        <w:t>Уильям Миллерын гэрчлэл иигэжэ өгүүлнэ:</w:t>
      </w:r>
    </w:p>
    <w:p>
      <w:pPr>
        <w:pStyle w:val="ArticleScripture"/>
        <w:jc w:val="left"/>
      </w:pPr>
      <w:r>
        <w:rPr>
          <w:rFonts w:ascii="Times New Roman" w:hAnsi="Times New Roman" w:eastAsia="Times New Roman" w:cs="Times New Roman"/>
        </w:rPr>
        <w:t>«Суббота иртәнге аштан соң — 1833 елның җәендә — мин бер мәсьәләне тикшерү өчен өстәлем артына утырдым; һәм эшкә чыгар өчен торып баскач, күңелемә элеккегә караганда тагын да көчлерәк итеп: “Бар да, моны дөньяга җиткер”, — дигән сүз килде. Бу тәэсир шулкадәр кинәт һәм шулкадәр көчле булды ки, мин урыныма кире утырдым да: “Мин бара алмыйм, Ходай”, — дидем. “Нигә?” — дигән җавап килгәндәй булды; шунда ук барлык сәбәпләрем, сәләтем җитмәве турында уйларым, калкып чыкты. Ләкин күңел газабым шулкадәр көчәйде ки, мин Аллаһы белән тантаналы килешүгә кердем: әгәр Ул юл ачса, мин барырмын һәм дөнья каршындагы бурычымны үтәрмен. “Юл ачу дип син нәрсәне аңлыйсың?” — дигәндәй булды. “Менә, — дидем мин, — әгәр миңа кайсы да булса урында халык алдында сөйләргә чакыру килсә, мин барып, Изге Язмада Раббының килүе турында нәрсә тапканымны сөйләрмен”. Шул мизгелдә үк бөтен йөгеем төште. Һәм мин, мөгаен, миңа мондый чакыру булмас, дип сөендем; чөнки миңа моңарчы беркайчан да мондый чакыру килгән юк иде, кичергән сынауларым билгеле түгел иде, һәм мине нинди дә булса хезмәт кырына чакырырлар дигән өметем бик аз иде. Шушы вакыттан ярты сәгатьләр чамасы үткәч, мин әле бүлмәдән дә чыгып китмәгән идем, Дрезденнан, өемнән якынча уналты миль ераклыктагы, Гилфорд әфәнденең улы килеп керде һәм атасы мине чакыртканын, аның белән өйләренә кайтуымны теләгәнен әйтте; мин, күрәсең, ул мине ниндидер эш буенча күрергә тели дип уйладым. Мин аңардан: “Нәрсә кирәк?” — дип сорадым. Ул җавап бирде: икенче көнне аларның чиркәвендә вәгазь булмаячак икән, һәм атасы минем килеп, кешеләргә Раббының килүе хакында сөйләвемне тели икән. Мин шунда ук үз-үземә, шундый килешү ясаганым өчен, ачуым килде. Мин шул ук минутта Раббыга каршы баш күтәрдем һәм бармаска ниятләдем. Мин малайга һичнинди җавап бирмичә, зур газап эчендә, якындагы бер урманлыкка киттем. Анда мин, Аның белән ясаган килешүдән үземне азат итәргә тырышып, бер сәгатьләр чамасы Раббы белән көрәштем; ләкин һичбер җиңеллек таба алмадым. Вөҗданыма: “Аллаһы белән килешү төзеп, аны шулкадәр тиз үк бозарсыңмы?” — дигән сүз сеңдерелде, һәм шулай эшләүнең гаять зур гөнаһлылыгы мине басып китте. Ахырда мин буйсындым һәм Раббыга вәгъдә бирдем: әгәр Ул мине ныгытса, мин барырмын, Ул миннән нәрсә генә таләп итсә дә, шуны үтәргә миңа мәрхәмәт һәм көч бирер дип Аңа таянып. Мин өйгә кайттым һәм малайның һаман да көтеп торуын күрдем. Ул төшке аштан соңга кадәр калды, һәм мин аның белән бергә Дрезденга кайттым».</w:t>
      </w:r>
    </w:p>
    <w:p>
      <w:pPr>
        <w:pStyle w:val="ArticleBody"/>
        <w:jc w:val="left"/>
      </w:pPr>
      <w:r>
        <w:rPr>
          <w:rFonts w:ascii="Times New Roman" w:hAnsi="Times New Roman" w:eastAsia="Times New Roman" w:cs="Times New Roman"/>
        </w:rPr>
        <w:t>Miller itit 1833-mi augut qillarmi tusagaksaminik saqqititsivanniaqsimajuq. 1833-mi Decembarimi, ullurissat kataktitillugit, tusagaksaa suli kajusititsinersuaqaqtitsijuq.</w:t>
      </w:r>
    </w:p>
    <w:p>
      <w:pPr>
        <w:pStyle w:val="ArticleHeading"/>
        <w:jc w:val="left"/>
      </w:pPr>
      <w:r>
        <w:rPr>
          <w:rFonts w:ascii="Arial" w:hAnsi="Arial" w:eastAsia="Arial" w:cs="Arial"/>
        </w:rPr>
        <w:t>1840: Peyxembertiyê Pêk Hatinê û Împaratoriya Osmanî</w:t>
      </w:r>
    </w:p>
    <w:p>
      <w:pPr>
        <w:pStyle w:val="ArticleBody"/>
        <w:jc w:val="left"/>
      </w:pPr>
      <w:r>
        <w:rPr>
          <w:rFonts w:ascii="Times New Roman" w:hAnsi="Times New Roman" w:eastAsia="Times New Roman" w:cs="Times New Roman"/>
        </w:rPr>
        <w:t>En 1840, Ellen White comenta un notable cumplimiento de la profecía. Este pasaje ha sido a menudo controvertido en el Espíritu de Profecía, y algunos sostienen que Uriah Smith lo insertó en El Conflicto de los Siglos, pero tales argumentos carecen de fundamento. Ella está hablando de la secuencia de cumplimientos proféticos que condujeron hasta 1840, incluido el caer de las estrellas y el Día Oscuro. Ella escribe: “En el año 1840, otro notable cumplimiento de la profecía despertó un interés generalizado.”</w:t>
      </w:r>
    </w:p>
    <w:p>
      <w:pPr>
        <w:pStyle w:val="ArticleBody"/>
        <w:jc w:val="left"/>
      </w:pPr>
      <w:r>
        <w:rPr>
          <w:rFonts w:ascii="Times New Roman" w:hAnsi="Times New Roman" w:eastAsia="Times New Roman" w:cs="Times New Roman"/>
        </w:rPr>
        <w:t>Eya tixwecexa porofesiya yaBibhelani, kungabi ntsena ku bvumba ka munhu hi Josiah Litch.</w:t>
      </w:r>
    </w:p>
    <w:p>
      <w:pPr>
        <w:pStyle w:val="ArticleScripture"/>
        <w:jc w:val="left"/>
      </w:pPr>
      <w:r>
        <w:rPr>
          <w:rFonts w:ascii="Times New Roman" w:hAnsi="Times New Roman" w:eastAsia="Times New Roman" w:cs="Times New Roman"/>
        </w:rPr>
        <w:t>ئىككى يىل ئىلگىرى، ئىككىنچى كېلىشنى جاكارلاپ يۈرگەن باشلامچى خادىملاردىن بىرى بولغان جوسايا لىچ، ۋەھىي 9-بابنىڭ بىر تەفسىرىنى نەشر قىلىپ، ئوسمانلى ئىمپېرىيەسىنىڭ يىقىلىشىنى ئالدىن بىلدۈرگەن ئىدى. ئۇنىڭ ھېسابلىشىچە، بۇ كۈچ 1840-يىلى 11-ئاۋغۇست كۈنى ئاغدۇرىلىشى كېرەك ئىدى. بەلگىلەنگەن ۋاقىتتا، تۈركىيە ئۆز ئەلچىلىرى ئارقىلىق ياۋروپادىكى ئىتتىپاقداش كۈچلەرنىڭ ھىمايىسىنى قوبۇل قىلدى ۋە شۇ ئارقىلىق ئۆزىنى خرىستىيان مىللەتلىرىنىڭ كونتروللۇقى ئاستىغا قويدى. بۇ ۋەقە ئالدىن ئېيتىلغان بېشارەتنى دەل-دەل ئەمەلگە ئاشۇردى. بۇ ئىش مەلۇم بولغاندا، كۆپ سانلىق كىشىلەر مىللېر ۋە ئۇنىڭ ھەمراھلىرى قوبۇل قىلغان پەيغەمبەرلىك تەبىر قىلىش پىرىنسىپلىرىنىڭ توغرىلىقىغا ئىشىنىپ قالدى، ۋە ئادىۋېنت ھەرىكىتىگە ئاجايىپ زور بىر تۈرتكە بېرىلدى. ئىلىم-مەرىپەت ۋە مەرتىۋە ئىگىلىرى بولغان كىشىلەر مىللېرگە قوشۇلۇپ، ئۇنىڭ قاراشلىرىنى ۋەز ئېيتىش ۋە نەشر قىلىش ئىشلىرىغا قاتناشتى، ۋە 1840-يىلدىن 1844-يىلغىچە بۇ خىزمەت تېز سۈرئەت بىلەن كېڭەيدى.</w:t>
      </w:r>
    </w:p>
    <w:p>
      <w:pPr>
        <w:pStyle w:val="ArticleBody"/>
        <w:jc w:val="left"/>
      </w:pPr>
      <w:r>
        <w:rPr>
          <w:rFonts w:ascii="Times New Roman" w:hAnsi="Times New Roman" w:eastAsia="Times New Roman" w:cs="Times New Roman"/>
        </w:rPr>
        <w:t>اوریاح اسمیت به ما گفته بود که فرشتۀ اولِ مکاشفه ۱۴ در سال ۱۷۹۸ آمد، اما این همان فرشته‌ای است که در مکاشفه ۱۰ آمده است. در مکاشفه ۱۰، به یوحنا گفته می‌شود که کتابچۀ کوچک را از دست فرشته بگیرد و آن را بخورد، و آن در دهان او شیرین خواهد شد. پیام میلری در ۱۱ اوت ۱۸۴۰، پس از دو سال پیشگوییِ فروپاشیِ امپراتوری عثمانی بر اساس اصلِ سال-روز در نبوتِ کتاب‌مقدس، شیرین شد. هنگامی که آن رویداد دقیقاً تحقق یافت، پیامی که آنان اعلام می‌کردند در دهانشان شیرین شد.</w:t>
      </w:r>
    </w:p>
    <w:p>
      <w:pPr>
        <w:pStyle w:val="ArticleBody"/>
        <w:jc w:val="left"/>
      </w:pPr>
      <w:r>
        <w:rPr>
          <w:rFonts w:ascii="Times New Roman" w:hAnsi="Times New Roman" w:eastAsia="Times New Roman" w:cs="Times New Roman"/>
        </w:rPr>
        <w:t>1840 ãtt wagasit 11, ãyti âf ãfegim, misğäqû yimol alläw bä’afäččäw. Yohannes yewärädäw məl’ak kä’əju yalläwən tinniš mäṣḥaf yəwəsäd zänd yit’äzäzall. Məl’aku bä1840 ãtt wagasit 11 yəwärädall, yih dəgmo yäRə’əy 10 məl’ak käRə’əy 14 yäqädamawi məl’ak gar and nəw. YäRə’əy 14 məl’ak bä1798, bägize yämäč’äräša, yəmäṭṭall, nägär gən mäl’əktu bä1840 hayl yägənñall. Ellen White, kuh yäwq yih kəstäta sïtawäq, bizuwočč Miller ena yärgädäññočču yätäkätälut yätənbit tirgwame mäsäriyawwočč t’kkəlñännat endä-hone tämənu, bäläč. Käm1930-woch šägər, bämäjemmariya b1919 yäjemmäräw nägär gən bətəläy b1930-woch wist, Adventism Miller ena yärgädäññočču yätäkätälut yätənbit tirgwame mäsäriyawwočč wädqäw alläw—yih mäsäriyawwočč yäMäṣḥaf Qəddus tənat yäproof text zädä näbär.</w:t>
      </w:r>
    </w:p>
    <w:p>
      <w:pPr>
        <w:pStyle w:val="ArticleHeading"/>
        <w:jc w:val="left"/>
      </w:pPr>
      <w:r>
        <w:rPr>
          <w:rFonts w:ascii="Arial" w:hAnsi="Arial" w:eastAsia="Arial" w:cs="Arial"/>
        </w:rPr>
        <w:t>1843-жыллиқ Чарт вә Кечикиш Вақти</w:t>
      </w:r>
    </w:p>
    <w:p>
      <w:pPr>
        <w:pStyle w:val="ArticleBody"/>
        <w:jc w:val="left"/>
      </w:pPr>
      <w:r>
        <w:rPr>
          <w:rFonts w:ascii="Times New Roman" w:hAnsi="Times New Roman" w:eastAsia="Times New Roman" w:cs="Times New Roman"/>
        </w:rPr>
        <w:t>Tarihteki bir sonraki işaret taşı, Mayıs 1842’de hazırlanmış olan 1843 çizelgesidir. Ellen White şöyle der: “1843 çizelgesinin Rab’bin eli tarafından yönlendirildiğini ve değiştirilmemesi gerektiğini, rakamların O’nun istediği gibi olduğunu ve O’nun elinin onların üzerinde bulunduğunu, öyle ki bazı rakamlardaki bir yanlışı gizlediğini ve O’nun eli kaldırılıncaya dek hiç kimsenin bunu göremediğini gördüm.” Bu çizelge, Mayıs 1842’de hazırlanmış peygamberlik niteliğinde bir işaret taşıdır. Haziran 1842’de Protestan kiliseleri kapılarını kapatmaya başladı ve ikinci melek gelir.</w:t>
      </w:r>
    </w:p>
    <w:p>
      <w:pPr>
        <w:pStyle w:val="ArticleBody"/>
        <w:jc w:val="left"/>
      </w:pPr>
      <w:r>
        <w:rPr>
          <w:rFonts w:ascii="Ebrima" w:hAnsi="Ebrima" w:eastAsia="Ebrima" w:cs="Ebrima"/>
        </w:rPr>
        <w:t>ߕߋ߲</w:t>
      </w:r>
      <w:r>
        <w:rPr>
          <w:rFonts w:ascii="Times New Roman" w:hAnsi="Times New Roman" w:eastAsia="Times New Roman" w:cs="Times New Roman"/>
        </w:rPr>
        <w:t xml:space="preserve"> </w:t>
      </w:r>
      <w:r>
        <w:rPr>
          <w:rFonts w:ascii="Ebrima" w:hAnsi="Ebrima" w:eastAsia="Ebrima" w:cs="Ebrima"/>
        </w:rPr>
        <w:t>ߞߐߕߍ߫ߙߌ߫</w:t>
      </w:r>
      <w:r>
        <w:rPr>
          <w:rFonts w:ascii="Times New Roman" w:hAnsi="Times New Roman" w:eastAsia="Times New Roman" w:cs="Times New Roman"/>
        </w:rPr>
        <w:t xml:space="preserve"> </w:t>
      </w:r>
      <w:r>
        <w:rPr>
          <w:rFonts w:ascii="Ebrima" w:hAnsi="Ebrima" w:eastAsia="Ebrima" w:cs="Ebrima"/>
        </w:rPr>
        <w:t>ߘߊ߬ߓߊ߬ߟߌ߬ߞߊ߲</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߂߁</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ߞߐߕߍ߫</w:t>
      </w:r>
      <w:r>
        <w:rPr>
          <w:rFonts w:ascii="Times New Roman" w:hAnsi="Times New Roman" w:eastAsia="Times New Roman" w:cs="Times New Roman"/>
        </w:rPr>
        <w:t xml:space="preserve"> </w:t>
      </w:r>
      <w:r>
        <w:rPr>
          <w:rFonts w:ascii="Ebrima" w:hAnsi="Ebrima" w:eastAsia="Ebrima" w:cs="Ebrima"/>
        </w:rPr>
        <w:t>߂߁</w:t>
      </w:r>
      <w:r>
        <w:rPr>
          <w:rFonts w:ascii="Times New Roman" w:hAnsi="Times New Roman" w:eastAsia="Times New Roman" w:cs="Times New Roman"/>
        </w:rPr>
        <w:t>: «</w:t>
      </w:r>
      <w:r>
        <w:rPr>
          <w:rFonts w:ascii="Ebrima" w:hAnsi="Ebrima" w:eastAsia="Ebrima" w:cs="Ebrima"/>
        </w:rPr>
        <w:t>ߞߍ߫ߜߍߡߊ߲</w:t>
      </w:r>
      <w:r>
        <w:rPr>
          <w:rFonts w:ascii="Times New Roman" w:hAnsi="Times New Roman" w:eastAsia="Times New Roman" w:cs="Times New Roman"/>
        </w:rPr>
        <w:t xml:space="preserve"> </w:t>
      </w:r>
      <w:r>
        <w:rPr>
          <w:rFonts w:ascii="Ebrima" w:hAnsi="Ebrima" w:eastAsia="Ebrima" w:cs="Ebrima"/>
        </w:rPr>
        <w:t>߂߀߂߄߂</w:t>
      </w:r>
      <w:r>
        <w:rPr>
          <w:rFonts w:ascii="Times New Roman" w:hAnsi="Times New Roman" w:eastAsia="Times New Roman" w:cs="Times New Roman"/>
        </w:rPr>
        <w:t xml:space="preserve"> </w:t>
      </w:r>
      <w:r>
        <w:rPr>
          <w:rFonts w:ascii="Ebrima" w:hAnsi="Ebrima" w:eastAsia="Ebrima" w:cs="Ebrima"/>
        </w:rPr>
        <w:t>ߕߊ߬ߡߌ߬ߘߊ߬ߟߋ߲߬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ߡߌߟߟߍߙ</w:t>
      </w:r>
      <w:r>
        <w:rPr>
          <w:rFonts w:ascii="Times New Roman" w:hAnsi="Times New Roman" w:eastAsia="Times New Roman" w:cs="Times New Roman"/>
        </w:rPr>
        <w:t xml:space="preserve"> </w:t>
      </w:r>
      <w:r>
        <w:rPr>
          <w:rFonts w:ascii="Ebrima" w:hAnsi="Ebrima" w:eastAsia="Ebrima" w:cs="Ebrima"/>
        </w:rPr>
        <w:t>ߡߊ߲߬ߞߊ߬ߣߍ߲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ߞߊ߬ߙߊ߲ߞߍ߫</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ߛߌߣߊ߲</w:t>
      </w:r>
      <w:r>
        <w:rPr>
          <w:rFonts w:ascii="Times New Roman" w:hAnsi="Times New Roman" w:eastAsia="Times New Roman" w:cs="Times New Roman"/>
        </w:rPr>
        <w:t xml:space="preserve"> </w:t>
      </w:r>
      <w:r>
        <w:rPr>
          <w:rFonts w:ascii="Ebrima" w:hAnsi="Ebrima" w:eastAsia="Ebrima" w:cs="Ebrima"/>
        </w:rPr>
        <w:t>ߝߟߐߡߊ߫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Casco Street Church </w:t>
      </w:r>
      <w:r>
        <w:rPr>
          <w:rFonts w:ascii="Ebrima" w:hAnsi="Ebrima" w:eastAsia="Ebrima" w:cs="Ebrima"/>
        </w:rPr>
        <w:t>ߞߊ߲</w:t>
      </w:r>
      <w:r>
        <w:rPr>
          <w:rFonts w:ascii="Times New Roman" w:hAnsi="Times New Roman" w:eastAsia="Times New Roman" w:cs="Times New Roman"/>
        </w:rPr>
        <w:t xml:space="preserve"> Portland, Maine. </w:t>
      </w:r>
      <w:r>
        <w:rPr>
          <w:rFonts w:ascii="Ebrima" w:hAnsi="Ebrima" w:eastAsia="Ebrima" w:cs="Ebrima"/>
        </w:rPr>
        <w:t>ߞߏߛߊ߬ߟߌ߬</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ߛߐߘߐߡߊ߫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ߛߌ߬ߘߊ߬ߘߊ߫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ߘߊ߲ߞߍ߫</w:t>
      </w:r>
      <w:r>
        <w:rPr>
          <w:rFonts w:ascii="Times New Roman" w:hAnsi="Times New Roman" w:eastAsia="Times New Roman" w:cs="Times New Roman"/>
        </w:rPr>
        <w:t xml:space="preserve"> </w:t>
      </w:r>
      <w:r>
        <w:rPr>
          <w:rFonts w:ascii="Ebrima" w:hAnsi="Ebrima" w:eastAsia="Ebrima" w:cs="Ebrima"/>
        </w:rPr>
        <w:t>ߡߌߟߟߍߙ</w:t>
      </w:r>
      <w:r>
        <w:rPr>
          <w:rFonts w:ascii="Times New Roman" w:hAnsi="Times New Roman" w:eastAsia="Times New Roman" w:cs="Times New Roman"/>
        </w:rPr>
        <w:t xml:space="preserve"> </w:t>
      </w:r>
      <w:r>
        <w:rPr>
          <w:rFonts w:ascii="Ebrima" w:hAnsi="Ebrima" w:eastAsia="Ebrima" w:cs="Ebrima"/>
        </w:rPr>
        <w:t>ߡߊ߲߬ߞߊ߬ߣߍ߲</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Ellen White </w:t>
      </w:r>
      <w:r>
        <w:rPr>
          <w:rFonts w:ascii="Ebrima" w:hAnsi="Ebrima" w:eastAsia="Ebrima" w:cs="Ebrima"/>
        </w:rPr>
        <w:t>ߓߊ߯ߙߊ߲ߓߊ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ߛߎ߬ߓߊ߬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ߞߋ߫</w:t>
      </w:r>
      <w:r>
        <w:rPr>
          <w:rFonts w:ascii="Times New Roman" w:hAnsi="Times New Roman" w:eastAsia="Times New Roman" w:cs="Times New Roman"/>
        </w:rPr>
        <w:t xml:space="preserve"> </w:t>
      </w:r>
      <w:r>
        <w:rPr>
          <w:rFonts w:ascii="Ebrima" w:hAnsi="Ebrima" w:eastAsia="Ebrima" w:cs="Ebrima"/>
        </w:rPr>
        <w:t>ߛߋ߫</w:t>
      </w:r>
      <w:r>
        <w:rPr>
          <w:rFonts w:ascii="Times New Roman" w:hAnsi="Times New Roman" w:eastAsia="Times New Roman" w:cs="Times New Roman"/>
        </w:rPr>
        <w:t xml:space="preserve"> </w:t>
      </w:r>
      <w:r>
        <w:rPr>
          <w:rFonts w:ascii="Ebrima" w:hAnsi="Ebrima" w:eastAsia="Ebrima" w:cs="Ebrima"/>
        </w:rPr>
        <w:t>ߦߌ߬ߡߊ߬ߘߐ߫</w:t>
      </w:r>
      <w:r>
        <w:rPr>
          <w:rFonts w:ascii="Times New Roman" w:hAnsi="Times New Roman" w:eastAsia="Times New Roman" w:cs="Times New Roman"/>
        </w:rPr>
        <w:t xml:space="preserve"> </w:t>
      </w:r>
      <w:r>
        <w:rPr>
          <w:rFonts w:ascii="Ebrima" w:hAnsi="Ebrima" w:eastAsia="Ebrima" w:cs="Ebrima"/>
        </w:rPr>
        <w:t>ߞߎ߬ߣߊ߬ߞߏ</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ߞߎ߬ߣߊ߬ߞߏ</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ߝߍ߬ߛߊ߬ߘߊ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ߞߎ߬ߣߊ߬ߞߏ</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ߛߐߘߐߡߊ߫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ߛߌ߬ߘߊ߬ߘߊ߫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ߘߊ߲ߞߍ߫</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ߖߐ߬ߙߌ߬ߦߊ߬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ߖߐ߬ߙߌ߬ߦߊ߬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ߘߊߡߌ߬ߣߊ߬ߣߍ߲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ߜߍ߫</w:t>
      </w:r>
      <w:r>
        <w:rPr>
          <w:rFonts w:ascii="Times New Roman" w:hAnsi="Times New Roman" w:eastAsia="Times New Roman" w:cs="Times New Roman"/>
        </w:rPr>
        <w:t xml:space="preserve"> </w:t>
      </w:r>
      <w:r>
        <w:rPr>
          <w:rFonts w:ascii="Ebrima" w:hAnsi="Ebrima" w:eastAsia="Ebrima" w:cs="Ebrima"/>
        </w:rPr>
        <w:t>ߘߊ߬ߡߎ߲</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ߛߐߘߐߡߊ߫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ߘߊ߲ߡߌ߬ߘߊ߫</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ߡߌߟߟߍߙߟߊ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ߡߊߙߌߟߌ߫</w:t>
      </w:r>
      <w:r>
        <w:rPr>
          <w:rFonts w:ascii="Times New Roman" w:hAnsi="Times New Roman" w:eastAsia="Times New Roman" w:cs="Times New Roman"/>
        </w:rPr>
        <w:t xml:space="preserve"> </w:t>
      </w:r>
      <w:r>
        <w:rPr>
          <w:rFonts w:ascii="Ebrima" w:hAnsi="Ebrima" w:eastAsia="Ebrima" w:cs="Ebrima"/>
        </w:rPr>
        <w:t>ߝߊ߲ߜߍ߲ߞߍߟߊ߫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w:t>
      </w:r>
    </w:p>
    <w:p>
      <w:pPr>
        <w:pStyle w:val="ArticleBody"/>
        <w:jc w:val="left"/>
      </w:pPr>
      <w:r>
        <w:rPr>
          <w:rFonts w:ascii="Myanmar Text" w:hAnsi="Myanmar Text" w:eastAsia="Myanmar Text" w:cs="Myanmar Text"/>
        </w:rPr>
        <w:t>ပထမဆုံးသော</w:t>
      </w:r>
      <w:r>
        <w:rPr>
          <w:rFonts w:ascii="Times New Roman" w:hAnsi="Times New Roman" w:eastAsia="Times New Roman" w:cs="Times New Roman"/>
        </w:rPr>
        <w:t xml:space="preserve"> </w:t>
      </w:r>
      <w:r>
        <w:rPr>
          <w:rFonts w:ascii="Myanmar Text" w:hAnsi="Myanmar Text" w:eastAsia="Myanmar Text" w:cs="Myanmar Text"/>
        </w:rPr>
        <w:t>စိတ်ပျက်ခြင်းသည်</w:t>
      </w:r>
      <w:r>
        <w:rPr>
          <w:rFonts w:ascii="Times New Roman" w:hAnsi="Times New Roman" w:eastAsia="Times New Roman" w:cs="Times New Roman"/>
        </w:rPr>
        <w:t xml:space="preserve"> </w:t>
      </w:r>
      <w:r>
        <w:rPr>
          <w:rFonts w:ascii="Myanmar Text" w:hAnsi="Myanmar Text" w:eastAsia="Myanmar Text" w:cs="Myanmar Text"/>
        </w:rPr>
        <w:t>နောက်တစ်ဆင့်တွင်</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*The Great Controversy*</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စာမျက်နှာ</w:t>
      </w:r>
      <w:r>
        <w:rPr>
          <w:rFonts w:ascii="Times New Roman" w:hAnsi="Times New Roman" w:eastAsia="Times New Roman" w:cs="Times New Roman"/>
        </w:rPr>
        <w:t xml:space="preserve"> 393 </w:t>
      </w:r>
      <w:r>
        <w:rPr>
          <w:rFonts w:ascii="Myanmar Text" w:hAnsi="Myanmar Text" w:eastAsia="Myanmar Text" w:cs="Myanmar Text"/>
        </w:rPr>
        <w:t>မှ</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 xml:space="preserve">1842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ဤပရောဖက်ပြုချက်အတွင်း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ရေးသားလော့၊</w:t>
      </w:r>
      <w:r>
        <w:rPr>
          <w:rFonts w:ascii="Times New Roman" w:hAnsi="Times New Roman" w:eastAsia="Times New Roman" w:cs="Times New Roman"/>
        </w:rPr>
        <w:t xml:space="preserve"> </w:t>
      </w:r>
      <w:r>
        <w:rPr>
          <w:rFonts w:ascii="Myanmar Text" w:hAnsi="Myanmar Text" w:eastAsia="Myanmar Text" w:cs="Myanmar Text"/>
        </w:rPr>
        <w:t>ဖတ်သောသူသည်</w:t>
      </w:r>
      <w:r>
        <w:rPr>
          <w:rFonts w:ascii="Times New Roman" w:hAnsi="Times New Roman" w:eastAsia="Times New Roman" w:cs="Times New Roman"/>
        </w:rPr>
        <w:t xml:space="preserve"> </w:t>
      </w:r>
      <w:r>
        <w:rPr>
          <w:rFonts w:ascii="Myanmar Text" w:hAnsi="Myanmar Text" w:eastAsia="Myanmar Text" w:cs="Myanmar Text"/>
        </w:rPr>
        <w:t>ပြေးနိုင်စေရန်</w:t>
      </w:r>
      <w:r>
        <w:rPr>
          <w:rFonts w:ascii="Times New Roman" w:hAnsi="Times New Roman" w:eastAsia="Times New Roman" w:cs="Times New Roman"/>
        </w:rPr>
        <w:t xml:space="preserve"> </w:t>
      </w:r>
      <w:r>
        <w:rPr>
          <w:rFonts w:ascii="Myanmar Text" w:hAnsi="Myanmar Text" w:eastAsia="Myanmar Text" w:cs="Myanmar Text"/>
        </w:rPr>
        <w:t>အပြားများပေါ်တွင်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ညွှန်ကြားချက်သည်</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ရူပါရုံများကို</w:t>
      </w:r>
      <w:r>
        <w:rPr>
          <w:rFonts w:ascii="Times New Roman" w:hAnsi="Times New Roman" w:eastAsia="Times New Roman" w:cs="Times New Roman"/>
        </w:rPr>
        <w:t xml:space="preserve"> </w:t>
      </w:r>
      <w:r>
        <w:rPr>
          <w:rFonts w:ascii="Myanmar Text" w:hAnsi="Myanmar Text" w:eastAsia="Myanmar Text" w:cs="Myanmar Text"/>
        </w:rPr>
        <w:t>သရုပ်ဖော်ရန်</w:t>
      </w:r>
      <w:r>
        <w:rPr>
          <w:rFonts w:ascii="Times New Roman" w:hAnsi="Times New Roman" w:eastAsia="Times New Roman" w:cs="Times New Roman"/>
        </w:rPr>
        <w:t xml:space="preserve"> </w:t>
      </w:r>
      <w:r>
        <w:rPr>
          <w:rFonts w:ascii="Myanmar Text" w:hAnsi="Myanmar Text" w:eastAsia="Myanmar Text" w:cs="Myanmar Text"/>
        </w:rPr>
        <w:t>ပရောဖက်ပြုချက်ဇယားတစ်စောင်</w:t>
      </w:r>
      <w:r>
        <w:rPr>
          <w:rFonts w:ascii="Times New Roman" w:hAnsi="Times New Roman" w:eastAsia="Times New Roman" w:cs="Times New Roman"/>
        </w:rPr>
        <w:t xml:space="preserve"> </w:t>
      </w:r>
      <w:r>
        <w:rPr>
          <w:rFonts w:ascii="Myanmar Text" w:hAnsi="Myanmar Text" w:eastAsia="Myanmar Text" w:cs="Myanmar Text"/>
        </w:rPr>
        <w:t>ပြင်ဆင်ရန်</w:t>
      </w:r>
      <w:r>
        <w:rPr>
          <w:rFonts w:ascii="Times New Roman" w:hAnsi="Times New Roman" w:eastAsia="Times New Roman" w:cs="Times New Roman"/>
        </w:rPr>
        <w:t xml:space="preserve"> Charles Fitch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အကြံပေးခဲ့သည်။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စိတ်ပျက်ဖွယ်ဖြစ်ရပ်</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အနည်းငယ်သာ</w:t>
      </w:r>
      <w:r>
        <w:rPr>
          <w:rFonts w:ascii="Times New Roman" w:hAnsi="Times New Roman" w:eastAsia="Times New Roman" w:cs="Times New Roman"/>
        </w:rPr>
        <w:t xml:space="preserve"> </w:t>
      </w:r>
      <w:r>
        <w:rPr>
          <w:rFonts w:ascii="Myanmar Text" w:hAnsi="Myanmar Text" w:eastAsia="Myanmar Text" w:cs="Myanmar Text"/>
        </w:rPr>
        <w:t>အကြာတွင်</w:t>
      </w:r>
      <w:r>
        <w:rPr>
          <w:rFonts w:ascii="Times New Roman" w:hAnsi="Times New Roman" w:eastAsia="Times New Roman" w:cs="Times New Roman"/>
        </w:rPr>
        <w:t xml:space="preserve"> </w:t>
      </w:r>
      <w:r>
        <w:rPr>
          <w:rFonts w:ascii="Myanmar Text" w:hAnsi="Myanmar Text" w:eastAsia="Myanmar Text" w:cs="Myanmar Text"/>
        </w:rPr>
        <w:t>ကွယ်လွန်သွားသော</w:t>
      </w:r>
      <w:r>
        <w:rPr>
          <w:rFonts w:ascii="Times New Roman" w:hAnsi="Times New Roman" w:eastAsia="Times New Roman" w:cs="Times New Roman"/>
        </w:rPr>
        <w:t xml:space="preserve"> Charles Fitch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ဤသမိုင်း၌</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အသုံးတော်ခံဖြစ်ခဲ့သည်။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ထိုဇယားကို</w:t>
      </w:r>
      <w:r>
        <w:rPr>
          <w:rFonts w:ascii="Times New Roman" w:hAnsi="Times New Roman" w:eastAsia="Times New Roman" w:cs="Times New Roman"/>
        </w:rPr>
        <w:t xml:space="preserve"> </w:t>
      </w:r>
      <w:r>
        <w:rPr>
          <w:rFonts w:ascii="Myanmar Text" w:hAnsi="Myanmar Text" w:eastAsia="Myanmar Text" w:cs="Myanmar Text"/>
        </w:rPr>
        <w:t>ပြင်ဆင်ခဲ့ပြီး၊</w:t>
      </w:r>
      <w:r>
        <w:rPr>
          <w:rFonts w:ascii="Times New Roman" w:hAnsi="Times New Roman" w:eastAsia="Times New Roman" w:cs="Times New Roman"/>
        </w:rPr>
        <w:t xml:space="preserve"> 1842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မေလတွင်</w:t>
      </w:r>
      <w:r>
        <w:rPr>
          <w:rFonts w:ascii="Times New Roman" w:hAnsi="Times New Roman" w:eastAsia="Times New Roman" w:cs="Times New Roman"/>
        </w:rPr>
        <w:t xml:space="preserve"> </w:t>
      </w:r>
      <w:r>
        <w:rPr>
          <w:rFonts w:ascii="Myanmar Text" w:hAnsi="Myanmar Text" w:eastAsia="Myanmar Text" w:cs="Myanmar Text"/>
        </w:rPr>
        <w:t>ထုတ်ဝေခဲ့သည်။</w:t>
      </w:r>
    </w:p>
    <w:p>
      <w:pPr>
        <w:pStyle w:val="ArticleScripture"/>
        <w:jc w:val="left"/>
      </w:pPr>
      <w:r>
        <w:rPr>
          <w:rFonts w:ascii="Times New Roman" w:hAnsi="Times New Roman" w:eastAsia="Times New Roman" w:cs="Times New Roman"/>
        </w:rPr>
        <w:t>Iminyago y’iyi mbonerahamwe yafatwaga ko ari ugusohora kw’itegeko rya Habakuki. Nyamara ariko, nta wigeze abona ugutinda kugaragara mu isohozwa ry’iyerekwa. Igihe cyo gutinda gitangazwa muri ubwo buhanuzi nyine. Nyuma yo gucika intege, uyu murongo w’Ibyanditswe wabonetse ko ufite uburemere bukomeye: “Iyerekwa riracyari iry’igihe cyagenwe, ariko ku iherezo rizavuga kandi ntirizabeshya; nubwo ryatinda, uriritegereze, kuko rizaza rwose, ntirizatinda. Umukiranutsi azabeshwaho no kwizera.”</w:t>
      </w:r>
    </w:p>
    <w:p>
      <w:pPr>
        <w:pStyle w:val="ArticleBody"/>
        <w:jc w:val="left"/>
      </w:pPr>
      <w:r>
        <w:rPr>
          <w:rFonts w:ascii="Times New Roman" w:hAnsi="Times New Roman" w:eastAsia="Times New Roman" w:cs="Times New Roman"/>
        </w:rPr>
        <w:t>Kweghari nar tarriyi da farko rashin cika tsammani ne, wanda ya zo a ranar 22 ga Maris, 1844. Mabiya Miller suna hasashen ƙarshen duniya a shekara ta 1843, suna amfani da lissafin lokaci na Littafi Mai Tsarki. Sa’ad da Ubangiji bai zo ba zuwa lokacin nan, sai rashin cika tsammani na farko ya auku a ranar 22 ga Maris, 1844. Wannan ne lokacin tarriyi.</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ꯇꯦꯟ</w:t>
      </w:r>
      <w:r>
        <w:rPr>
          <w:rFonts w:ascii="Times New Roman" w:hAnsi="Times New Roman" w:eastAsia="Times New Roman" w:cs="Times New Roman"/>
        </w:rPr>
        <w:t xml:space="preserve"> </w:t>
      </w:r>
      <w:r>
        <w:rPr>
          <w:rFonts w:ascii="Nirmala UI" w:hAnsi="Nirmala UI" w:eastAsia="Nirmala UI" w:cs="Nirmala UI"/>
        </w:rPr>
        <w:t>ꯕꯔꯒꯤꯟꯁꯀꯤ</w:t>
      </w:r>
      <w:r>
        <w:rPr>
          <w:rFonts w:ascii="Times New Roman" w:hAnsi="Times New Roman" w:eastAsia="Times New Roman" w:cs="Times New Roman"/>
        </w:rPr>
        <w:t xml:space="preserve"> </w:t>
      </w:r>
      <w:r>
        <w:rPr>
          <w:rFonts w:ascii="Nirmala UI" w:hAnsi="Nirmala UI" w:eastAsia="Nirmala UI" w:cs="Nirmala UI"/>
        </w:rPr>
        <w:t>ꯄꯔꯦꯕꯜꯗꯥ</w:t>
      </w:r>
      <w:r>
        <w:rPr>
          <w:rFonts w:ascii="Times New Roman" w:hAnsi="Times New Roman" w:eastAsia="Times New Roman" w:cs="Times New Roman"/>
        </w:rPr>
        <w:t xml:space="preserve">, </w:t>
      </w:r>
      <w:r>
        <w:rPr>
          <w:rFonts w:ascii="Nirmala UI" w:hAnsi="Nirmala UI" w:eastAsia="Nirmala UI" w:cs="Nirmala UI"/>
        </w:rPr>
        <w:t>ꯍꯕꯥꯀꯨꯛ</w:t>
      </w:r>
      <w:r>
        <w:rPr>
          <w:rFonts w:ascii="Times New Roman" w:hAnsi="Times New Roman" w:eastAsia="Times New Roman" w:cs="Times New Roman"/>
        </w:rPr>
        <w:t xml:space="preserve"> 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12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ꯇꯥꯔꯤꯌꯤꯡ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12:11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w:t>
      </w:r>
      <w:r>
        <w:rPr>
          <w:rFonts w:ascii="Nirmala UI" w:hAnsi="Nirmala UI" w:eastAsia="Nirmala UI" w:cs="Nirmala UI"/>
        </w:rPr>
        <w:t>ꯗꯦꯂꯤ</w:t>
      </w:r>
      <w:r>
        <w:rPr>
          <w:rFonts w:ascii="Times New Roman" w:hAnsi="Times New Roman" w:eastAsia="Times New Roman" w:cs="Times New Roman"/>
        </w:rPr>
        <w:t xml:space="preserve"> </w:t>
      </w:r>
      <w:r>
        <w:rPr>
          <w:rFonts w:ascii="Nirmala UI" w:hAnsi="Nirmala UI" w:eastAsia="Nirmala UI" w:cs="Nirmala UI"/>
        </w:rPr>
        <w:t>ꯁꯦꯛꯔꯤꯐꯥꯏꯁ</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ꯉꯝꯂꯒꯥ</w:t>
      </w:r>
      <w:r>
        <w:rPr>
          <w:rFonts w:ascii="Times New Roman" w:hAnsi="Times New Roman" w:eastAsia="Times New Roman" w:cs="Times New Roman"/>
        </w:rPr>
        <w:t xml:space="preserve">...” </w:t>
      </w:r>
      <w:r>
        <w:rPr>
          <w:rFonts w:ascii="Nirmala UI" w:hAnsi="Nirmala UI" w:eastAsia="Nirmala UI" w:cs="Nirmala UI"/>
        </w:rPr>
        <w:t>ꯄꯥꯏꯑꯣꯅꯤꯌꯔꯁꯤꯡꯅ</w:t>
      </w:r>
      <w:r>
        <w:rPr>
          <w:rFonts w:ascii="Times New Roman" w:hAnsi="Times New Roman" w:eastAsia="Times New Roman" w:cs="Times New Roman"/>
        </w:rPr>
        <w:t xml:space="preserve"> </w:t>
      </w:r>
      <w:r>
        <w:rPr>
          <w:rFonts w:ascii="Nirmala UI" w:hAnsi="Nirmala UI" w:eastAsia="Nirmala UI" w:cs="Nirmala UI"/>
        </w:rPr>
        <w:t>ꯈꯪꯂꯝꯃꯤ</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508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ꯄꯦꯒꯅꯤꯖꯝ</w:t>
      </w:r>
      <w:r>
        <w:rPr>
          <w:rFonts w:ascii="Times New Roman" w:hAnsi="Times New Roman" w:eastAsia="Times New Roman" w:cs="Times New Roman"/>
        </w:rPr>
        <w:t xml:space="preserve"> </w:t>
      </w:r>
      <w:r>
        <w:rPr>
          <w:rFonts w:ascii="Nirmala UI" w:hAnsi="Nirmala UI" w:eastAsia="Nirmala UI" w:cs="Nirmala UI"/>
        </w:rPr>
        <w:t>ꯃꯥꯏꯊꯥꯔꯛꯈꯤ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ꯀ꯭ꯂꯣꯚꯤꯁꯅ</w:t>
      </w:r>
      <w:r>
        <w:rPr>
          <w:rFonts w:ascii="Times New Roman" w:hAnsi="Times New Roman" w:eastAsia="Times New Roman" w:cs="Times New Roman"/>
        </w:rPr>
        <w:t xml:space="preserve"> </w:t>
      </w:r>
      <w:r>
        <w:rPr>
          <w:rFonts w:ascii="Nirmala UI" w:hAnsi="Nirmala UI" w:eastAsia="Nirmala UI" w:cs="Nirmala UI"/>
        </w:rPr>
        <w:t>ꯚꯤꯁꯤꯒꯣꯠꯁꯤꯡ</w:t>
      </w:r>
      <w:r>
        <w:rPr>
          <w:rFonts w:ascii="Times New Roman" w:hAnsi="Times New Roman" w:eastAsia="Times New Roman" w:cs="Times New Roman"/>
        </w:rPr>
        <w:t xml:space="preserve"> </w:t>
      </w:r>
      <w:r>
        <w:rPr>
          <w:rFonts w:ascii="Nirmala UI" w:hAnsi="Nirmala UI" w:eastAsia="Nirmala UI" w:cs="Nirmala UI"/>
        </w:rPr>
        <w:t>ꯃꯥꯏꯊꯥꯔꯛꯄꯥ꯫</w:t>
      </w:r>
      <w:r>
        <w:rPr>
          <w:rFonts w:ascii="Times New Roman" w:hAnsi="Times New Roman" w:eastAsia="Times New Roman" w:cs="Times New Roman"/>
        </w:rPr>
        <w:t xml:space="preserve"> </w:t>
      </w:r>
      <w:r>
        <w:rPr>
          <w:rFonts w:ascii="Nirmala UI" w:hAnsi="Nirmala UI" w:eastAsia="Nirmala UI" w:cs="Nirmala UI"/>
        </w:rPr>
        <w:t>ꯄꯦꯒꯅꯤꯖꯝ</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w:t>
      </w:r>
      <w:r>
        <w:rPr>
          <w:rFonts w:ascii="Nirmala UI" w:hAnsi="Nirmala UI" w:eastAsia="Nirmala UI" w:cs="Nirmala UI"/>
        </w:rPr>
        <w:t>ꯁꯦꯠ</w:t>
      </w:r>
      <w:r>
        <w:rPr>
          <w:rFonts w:ascii="Times New Roman" w:hAnsi="Times New Roman" w:eastAsia="Times New Roman" w:cs="Times New Roman"/>
        </w:rPr>
        <w:t xml:space="preserve"> </w:t>
      </w:r>
      <w:r>
        <w:rPr>
          <w:rFonts w:ascii="Nirmala UI" w:hAnsi="Nirmala UI" w:eastAsia="Nirmala UI" w:cs="Nirmala UI"/>
        </w:rPr>
        <w:t>ꯑꯞ</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ꯊꯨꯝꯁꯤꯡ</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538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1290 </w:t>
      </w:r>
      <w:r>
        <w:rPr>
          <w:rFonts w:ascii="Nirmala UI" w:hAnsi="Nirmala UI" w:eastAsia="Nirmala UI" w:cs="Nirmala UI"/>
        </w:rPr>
        <w:t>ꯗꯦꯁ</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ꯚꯔꯁꯇꯥ</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ꯊꯥꯎꯖꯟ</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ꯊꯔꯇꯤ</w:t>
      </w:r>
      <w:r>
        <w:rPr>
          <w:rFonts w:ascii="Times New Roman" w:hAnsi="Times New Roman" w:eastAsia="Times New Roman" w:cs="Times New Roman"/>
        </w:rPr>
        <w:t xml:space="preserve"> </w:t>
      </w:r>
      <w:r>
        <w:rPr>
          <w:rFonts w:ascii="Nirmala UI" w:hAnsi="Nirmala UI" w:eastAsia="Nirmala UI" w:cs="Nirmala UI"/>
        </w:rPr>
        <w:t>ꯐꯥꯏꯚ</w:t>
      </w:r>
      <w:r>
        <w:rPr>
          <w:rFonts w:ascii="Times New Roman" w:hAnsi="Times New Roman" w:eastAsia="Times New Roman" w:cs="Times New Roman"/>
        </w:rPr>
        <w:t xml:space="preserve"> </w:t>
      </w:r>
      <w:r>
        <w:rPr>
          <w:rFonts w:ascii="Nirmala UI" w:hAnsi="Nirmala UI" w:eastAsia="Nirmala UI" w:cs="Nirmala UI"/>
        </w:rPr>
        <w:t>ꯗꯦꯁꯇꯥ</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508 </w:t>
      </w:r>
      <w:r>
        <w:rPr>
          <w:rFonts w:ascii="Nirmala UI" w:hAnsi="Nirmala UI" w:eastAsia="Nirmala UI" w:cs="Nirmala UI"/>
        </w:rPr>
        <w:t>ꯍꯥꯞꯄ</w:t>
      </w:r>
      <w:r>
        <w:rPr>
          <w:rFonts w:ascii="Times New Roman" w:hAnsi="Times New Roman" w:eastAsia="Times New Roman" w:cs="Times New Roman"/>
        </w:rPr>
        <w:t xml:space="preserve"> 1335 </w:t>
      </w:r>
      <w:r>
        <w:rPr>
          <w:rFonts w:ascii="Nirmala UI" w:hAnsi="Nirmala UI" w:eastAsia="Nirmala UI" w:cs="Nirmala UI"/>
        </w:rPr>
        <w:t>ꯂꯣꯏꯅꯥ</w:t>
      </w:r>
      <w:r>
        <w:rPr>
          <w:rFonts w:ascii="Times New Roman" w:hAnsi="Times New Roman" w:eastAsia="Times New Roman" w:cs="Times New Roman"/>
        </w:rPr>
        <w:t xml:space="preserve"> 1843 </w:t>
      </w:r>
      <w:r>
        <w:rPr>
          <w:rFonts w:ascii="Nirmala UI" w:hAnsi="Nirmala UI" w:eastAsia="Nirmala UI" w:cs="Nirmala UI"/>
        </w:rPr>
        <w:t>ꯑꯣꯏ꯫</w:t>
      </w:r>
      <w:r>
        <w:rPr>
          <w:rFonts w:ascii="Times New Roman" w:hAnsi="Times New Roman" w:eastAsia="Times New Roman" w:cs="Times New Roman"/>
        </w:rPr>
        <w:t xml:space="preserve"> “1843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1335</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ꯇꯥꯔꯤꯌꯤꯡ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ꯇꯧꯋꯤ</w:t>
      </w:r>
      <w:r>
        <w:rPr>
          <w:rFonts w:ascii="Times New Roman" w:hAnsi="Times New Roman" w:eastAsia="Times New Roman" w:cs="Times New Roman"/>
        </w:rPr>
        <w:t>, “1843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ꯗꯦꯂꯤꯒꯤ</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ꯄꯥꯏꯑꯣꯅꯤꯌꯔꯁꯤꯡꯒꯤ</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ꯎꯞꯍꯜ</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ꯑꯦꯜꯂꯦꯟ</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ꯎꯠꯂꯤ꯫</w:t>
      </w:r>
    </w:p>
    <w:p>
      <w:pPr>
        <w:pStyle w:val="ArticleBody"/>
        <w:jc w:val="left"/>
      </w:pPr>
      <w:r>
        <w:rPr>
          <w:rFonts w:ascii="Times New Roman" w:hAnsi="Times New Roman" w:eastAsia="Times New Roman" w:cs="Times New Roman"/>
        </w:rPr>
        <w:t>D’éclaircir davantage, Ésaïe 30:18 dit : « Et c’est pourquoi le Seigneur attendra. » Ici, le Seigneur est l’époux dans la parabole des dix vierges, et il tarde. « Et c’est pourquoi l’époux tardera afin qu’il vous fasse grâce, et c’est pourquoi il sera exalté afin qu’il vous fasse miséricorde, car le Seigneur est un Dieu de jugement. Heureux tous ceux qui l’attendent. » Cela correspond à Daniel 12:12 : « Heureux celui qui attend et qui parvient aux 1335. » L’époux tarde le 22 mars 1844. Une bénédiction est attachée au fait de parvenir à la première déception, puis d’attendre. Lorsque vous arrivez ici, vous devez attendre. Qu’attendez-vous ? Habacuc 2:3 dit : « Car la vision est encore pour un temps déterminé, mais à la fin elle parlera et ne mentira pas ; si elle tarde, attends-la. » La bénédiction d’arriver aux 1335 est la bénédiction de parvenir à cette histoire, où le Seigneur accomplira le Cri de Minuit.</w:t>
      </w:r>
    </w:p>
    <w:p>
      <w:pPr>
        <w:pStyle w:val="ArticleBody"/>
        <w:jc w:val="left"/>
      </w:pPr>
      <w:r>
        <w:rPr>
          <w:rFonts w:ascii="Times New Roman" w:hAnsi="Times New Roman" w:eastAsia="Times New Roman" w:cs="Times New Roman"/>
        </w:rPr>
        <w:t>Ami wisi na obiara na wɔbɛma no kwan ma ɔde ne ho ahyɛ Anadwo Mframa no mu. Nnipa bi ne Millerfo no nantewii no, ɛnyɛ esiane wɔn ankasa osuahu a wɔne Yesu Kristo wɔ anaa wɔn ankasa adesua a wɔyɛ wɔ Onyankopɔn Asɛm mu nti, na mmom efi suro mu. Ansa na Anadwo Mframa no adu no, Awurade yi saa anuanom yi fi kuw no mu. Ahobammɔdi a edi kan no yɛ adeyɛ no fã a ɛsiesie ma Anadwo Mframa no. Sɛnea Ellen White kyerɛ no, sɛ yɛnte eyi ase a, yefi ɔkwan no so hwe ase kɔ amumɔyɛ wiase a ɛwɔ ase hɔ no mu.</w:t>
      </w:r>
    </w:p>
    <w:p>
      <w:pPr>
        <w:pStyle w:val="ArticleHeading"/>
        <w:jc w:val="left"/>
      </w:pPr>
      <w:r>
        <w:rPr>
          <w:rFonts w:ascii="Arial" w:hAnsi="Arial" w:eastAsia="Arial" w:cs="Arial"/>
        </w:rPr>
        <w:t>Panalangin ti Maikadua nga Mensahe ti Anghel</w:t>
      </w:r>
    </w:p>
    <w:p>
      <w:pPr>
        <w:pStyle w:val="ArticleBody"/>
        <w:jc w:val="left"/>
      </w:pPr>
      <w:r>
        <w:rPr>
          <w:rFonts w:ascii="Times New Roman" w:hAnsi="Times New Roman" w:eastAsia="Times New Roman" w:cs="Times New Roman"/>
        </w:rPr>
        <w:t>Χαο̍</w:t>
      </w:r>
      <w:r>
        <w:rPr>
          <w:rFonts w:ascii="Nirmala UI" w:hAnsi="Nirmala UI" w:eastAsia="Nirmala UI" w:cs="Nirmala UI"/>
        </w:rPr>
        <w:t>क</w:t>
      </w:r>
      <w:r>
        <w:rPr>
          <w:rFonts w:ascii="Times New Roman" w:hAnsi="Times New Roman" w:eastAsia="Times New Roman" w:cs="Times New Roman"/>
        </w:rPr>
        <w:t xml:space="preserve"> Early Writings, σελίς 238: «Προς το τέλος του αγγέλου μηνύματος του δευτέρου, είδον φως μέγα εκ του ουρανού λάμπον επί τον λαόν του Θεού. Αἱ ακτίνες του φωτός τούτου εφαίνοντο λαμπραί ως ο ήλιος, και ήκουσα φωνάς αγγέλων κραζόντων· “Ιδού, ο νυμφίος έρχεται.”» Τούτο ήτο η Κραυγή του Μεσονυκτίου, ήτις έμελλε να δώσει δύναμιν εις το μήνυμα του δευτέρου αγγέλου. Οι πρωτοπόροι κατενόησαν ότι το μήνυμα του πρώτου αγγέλου έφθασεν εν έτει 1798, αλλά ενεδυναμώθη με την κατάρρευσιν της Οθωμανικής Αυτοκρατορίας εν έτει 1840. Πάντα τα μηνύματα αφικνούνται εις σημείον τινά του χρόνου και έπειτα ενδυναμούνται. Το μήνυμα του δευτέρου αγγέλου αφικνείται την 22αν Μαρτίου 1844, όταν αι Προτεσταντικαί εκκλησίαι έκλεισαν τας θύρας αυτών κατά του Μιλλεριτικού μηνύματος. Η Κραυγή του Μεσονυκτίου ενδυναμώνει το μήνυμα του δευτέρου αγγέλου. Το μήνυμα του τρίτου αγγέλου αφικνείται την 22αν Οκτωβρίου 1844, και ενδυναμούται όταν ο ισχυρός άγγελος της Αποκαλύψεως 18 ενώνεται μετ’ αυτού. Έκαστον μήνυμα αφικνείται εις την ιστορίαν και έπειτα ενδυναμούται. Τούτο είναι σημαντικόν να νοηθή.</w:t>
      </w:r>
    </w:p>
    <w:p>
      <w:pPr>
        <w:pStyle w:val="ArticleBody"/>
        <w:jc w:val="left"/>
      </w:pP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ለመልእክት</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ሰጠ።</w:t>
      </w:r>
      <w:r>
        <w:rPr>
          <w:rFonts w:ascii="Times New Roman" w:hAnsi="Times New Roman" w:eastAsia="Times New Roman" w:cs="Times New Roman"/>
        </w:rPr>
        <w:t xml:space="preserve"> </w:t>
      </w:r>
      <w:r>
        <w:rPr>
          <w:rFonts w:ascii="Ebrima" w:hAnsi="Ebrima" w:eastAsia="Ebrima" w:cs="Ebrima"/>
        </w:rPr>
        <w:t>የተስፋ</w:t>
      </w:r>
      <w:r>
        <w:rPr>
          <w:rFonts w:ascii="Times New Roman" w:hAnsi="Times New Roman" w:eastAsia="Times New Roman" w:cs="Times New Roman"/>
        </w:rPr>
        <w:t xml:space="preserve"> </w:t>
      </w:r>
      <w:r>
        <w:rPr>
          <w:rFonts w:ascii="Ebrima" w:hAnsi="Ebrima" w:eastAsia="Ebrima" w:cs="Ebrima"/>
        </w:rPr>
        <w:t>ቆርጠው</w:t>
      </w:r>
      <w:r>
        <w:rPr>
          <w:rFonts w:ascii="Times New Roman" w:hAnsi="Times New Roman" w:eastAsia="Times New Roman" w:cs="Times New Roman"/>
        </w:rPr>
        <w:t xml:space="preserve"> </w:t>
      </w:r>
      <w:r>
        <w:rPr>
          <w:rFonts w:ascii="Ebrima" w:hAnsi="Ebrima" w:eastAsia="Ebrima" w:cs="Ebrima"/>
        </w:rPr>
        <w:t>የነበሩትን</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ለማንቃትና</w:t>
      </w:r>
      <w:r>
        <w:rPr>
          <w:rFonts w:ascii="Times New Roman" w:hAnsi="Times New Roman" w:eastAsia="Times New Roman" w:cs="Times New Roman"/>
        </w:rPr>
        <w:t xml:space="preserve"> </w:t>
      </w:r>
      <w:r>
        <w:rPr>
          <w:rFonts w:ascii="Ebrima" w:hAnsi="Ebrima" w:eastAsia="Ebrima" w:cs="Ebrima"/>
        </w:rPr>
        <w:t>በፊታቸው</w:t>
      </w:r>
      <w:r>
        <w:rPr>
          <w:rFonts w:ascii="Times New Roman" w:hAnsi="Times New Roman" w:eastAsia="Times New Roman" w:cs="Times New Roman"/>
        </w:rPr>
        <w:t xml:space="preserve"> </w:t>
      </w:r>
      <w:r>
        <w:rPr>
          <w:rFonts w:ascii="Ebrima" w:hAnsi="Ebrima" w:eastAsia="Ebrima" w:cs="Ebrima"/>
        </w:rPr>
        <w:t>ላለው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ለማዘጋጀት</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ተልከው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በችሎታ</w:t>
      </w:r>
      <w:r>
        <w:rPr>
          <w:rFonts w:ascii="Times New Roman" w:hAnsi="Times New Roman" w:eastAsia="Times New Roman" w:cs="Times New Roman"/>
        </w:rPr>
        <w:t xml:space="preserve"> </w:t>
      </w:r>
      <w:r>
        <w:rPr>
          <w:rFonts w:ascii="Ebrima" w:hAnsi="Ebrima" w:eastAsia="Ebrima" w:cs="Ebrima"/>
        </w:rPr>
        <w:t>የላቁ</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የተቀበሉት</w:t>
      </w:r>
      <w:r>
        <w:rPr>
          <w:rFonts w:ascii="Times New Roman" w:hAnsi="Times New Roman" w:eastAsia="Times New Roman" w:cs="Times New Roman"/>
        </w:rPr>
        <w:t xml:space="preserve"> </w:t>
      </w:r>
      <w:r>
        <w:rPr>
          <w:rFonts w:ascii="Ebrima" w:hAnsi="Ebrima" w:eastAsia="Ebrima" w:cs="Ebrima"/>
        </w:rPr>
        <w:t>አልነበሩም።</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የተቀበለው</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በተቃራኒው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የተቀበለው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በመረዳት</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ችሎታ</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ሳሙኤል</w:t>
      </w:r>
      <w:r>
        <w:rPr>
          <w:rFonts w:ascii="Times New Roman" w:hAnsi="Times New Roman" w:eastAsia="Times New Roman" w:cs="Times New Roman"/>
        </w:rPr>
        <w:t xml:space="preserve"> </w:t>
      </w:r>
      <w:r>
        <w:rPr>
          <w:rFonts w:ascii="Ebrima" w:hAnsi="Ebrima" w:eastAsia="Ebrima" w:cs="Ebrima"/>
        </w:rPr>
        <w:t>ስኖው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መጀመሪያው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በሥራው</w:t>
      </w:r>
      <w:r>
        <w:rPr>
          <w:rFonts w:ascii="Times New Roman" w:hAnsi="Times New Roman" w:eastAsia="Times New Roman" w:cs="Times New Roman"/>
        </w:rPr>
        <w:t xml:space="preserve"> </w:t>
      </w:r>
      <w:r>
        <w:rPr>
          <w:rFonts w:ascii="Ebrima" w:hAnsi="Ebrima" w:eastAsia="Ebrima" w:cs="Ebrima"/>
        </w:rPr>
        <w:t>መሪነት</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የተቀበሉትና</w:t>
      </w:r>
      <w:r>
        <w:rPr>
          <w:rFonts w:ascii="Times New Roman" w:hAnsi="Times New Roman" w:eastAsia="Times New Roman" w:cs="Times New Roman"/>
        </w:rPr>
        <w:t xml:space="preserve"> </w:t>
      </w:r>
      <w:r>
        <w:rPr>
          <w:rFonts w:ascii="Ebrima" w:hAnsi="Ebrima" w:eastAsia="Ebrima" w:cs="Ebrima"/>
        </w:rPr>
        <w:t>ጩኸቱን</w:t>
      </w:r>
      <w:r>
        <w:rPr>
          <w:rFonts w:ascii="Times New Roman" w:hAnsi="Times New Roman" w:eastAsia="Times New Roman" w:cs="Times New Roman"/>
        </w:rPr>
        <w:t xml:space="preserve"> </w:t>
      </w:r>
      <w:r>
        <w:rPr>
          <w:rFonts w:ascii="Ebrima" w:hAnsi="Ebrima" w:eastAsia="Ebrima" w:cs="Ebrima"/>
        </w:rPr>
        <w:t>በማበርታት</w:t>
      </w:r>
      <w:r>
        <w:rPr>
          <w:rFonts w:ascii="Times New Roman" w:hAnsi="Times New Roman" w:eastAsia="Times New Roman" w:cs="Times New Roman"/>
        </w:rPr>
        <w:t xml:space="preserve"> </w:t>
      </w:r>
      <w:r>
        <w:rPr>
          <w:rFonts w:ascii="Ebrima" w:hAnsi="Ebrima" w:eastAsia="Ebrima" w:cs="Ebrima"/>
        </w:rPr>
        <w:t>የረዱት</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በታሪክ</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የጩኸት</w:t>
      </w:r>
      <w:r>
        <w:rPr>
          <w:rFonts w:ascii="Times New Roman" w:hAnsi="Times New Roman" w:eastAsia="Times New Roman" w:cs="Times New Roman"/>
        </w:rPr>
        <w:t xml:space="preserve"> </w:t>
      </w:r>
      <w:r>
        <w:rPr>
          <w:rFonts w:ascii="Ebrima" w:hAnsi="Ebrima" w:eastAsia="Ebrima" w:cs="Ebrima"/>
        </w:rPr>
        <w:t>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መልእክትን</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የተቀበለው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Uggan The Great Controversy, 376:</w:t>
      </w:r>
    </w:p>
    <w:p>
      <w:pPr>
        <w:pStyle w:val="ArticleScripture"/>
        <w:jc w:val="left"/>
      </w:pPr>
      <w:r>
        <w:rPr>
          <w:rFonts w:ascii="Times New Roman" w:hAnsi="Times New Roman" w:eastAsia="Times New Roman" w:cs="Times New Roman"/>
        </w:rPr>
        <w:t>Нав гӕсгӕ уадзынцæй «Midnight Cry»-ы ныфсхастæн, æхсæз мин адæймаджы баззад цæуынц церкуйтæй. Цæмæй Миллеры куыст уыди церкуйты сæрмагондæй æвæрдæр кæнынмæ хъавыд, уый фыццагæй æрцæуыд разыфæнæй; фæлæ куы минӕвæрттæ æмæ дин ахуыргæнджытæ сæхицæн сæвæрдтой Advent-ы догматикæйы ныхасæй æмæ фæндыд сæрмагонд иу ныхасдзинад уымæй фесæфтын, уæдæ сæ кафедрæйæ фæдыл уыдысты уымæн æмæ сæ уæнгтæн нал фæдтой æрвылазын Second Advent-ы хъуыддаджы фехъусынмæ, кæнæ та сæ социалон æмбырдты сæ ныфс уымæй дзурынмæ.</w:t>
      </w:r>
    </w:p>
    <w:p>
      <w:pPr>
        <w:pStyle w:val="ArticleBody"/>
        <w:jc w:val="left"/>
      </w:pPr>
      <w:r>
        <w:rPr>
          <w:rFonts w:ascii="Times New Roman" w:hAnsi="Times New Roman" w:eastAsia="Times New Roman" w:cs="Times New Roman"/>
        </w:rPr>
        <w:t>Apo Adventista tupaopegua ko árape ombotovéva ko marandu oñembo’e hag̃ua tupao ryepýpe ha jepe ógape ñemíme, ojehechauka ymaite guive ko’ápe pe movimiento Millerita-pe.</w:t>
      </w:r>
    </w:p>
    <w:p>
      <w:pPr>
        <w:pStyle w:val="ArticleScripture"/>
        <w:jc w:val="left"/>
      </w:pPr>
      <w:r>
        <w:rPr>
          <w:rFonts w:ascii="Leelawadee UI" w:hAnsi="Leelawadee UI" w:eastAsia="Leelawadee UI" w:cs="Leelawadee UI"/>
        </w:rPr>
        <w:t>អ្នកជឿបានឃើញខ្លួនឯងស្ថិតនៅក្នុងការសាកល្បងដ៏ធំ</w:t>
      </w:r>
      <w:r>
        <w:rPr>
          <w:rFonts w:ascii="Times New Roman" w:hAnsi="Times New Roman" w:eastAsia="Times New Roman" w:cs="Times New Roman"/>
        </w:rPr>
        <w:t xml:space="preserve"> </w:t>
      </w:r>
      <w:r>
        <w:rPr>
          <w:rFonts w:ascii="Leelawadee UI" w:hAnsi="Leelawadee UI" w:eastAsia="Leelawadee UI" w:cs="Leelawadee UI"/>
        </w:rPr>
        <w:t>និងភាពច្របូកច្របល់យ៉ាងខ្លាំង។</w:t>
      </w:r>
      <w:r>
        <w:rPr>
          <w:rFonts w:ascii="Times New Roman" w:hAnsi="Times New Roman" w:eastAsia="Times New Roman" w:cs="Times New Roman"/>
        </w:rPr>
        <w:t xml:space="preserve"> </w:t>
      </w:r>
      <w:r>
        <w:rPr>
          <w:rFonts w:ascii="Leelawadee UI" w:hAnsi="Leelawadee UI" w:eastAsia="Leelawadee UI" w:cs="Leelawadee UI"/>
        </w:rPr>
        <w:t>ពួកគេស្រឡាញ់ពួកជំនុំរបស់ខ្លួន</w:t>
      </w:r>
      <w:r>
        <w:rPr>
          <w:rFonts w:ascii="Times New Roman" w:hAnsi="Times New Roman" w:eastAsia="Times New Roman" w:cs="Times New Roman"/>
        </w:rPr>
        <w:t xml:space="preserve"> </w:t>
      </w:r>
      <w:r>
        <w:rPr>
          <w:rFonts w:ascii="Leelawadee UI" w:hAnsi="Leelawadee UI" w:eastAsia="Leelawadee UI" w:cs="Leelawadee UI"/>
        </w:rPr>
        <w:t>ហើយមិនចង់បែកចេញឡើយ</w:t>
      </w:r>
      <w:r>
        <w:rPr>
          <w:rFonts w:ascii="Times New Roman" w:hAnsi="Times New Roman" w:eastAsia="Times New Roman" w:cs="Times New Roman"/>
        </w:rPr>
        <w:t xml:space="preserve"> </w:t>
      </w:r>
      <w:r>
        <w:rPr>
          <w:rFonts w:ascii="Leelawadee UI" w:hAnsi="Leelawadee UI" w:eastAsia="Leelawadee UI" w:cs="Leelawadee UI"/>
        </w:rPr>
        <w:t>ប៉ុន្តែពេលដែលពួកគេឃើញសក្ខីភាពនៃព្រះបន្ទូលរបស់ព្រះត្រូវបានទប់ស្កាត់</w:t>
      </w:r>
      <w:r>
        <w:rPr>
          <w:rFonts w:ascii="Times New Roman" w:hAnsi="Times New Roman" w:eastAsia="Times New Roman" w:cs="Times New Roman"/>
        </w:rPr>
        <w:t xml:space="preserve"> </w:t>
      </w:r>
      <w:r>
        <w:rPr>
          <w:rFonts w:ascii="Leelawadee UI" w:hAnsi="Leelawadee UI" w:eastAsia="Leelawadee UI" w:cs="Leelawadee UI"/>
        </w:rPr>
        <w:t>និងសិទ្ធិរបស់ពួកគេក្នុងការស្រាវជ្រាវព្យាករណ៍ត្រូវបានបដិសេធ</w:t>
      </w:r>
      <w:r>
        <w:rPr>
          <w:rFonts w:ascii="Times New Roman" w:hAnsi="Times New Roman" w:eastAsia="Times New Roman" w:cs="Times New Roman"/>
        </w:rPr>
        <w:t xml:space="preserve"> </w:t>
      </w:r>
      <w:r>
        <w:rPr>
          <w:rFonts w:ascii="Leelawadee UI" w:hAnsi="Leelawadee UI" w:eastAsia="Leelawadee UI" w:cs="Leelawadee UI"/>
        </w:rPr>
        <w:t>ពួកគេមានអារម្មណ៍ថា</w:t>
      </w:r>
      <w:r>
        <w:rPr>
          <w:rFonts w:ascii="Times New Roman" w:hAnsi="Times New Roman" w:eastAsia="Times New Roman" w:cs="Times New Roman"/>
        </w:rPr>
        <w:t xml:space="preserve"> </w:t>
      </w:r>
      <w:r>
        <w:rPr>
          <w:rFonts w:ascii="Leelawadee UI" w:hAnsi="Leelawadee UI" w:eastAsia="Leelawadee UI" w:cs="Leelawadee UI"/>
        </w:rPr>
        <w:t>ភក្ដីភាពចំពោះព្រះមិនអនុញ្ញាតឲ្យពួកគេចុះចូលឡើយ។</w:t>
      </w:r>
      <w:r>
        <w:rPr>
          <w:rFonts w:ascii="Times New Roman" w:hAnsi="Times New Roman" w:eastAsia="Times New Roman" w:cs="Times New Roman"/>
        </w:rPr>
        <w:t xml:space="preserve"> </w:t>
      </w:r>
      <w:r>
        <w:rPr>
          <w:rFonts w:ascii="Leelawadee UI" w:hAnsi="Leelawadee UI" w:eastAsia="Leelawadee UI" w:cs="Leelawadee UI"/>
        </w:rPr>
        <w:t>អ្នកដែលស្វែងរកការបិទបាំងសក្ខីភាពនៃព្រះបន្ទូលរបស់ព្រះ</w:t>
      </w:r>
      <w:r>
        <w:rPr>
          <w:rFonts w:ascii="Times New Roman" w:hAnsi="Times New Roman" w:eastAsia="Times New Roman" w:cs="Times New Roman"/>
        </w:rPr>
        <w:t xml:space="preserve"> </w:t>
      </w:r>
      <w:r>
        <w:rPr>
          <w:rFonts w:ascii="Leelawadee UI" w:hAnsi="Leelawadee UI" w:eastAsia="Leelawadee UI" w:cs="Leelawadee UI"/>
        </w:rPr>
        <w:t>មិនអាចត្រូវបានចាត់ទុកថាជាពួកជំនុំរបស់ព្រះគ្រីស្ទបានទេ។</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ពួកគេមានអារម្មណ៍ថា</w:t>
      </w:r>
      <w:r>
        <w:rPr>
          <w:rFonts w:ascii="Times New Roman" w:hAnsi="Times New Roman" w:eastAsia="Times New Roman" w:cs="Times New Roman"/>
        </w:rPr>
        <w:t xml:space="preserve"> </w:t>
      </w:r>
      <w:r>
        <w:rPr>
          <w:rFonts w:ascii="Leelawadee UI" w:hAnsi="Leelawadee UI" w:eastAsia="Leelawadee UI" w:cs="Leelawadee UI"/>
        </w:rPr>
        <w:t>ការបែកចេញពីទំនាក់ទំនងមុនរបស់ខ្លួនគឺសមហេតុសមផល។</w:t>
      </w:r>
      <w:r>
        <w:rPr>
          <w:rFonts w:ascii="Times New Roman" w:hAnsi="Times New Roman" w:eastAsia="Times New Roman" w:cs="Times New Roman"/>
        </w:rPr>
        <w:t xml:space="preserve"> </w:t>
      </w:r>
      <w:r>
        <w:rPr>
          <w:rFonts w:ascii="Leelawadee UI" w:hAnsi="Leelawadee UI" w:eastAsia="Leelawadee UI" w:cs="Leelawadee UI"/>
        </w:rPr>
        <w:t>នៅរដូវក្តៅ</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ប្រហែល</w:t>
      </w:r>
      <w:r>
        <w:rPr>
          <w:rFonts w:ascii="Times New Roman" w:hAnsi="Times New Roman" w:eastAsia="Times New Roman" w:cs="Times New Roman"/>
        </w:rPr>
        <w:t xml:space="preserve"> 50,000 </w:t>
      </w:r>
      <w:r>
        <w:rPr>
          <w:rFonts w:ascii="Leelawadee UI" w:hAnsi="Leelawadee UI" w:eastAsia="Leelawadee UI" w:cs="Leelawadee UI"/>
        </w:rPr>
        <w:t>នាក់បានដកខ្លួនចេញពីពួកជំនុំ។</w:t>
      </w:r>
    </w:p>
    <w:p>
      <w:pPr>
        <w:pStyle w:val="ArticleHeading"/>
        <w:jc w:val="left"/>
      </w:pPr>
      <w:r>
        <w:rPr>
          <w:rFonts w:ascii="Arial" w:hAnsi="Arial" w:eastAsia="Arial" w:cs="Arial"/>
        </w:rPr>
        <w:t>فَهمُ ميلر وصراخُ منتصفِ الليلِ الحقيقي لقد أدّت المواضعُ النبويّةُ التي تحدّثت عن المجيء الثاني للمسيح إلى إخراجِ شعبٍ متميّزٍ ومنفصلٍ عن العالم. غير أنّ هؤلاء المؤمنين، بعد أن انفصلوا بسبب فَهمهم لمجيء المسيح الوشيك، لم يكونوا جميعًا موحَّدين في كلّ نقاط العقيدة. فكما في أيام المسيح، حين كان تلاميذه يترقّبون المملكة التي سيؤسّسها، كانت لديهم أفكارٌ خاطئة عن الطريقة التي سيُنشئ بها مملكته. ومع ذلك، فإنّ رسالتهم واعتقادهم بزمان الأحداث كانا، في الجوهر، صحيحين. هكذا أيضًا كان شأن حركة عام 1844. لم يكن جميع الذين خرجوا عند مناداة «هوذا العريسُ مُقبِل» متّفقين في كلّ تفصيل؛ لكنّهم كانوا موحَّدين في الحقيقة العظيمة التي مفادها أنّ مجيء المسيح قد صار قريبًا جدًا. كان وليم ميلر نفسه لا يزال واقعًا في أخطاءٍ كثيرة، سواء في تفسير النبوّات أو في تطبيق بعض الآيات. غير أنّ الله لم يرفض الرسالة بسبب هذه النواقص. فالرسالة كانت مُرسَلةً لتُحدِث اختبارًا لشعبه. وكثيرون ممّن قبلوها فعلوا ذلك بدافع الخوف؛ ولم يكن إيمانهم متجذّرًا في المحبّة للحق. وكان الله يقصد بهذه الرسالة أن يَكشف ما في القلوب. ولو كانت هذه الحركة خاليةً من العيوب البشريّة كلّها، لما ظهرت تلك السمات الكامنة في الصفات الخُلُقيّة لكثيرين. لقد قيل إنّ هذه الرسالة كانت «لتُمتحَن بها الكنيسة وتُجرَّب، وليُعلَم ما إذا كانوا سيضعون عواطفهم على هذا العالم أم على المسيح والسماء». وكان ميلر ومَن ارتبطوا به يظنّون أنّ رسالة الإنذار إلى لَاودِكيّة تنطبق على الكنائس الاسميّة في زمانهم. لكنّها، في الواقع، كانت تنطبق عليهم هم أنفسهم. ومع أنّهم كانوا يظنّون أنّهم أُقيموا ليوقظوا الكنائس، فقد كانوا هم بحاجةٍ إلى عملٍ أعمق في قلوبهم. كانوا صادقين، وكان الله يقودهم؛ لكنّهم لم يفهموا كلّ ما كان يريد أن يُتمّه بوساطتهم. فقد تطلّعوا إلى ظهور المسيح لكي يُخلّص شعبه ويُبيد الأشرار؛ لكنّهم لم يروا أنّه قبل أن يأتي ملكوت المجد، لا بدّ أن يتمّ عملُ دينونةٍ وتطهيرٍ واستعداد. إنّ صراخ منتصف الليل، إذا فُهِم حقّ الفهم، لم يكن مجرّد إعلانٍ عن زمانٍ مُحدّد. لقد كان الرسالة التي تنبّأ بها المثل: «ففي نصف الليل صار صراخ: هوذا العريسُ مُقبِل، فاخرُجنَ للقائه» (متّى 25: 6). وهذه الرسالة لم تُضِئ المجيء القريب فحسب، بل كشفت أيضًا عن شرطٍ روحيّ. فقد كان هناك تَريُّثٌ ظاهر، وتأخيرٌ، خيّب رجاء كثيرين. لكن في ذلك التأخير عينه كان يجب أن يُستعلَن الفرق بين الذين لديهم زيتٌ في آنيتهم والذين ليست لهم سوى المصابيح الخارجية للاعتراف. إنّ الذين كانوا قد تبِعوا النور لم يُرفَضوا بسبب خطئهم في الحدث الذي سيقع عند انقضاء الأيام النبويّة. لم تكن خيبة رجائهم دليلًا على أنّ الله لم يَقُدهم. لقد اختبر تلاميذ المسيح خيبةً مشابهة حين دخلوا أورشليم وهم يهتفون: «أوصنّا لابن داود»، ثم رأوه بعد ذلك مُسلَّمًا للصلب. وكانوا، مع ذلك، سائرين في تتميم قصد الله. وهكذا أيضًا في عام 1844: لقد أُعطي الشعب الرسالة التي كان ينبغي أن تُعطى، وإن كان فَهمهم لما كان الله على وشك أن يفعله ناقصًا. إنّ مسألة الأهمّيّة ليست ما إذا كان كلّ إنسانٍ قد نطق بكلّ شيءٍ على وجه الصواب، بل ما إذا كان الله في رحمته يقود شعبًا إلى اختبارٍ يُعِدّهم للمزيد من النور. فخلال إعلان المجيء الثاني، وضمن صراخ منتصف الليل، كان الله يدعو الناس إلى الخروج من العالم، وإلى فحص قلوبهم، وإلى الاستعداد للقاء ربّهم. وكان هذا هو العمل الحقيقي. وكان المقصود أن ينكشف كلّ ما هو زائف، وأن يظهر المخلصون، وأن يُستعلَن أناسٌ يحبّون ظهور المسيح بالحقّ.</w:t>
      </w:r>
    </w:p>
    <w:p>
      <w:pPr>
        <w:pStyle w:val="ArticleBody"/>
        <w:jc w:val="left"/>
      </w:pPr>
      <w:r>
        <w:rPr>
          <w:rFonts w:ascii="Times New Roman" w:hAnsi="Times New Roman" w:eastAsia="Times New Roman" w:cs="Times New Roman"/>
        </w:rPr>
        <w:t>من كتاب الشيخ دامستيغت، Foundation of Seventh-day Adventist Message and Mission، كان ميلر يعتقد أن إعلان دانيال 8:14 والملاك الأول من رؤيا 14 هو صرخة نصف الليل—«هوذا العريس مُقبل». وكان يعتقد أن هذه الرسالة كانت تُحدِّد المجيء الثاني للمسيح. وظنّ ميلر أن التاريخ كلَّه كان صرخة نصف الليل، لكن إلن وايت تقرِّر أن صرخة نصف الليل قد تمَّت عند نقطة محدَّدة. وقد عنون صموئيل سنو عرضه «صرخة نصف الليل الحقيقية» ليميِّزها عن التعليم الميلري القائل إن صرخة نصف الليل كانت الرسالة العامة.</w:t>
      </w:r>
    </w:p>
    <w:p>
      <w:pPr>
        <w:pStyle w:val="ArticleBody"/>
        <w:jc w:val="left"/>
      </w:pPr>
      <w:r>
        <w:rPr>
          <w:rFonts w:ascii="Times New Roman" w:hAnsi="Times New Roman" w:eastAsia="Times New Roman" w:cs="Times New Roman"/>
        </w:rPr>
        <w:t>ئەڭ ڕۆحانییەکان یەکەمجار پەیامەکەیان وەرگرت، و ئەوانەی پێشتر لە کارەکەدا ڕێبەرییان کردبوو دوایین کەسان بوون لە وەرگرتنی و یارمەتیدان بۆ گەورەکردنی هاوارەکە. ویلیام میلەر، کە لە ساڵی 1833ەوە سەرکردایەتیی کارەکەی کردبوو، کاتێک پەیامی «هاواری نیوەشەو» لە ئاب 1844 هات، لەگەڵیدا دەستەوەستان بوو. ئەو دڵنیانەبوو لەوەی جیا بێتەوە لە کڵێساکان، و بۆ ماوەی چەندین ساڵ فێرکردنی تێگەیشتنێکی دیکەی «هاواری نیوەشەو»ی کردبوو.</w:t>
      </w:r>
    </w:p>
    <w:p>
      <w:pPr>
        <w:pStyle w:val="ArticleBody"/>
        <w:jc w:val="left"/>
      </w:pPr>
      <w:r>
        <w:rPr>
          <w:rFonts w:ascii="Times New Roman" w:hAnsi="Times New Roman" w:eastAsia="Times New Roman" w:cs="Times New Roman"/>
        </w:rPr>
        <w:t>William Miller ayillqäna:</w:t>
      </w:r>
    </w:p>
    <w:p>
      <w:pPr>
        <w:pStyle w:val="ArticleScripture"/>
        <w:jc w:val="left"/>
      </w:pPr>
      <w:r>
        <w:rPr>
          <w:rFonts w:ascii="Times New Roman" w:hAnsi="Times New Roman" w:eastAsia="Times New Roman" w:cs="Times New Roman"/>
        </w:rPr>
        <w:t>«Ай Саибниң көрүнүшиниң қандақму бир бәлгүлүк күни тоғрисида һечқачан қатъий ишәнчтә болмиған едим, чүнки һеч ким күн вә саатни билишкә қабил әмәс, дәп ишинип кәлгән едим. Мән нәшр қилинған барлиқ дәрслиримдә, буни нам бетидә көргили болиду, “1843-йил әтрапида” дәп көрсәткән едим. Ағзаки барлиқ дәрслиримдә болса, мән һәр вақит тиңшиғучиларға, әгәр һесаблашимда һечқандақ хаталиқ болмиса, мәзгилләр 1843-йили ахирлишиду, бирақ ахирниң шу вақиттинму бурун кәлмәйду, дәп ейталмаймән, шуңа улар һәр даим тәйяр туридиған болуши керәк, дәп ейтаттим. 1842-йили қериндашларниң бәзилири наһайити қатъийлиқ билән дәл шу жилни вәз қилип, мәнің “әгәр” дегән сөзни қошқиним үчүн мени әйиблигән еди.»</w:t>
      </w:r>
    </w:p>
    <w:p>
      <w:pPr>
        <w:pStyle w:val="ArticleBody"/>
        <w:jc w:val="left"/>
      </w:pPr>
      <w:r>
        <w:rPr>
          <w:rFonts w:ascii="Times New Roman" w:hAnsi="Times New Roman" w:eastAsia="Times New Roman" w:cs="Times New Roman"/>
        </w:rPr>
        <w:t>1842 йыл май айында 1843 йылғы схема нәшер ителде, һәм ҡәрҙәштәр Миллерға үҙенең сығышынан «әгәр» һүҙен алып ташларға ҡуштылар.</w:t>
      </w:r>
    </w:p>
    <w:p>
      <w:pPr>
        <w:pStyle w:val="ArticleBody"/>
        <w:jc w:val="left"/>
      </w:pPr>
      <w:r>
        <w:rPr>
          <w:rFonts w:ascii="Nirmala UI" w:hAnsi="Nirmala UI" w:eastAsia="Nirmala UI" w:cs="Nirmala UI"/>
        </w:rPr>
        <w:t>മില്ലര്</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w:t>
      </w:r>
      <w:r>
        <w:rPr>
          <w:rFonts w:ascii="Nirmala UI" w:hAnsi="Nirmala UI" w:eastAsia="Nirmala UI" w:cs="Nirmala UI"/>
        </w:rPr>
        <w:t>ന്നു</w:t>
      </w:r>
      <w:r>
        <w:rPr>
          <w:rFonts w:ascii="Times New Roman" w:hAnsi="Times New Roman" w:eastAsia="Times New Roman" w:cs="Times New Roman"/>
        </w:rPr>
        <w:t>: “</w:t>
      </w:r>
      <w:r>
        <w:rPr>
          <w:rFonts w:ascii="Nirmala UI" w:hAnsi="Nirmala UI" w:eastAsia="Nirmala UI" w:cs="Nirmala UI"/>
        </w:rPr>
        <w:t>ഞാന്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ത്താവിന്റെ</w:t>
      </w:r>
      <w:r>
        <w:rPr>
          <w:rFonts w:ascii="Times New Roman" w:hAnsi="Times New Roman" w:eastAsia="Times New Roman" w:cs="Times New Roman"/>
        </w:rPr>
        <w:t xml:space="preserve"> </w:t>
      </w:r>
      <w:r>
        <w:rPr>
          <w:rFonts w:ascii="Nirmala UI" w:hAnsi="Nirmala UI" w:eastAsia="Nirmala UI" w:cs="Nirmala UI"/>
        </w:rPr>
        <w:t>വരവിനായി</w:t>
      </w:r>
      <w:r>
        <w:rPr>
          <w:rFonts w:ascii="Times New Roman" w:hAnsi="Times New Roman" w:eastAsia="Times New Roman" w:cs="Times New Roman"/>
        </w:rPr>
        <w:t xml:space="preserve"> </w:t>
      </w:r>
      <w:r>
        <w:rPr>
          <w:rFonts w:ascii="Nirmala UI" w:hAnsi="Nirmala UI" w:eastAsia="Nirmala UI" w:cs="Nirmala UI"/>
        </w:rPr>
        <w:t>ഏപ്രില്</w:t>
      </w:r>
      <w:r>
        <w:rPr>
          <w:rFonts w:ascii="Times New Roman" w:hAnsi="Times New Roman" w:eastAsia="Times New Roman" w:cs="Times New Roman"/>
        </w:rPr>
        <w:t xml:space="preserve">‍ </w:t>
      </w:r>
      <w:r>
        <w:rPr>
          <w:rFonts w:ascii="Nirmala UI" w:hAnsi="Nirmala UI" w:eastAsia="Nirmala UI" w:cs="Nirmala UI"/>
        </w:rPr>
        <w:t>ഇരുപത്തിമൂന്നാം</w:t>
      </w:r>
      <w:r>
        <w:rPr>
          <w:rFonts w:ascii="Times New Roman" w:hAnsi="Times New Roman" w:eastAsia="Times New Roman" w:cs="Times New Roman"/>
        </w:rPr>
        <w:t xml:space="preserve"> </w:t>
      </w:r>
      <w:r>
        <w:rPr>
          <w:rFonts w:ascii="Nirmala UI" w:hAnsi="Nirmala UI" w:eastAsia="Nirmala UI" w:cs="Nirmala UI"/>
        </w:rPr>
        <w:t>തീയതി</w:t>
      </w:r>
      <w:r>
        <w:rPr>
          <w:rFonts w:ascii="Times New Roman" w:hAnsi="Times New Roman" w:eastAsia="Times New Roman" w:cs="Times New Roman"/>
        </w:rPr>
        <w:t xml:space="preserve"> </w:t>
      </w:r>
      <w:r>
        <w:rPr>
          <w:rFonts w:ascii="Nirmala UI" w:hAnsi="Nirmala UI" w:eastAsia="Nirmala UI" w:cs="Nirmala UI"/>
        </w:rPr>
        <w:t>എന്നൊരു</w:t>
      </w:r>
      <w:r>
        <w:rPr>
          <w:rFonts w:ascii="Times New Roman" w:hAnsi="Times New Roman" w:eastAsia="Times New Roman" w:cs="Times New Roman"/>
        </w:rPr>
        <w:t xml:space="preserve"> </w:t>
      </w:r>
      <w:r>
        <w:rPr>
          <w:rFonts w:ascii="Nirmala UI" w:hAnsi="Nirmala UI" w:eastAsia="Nirmala UI" w:cs="Nirmala UI"/>
        </w:rPr>
        <w:t>നിശ്ചിത</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നിശ്ചയിച്ചുവെന്ന</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പൊതുപത്രങ്ങളും</w:t>
      </w:r>
      <w:r>
        <w:rPr>
          <w:rFonts w:ascii="Times New Roman" w:hAnsi="Times New Roman" w:eastAsia="Times New Roman" w:cs="Times New Roman"/>
        </w:rPr>
        <w:t xml:space="preserve"> </w:t>
      </w:r>
      <w:r>
        <w:rPr>
          <w:rFonts w:ascii="Nirmala UI" w:hAnsi="Nirmala UI" w:eastAsia="Nirmala UI" w:cs="Nirmala UI"/>
        </w:rPr>
        <w:t>പ്രസിദ്ധീകരിച്ചിരുന്നു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w:t>
      </w:r>
      <w:r>
        <w:rPr>
          <w:rFonts w:ascii="Nirmala UI" w:hAnsi="Nirmala UI" w:eastAsia="Nirmala UI" w:cs="Nirmala UI"/>
        </w:rPr>
        <w:t>ഷത്തിന്റെ</w:t>
      </w:r>
      <w:r>
        <w:rPr>
          <w:rFonts w:ascii="Times New Roman" w:hAnsi="Times New Roman" w:eastAsia="Times New Roman" w:cs="Times New Roman"/>
        </w:rPr>
        <w:t xml:space="preserve"> </w:t>
      </w:r>
      <w:r>
        <w:rPr>
          <w:rFonts w:ascii="Nirmala UI" w:hAnsi="Nirmala UI" w:eastAsia="Nirmala UI" w:cs="Nirmala UI"/>
        </w:rPr>
        <w:t>ഡിസംബറില്</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കണക്കുകൂട്ടലില്</w:t>
      </w:r>
      <w:r>
        <w:rPr>
          <w:rFonts w:ascii="Times New Roman" w:hAnsi="Times New Roman" w:eastAsia="Times New Roman" w:cs="Times New Roman"/>
        </w:rPr>
        <w:t xml:space="preserve">‍ </w:t>
      </w:r>
      <w:r>
        <w:rPr>
          <w:rFonts w:ascii="Nirmala UI" w:hAnsi="Nirmala UI" w:eastAsia="Nirmala UI" w:cs="Nirmala UI"/>
        </w:rPr>
        <w:t>യാതൊരു</w:t>
      </w:r>
      <w:r>
        <w:rPr>
          <w:rFonts w:ascii="Times New Roman" w:hAnsi="Times New Roman" w:eastAsia="Times New Roman" w:cs="Times New Roman"/>
        </w:rPr>
        <w:t xml:space="preserve"> </w:t>
      </w:r>
      <w:r>
        <w:rPr>
          <w:rFonts w:ascii="Nirmala UI" w:hAnsi="Nirmala UI" w:eastAsia="Nirmala UI" w:cs="Nirmala UI"/>
        </w:rPr>
        <w:t>പിശകും</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കാണാനായിരുന്നില്ലാത്തതിനാല്</w:t>
      </w:r>
      <w:r>
        <w:rPr>
          <w:rFonts w:ascii="Times New Roman" w:hAnsi="Times New Roman" w:eastAsia="Times New Roman" w:cs="Times New Roman"/>
        </w:rPr>
        <w:t xml:space="preserve">‍, 1843 </w:t>
      </w:r>
      <w:r>
        <w:rPr>
          <w:rFonts w:ascii="Nirmala UI" w:hAnsi="Nirmala UI" w:eastAsia="Nirmala UI" w:cs="Nirmala UI"/>
        </w:rPr>
        <w:t>മാര്</w:t>
      </w:r>
      <w:r>
        <w:rPr>
          <w:rFonts w:ascii="Times New Roman" w:hAnsi="Times New Roman" w:eastAsia="Times New Roman" w:cs="Times New Roman"/>
        </w:rPr>
        <w:t>‍</w:t>
      </w:r>
      <w:r>
        <w:rPr>
          <w:rFonts w:ascii="Nirmala UI" w:hAnsi="Nirmala UI" w:eastAsia="Nirmala UI" w:cs="Nirmala UI"/>
        </w:rPr>
        <w:t>ച്ച്</w:t>
      </w:r>
      <w:r>
        <w:rPr>
          <w:rFonts w:ascii="Times New Roman" w:hAnsi="Times New Roman" w:eastAsia="Times New Roman" w:cs="Times New Roman"/>
        </w:rPr>
        <w:t xml:space="preserve"> 21</w:t>
      </w:r>
      <w:r>
        <w:rPr>
          <w:rFonts w:ascii="Nirmala UI" w:hAnsi="Nirmala UI" w:eastAsia="Nirmala UI" w:cs="Nirmala UI"/>
        </w:rPr>
        <w:t>നും</w:t>
      </w:r>
      <w:r>
        <w:rPr>
          <w:rFonts w:ascii="Times New Roman" w:hAnsi="Times New Roman" w:eastAsia="Times New Roman" w:cs="Times New Roman"/>
        </w:rPr>
        <w:t xml:space="preserve"> 1844 </w:t>
      </w:r>
      <w:r>
        <w:rPr>
          <w:rFonts w:ascii="Nirmala UI" w:hAnsi="Nirmala UI" w:eastAsia="Nirmala UI" w:cs="Nirmala UI"/>
        </w:rPr>
        <w:t>മാര്</w:t>
      </w:r>
      <w:r>
        <w:rPr>
          <w:rFonts w:ascii="Times New Roman" w:hAnsi="Times New Roman" w:eastAsia="Times New Roman" w:cs="Times New Roman"/>
        </w:rPr>
        <w:t>‍</w:t>
      </w:r>
      <w:r>
        <w:rPr>
          <w:rFonts w:ascii="Nirmala UI" w:hAnsi="Nirmala UI" w:eastAsia="Nirmala UI" w:cs="Nirmala UI"/>
        </w:rPr>
        <w:t>ച്ച്</w:t>
      </w:r>
      <w:r>
        <w:rPr>
          <w:rFonts w:ascii="Times New Roman" w:hAnsi="Times New Roman" w:eastAsia="Times New Roman" w:cs="Times New Roman"/>
        </w:rPr>
        <w:t xml:space="preserve"> 21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ഇടയില്</w:t>
      </w:r>
      <w:r>
        <w:rPr>
          <w:rFonts w:ascii="Times New Roman" w:hAnsi="Times New Roman" w:eastAsia="Times New Roman" w:cs="Times New Roman"/>
        </w:rPr>
        <w:t xml:space="preserve">‍ </w:t>
      </w:r>
      <w:r>
        <w:rPr>
          <w:rFonts w:ascii="Nirmala UI" w:hAnsi="Nirmala UI" w:eastAsia="Nirmala UI" w:cs="Nirmala UI"/>
        </w:rPr>
        <w:t>ഏതെങ്കിലും</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ത്താവ്</w:t>
      </w:r>
      <w:r>
        <w:rPr>
          <w:rFonts w:ascii="Times New Roman" w:hAnsi="Times New Roman" w:eastAsia="Times New Roman" w:cs="Times New Roman"/>
        </w:rPr>
        <w:t xml:space="preserve"> </w:t>
      </w:r>
      <w:r>
        <w:rPr>
          <w:rFonts w:ascii="Nirmala UI" w:hAnsi="Nirmala UI" w:eastAsia="Nirmala UI" w:cs="Nirmala UI"/>
        </w:rPr>
        <w:t>വരുമെന്ന്</w:t>
      </w:r>
      <w:r>
        <w:rPr>
          <w:rFonts w:ascii="Times New Roman" w:hAnsi="Times New Roman" w:eastAsia="Times New Roman" w:cs="Times New Roman"/>
        </w:rPr>
        <w:t xml:space="preserve"> </w:t>
      </w:r>
      <w:r>
        <w:rPr>
          <w:rFonts w:ascii="Nirmala UI" w:hAnsi="Nirmala UI" w:eastAsia="Nirmala UI" w:cs="Nirmala UI"/>
        </w:rPr>
        <w:t>എന്നിലുള്ള</w:t>
      </w:r>
      <w:r>
        <w:rPr>
          <w:rFonts w:ascii="Times New Roman" w:hAnsi="Times New Roman" w:eastAsia="Times New Roman" w:cs="Times New Roman"/>
        </w:rPr>
        <w:t xml:space="preserve"> </w:t>
      </w:r>
      <w:r>
        <w:rPr>
          <w:rFonts w:ascii="Nirmala UI" w:hAnsi="Nirmala UI" w:eastAsia="Nirmala UI" w:cs="Nirmala UI"/>
        </w:rPr>
        <w:t>വിശ്വാസം</w:t>
      </w:r>
      <w:r>
        <w:rPr>
          <w:rFonts w:ascii="Times New Roman" w:hAnsi="Times New Roman" w:eastAsia="Times New Roman" w:cs="Times New Roman"/>
        </w:rPr>
        <w:t xml:space="preserve"> </w:t>
      </w:r>
      <w:r>
        <w:rPr>
          <w:rFonts w:ascii="Nirmala UI" w:hAnsi="Nirmala UI" w:eastAsia="Nirmala UI" w:cs="Nirmala UI"/>
        </w:rPr>
        <w:t>ഞാന്</w:t>
      </w:r>
      <w:r>
        <w:rPr>
          <w:rFonts w:ascii="Times New Roman" w:hAnsi="Times New Roman" w:eastAsia="Times New Roman" w:cs="Times New Roman"/>
        </w:rPr>
        <w:t xml:space="preserve">‍ </w:t>
      </w:r>
      <w:r>
        <w:rPr>
          <w:rFonts w:ascii="Nirmala UI" w:hAnsi="Nirmala UI" w:eastAsia="Nirmala UI" w:cs="Nirmala UI"/>
        </w:rPr>
        <w:t>പ്രസിദ്ധീകരിച്ചു</w:t>
      </w:r>
      <w:r>
        <w:rPr>
          <w:rFonts w:ascii="Times New Roman" w:hAnsi="Times New Roman" w:eastAsia="Times New Roman" w:cs="Times New Roman"/>
        </w:rPr>
        <w:t xml:space="preserve">.” </w:t>
      </w:r>
      <w:r>
        <w:rPr>
          <w:rFonts w:ascii="Nirmala UI" w:hAnsi="Nirmala UI" w:eastAsia="Nirmala UI" w:cs="Nirmala UI"/>
        </w:rPr>
        <w:t>മില്ലര്</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മാസത്തിലെ</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നിഗമനത്തില്</w:t>
      </w:r>
      <w:r>
        <w:rPr>
          <w:rFonts w:ascii="Times New Roman" w:hAnsi="Times New Roman" w:eastAsia="Times New Roman" w:cs="Times New Roman"/>
        </w:rPr>
        <w:t xml:space="preserve">‍ </w:t>
      </w:r>
      <w:r>
        <w:rPr>
          <w:rFonts w:ascii="Nirmala UI" w:hAnsi="Nirmala UI" w:eastAsia="Nirmala UI" w:cs="Nirmala UI"/>
        </w:rPr>
        <w:t>ഇതിനകം</w:t>
      </w:r>
      <w:r>
        <w:rPr>
          <w:rFonts w:ascii="Times New Roman" w:hAnsi="Times New Roman" w:eastAsia="Times New Roman" w:cs="Times New Roman"/>
        </w:rPr>
        <w:t xml:space="preserve"> </w:t>
      </w:r>
      <w:r>
        <w:rPr>
          <w:rFonts w:ascii="Nirmala UI" w:hAnsi="Nirmala UI" w:eastAsia="Nirmala UI" w:cs="Nirmala UI"/>
        </w:rPr>
        <w:t>എത്തിയിരുന്നു</w:t>
      </w:r>
      <w:r>
        <w:rPr>
          <w:rFonts w:ascii="Times New Roman" w:hAnsi="Times New Roman" w:eastAsia="Times New Roman" w:cs="Times New Roman"/>
        </w:rPr>
        <w:t xml:space="preserve">; </w:t>
      </w:r>
      <w:r>
        <w:rPr>
          <w:rFonts w:ascii="Nirmala UI" w:hAnsi="Nirmala UI" w:eastAsia="Nirmala UI" w:cs="Nirmala UI"/>
        </w:rPr>
        <w:t>സാമുവല്</w:t>
      </w:r>
      <w:r>
        <w:rPr>
          <w:rFonts w:ascii="Times New Roman" w:hAnsi="Times New Roman" w:eastAsia="Times New Roman" w:cs="Times New Roman"/>
        </w:rPr>
        <w:t xml:space="preserve">‍ </w:t>
      </w:r>
      <w:r>
        <w:rPr>
          <w:rFonts w:ascii="Nirmala UI" w:hAnsi="Nirmala UI" w:eastAsia="Nirmala UI" w:cs="Nirmala UI"/>
        </w:rPr>
        <w:t>സ്നോ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നിഗമനം</w:t>
      </w:r>
      <w:r>
        <w:rPr>
          <w:rFonts w:ascii="Times New Roman" w:hAnsi="Times New Roman" w:eastAsia="Times New Roman" w:cs="Times New Roman"/>
        </w:rPr>
        <w:t xml:space="preserve"> </w:t>
      </w:r>
      <w:r>
        <w:rPr>
          <w:rFonts w:ascii="Nirmala UI" w:hAnsi="Nirmala UI" w:eastAsia="Nirmala UI" w:cs="Nirmala UI"/>
        </w:rPr>
        <w:t>ഉപയോഗിച്ച്</w:t>
      </w:r>
      <w:r>
        <w:rPr>
          <w:rFonts w:ascii="Times New Roman" w:hAnsi="Times New Roman" w:eastAsia="Times New Roman" w:cs="Times New Roman"/>
        </w:rPr>
        <w:t xml:space="preserve"> “Midnight Cry” </w:t>
      </w:r>
      <w:r>
        <w:rPr>
          <w:rFonts w:ascii="Nirmala UI" w:hAnsi="Nirmala UI" w:eastAsia="Nirmala UI" w:cs="Nirmala UI"/>
        </w:rPr>
        <w:t>പ്രഖ്യാപിക്കുന്നതിനു</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മില്ലര്</w:t>
      </w:r>
      <w:r>
        <w:rPr>
          <w:rFonts w:ascii="Times New Roman" w:hAnsi="Times New Roman" w:eastAsia="Times New Roman" w:cs="Times New Roman"/>
        </w:rPr>
        <w:t xml:space="preserve">‍ </w:t>
      </w:r>
      <w:r>
        <w:rPr>
          <w:rFonts w:ascii="Nirmala UI" w:hAnsi="Nirmala UI" w:eastAsia="Nirmala UI" w:cs="Nirmala UI"/>
        </w:rPr>
        <w:t>അതിനെക്കുറിച്ച്</w:t>
      </w:r>
      <w:r>
        <w:rPr>
          <w:rFonts w:ascii="Times New Roman" w:hAnsi="Times New Roman" w:eastAsia="Times New Roman" w:cs="Times New Roman"/>
        </w:rPr>
        <w:t xml:space="preserve"> </w:t>
      </w:r>
      <w:r>
        <w:rPr>
          <w:rFonts w:ascii="Nirmala UI" w:hAnsi="Nirmala UI" w:eastAsia="Nirmala UI" w:cs="Nirmala UI"/>
        </w:rPr>
        <w:t>എഴുതിയിരുന്നു</w:t>
      </w:r>
      <w:r>
        <w:rPr>
          <w:rFonts w:ascii="Times New Roman" w:hAnsi="Times New Roman" w:eastAsia="Times New Roman" w:cs="Times New Roman"/>
        </w:rPr>
        <w:t xml:space="preserve">. 1844 </w:t>
      </w:r>
      <w:r>
        <w:rPr>
          <w:rFonts w:ascii="Nirmala UI" w:hAnsi="Nirmala UI" w:eastAsia="Nirmala UI" w:cs="Nirmala UI"/>
        </w:rPr>
        <w:t>ഒക്ടോബര്</w:t>
      </w:r>
      <w:r>
        <w:rPr>
          <w:rFonts w:ascii="Times New Roman" w:hAnsi="Times New Roman" w:eastAsia="Times New Roman" w:cs="Times New Roman"/>
        </w:rPr>
        <w:t>‍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തിരിച്ചറിയുന്നതിനായി</w:t>
      </w:r>
      <w:r>
        <w:rPr>
          <w:rFonts w:ascii="Times New Roman" w:hAnsi="Times New Roman" w:eastAsia="Times New Roman" w:cs="Times New Roman"/>
        </w:rPr>
        <w:t xml:space="preserve"> </w:t>
      </w:r>
      <w:r>
        <w:rPr>
          <w:rFonts w:ascii="Nirmala UI" w:hAnsi="Nirmala UI" w:eastAsia="Nirmala UI" w:cs="Nirmala UI"/>
        </w:rPr>
        <w:t>സാമുവല്</w:t>
      </w:r>
      <w:r>
        <w:rPr>
          <w:rFonts w:ascii="Times New Roman" w:hAnsi="Times New Roman" w:eastAsia="Times New Roman" w:cs="Times New Roman"/>
        </w:rPr>
        <w:t xml:space="preserve">‍ </w:t>
      </w:r>
      <w:r>
        <w:rPr>
          <w:rFonts w:ascii="Nirmala UI" w:hAnsi="Nirmala UI" w:eastAsia="Nirmala UI" w:cs="Nirmala UI"/>
        </w:rPr>
        <w:t>സ്നോ</w:t>
      </w:r>
      <w:r>
        <w:rPr>
          <w:rFonts w:ascii="Times New Roman" w:hAnsi="Times New Roman" w:eastAsia="Times New Roman" w:cs="Times New Roman"/>
        </w:rPr>
        <w:t xml:space="preserve"> </w:t>
      </w:r>
      <w:r>
        <w:rPr>
          <w:rFonts w:ascii="Nirmala UI" w:hAnsi="Nirmala UI" w:eastAsia="Nirmala UI" w:cs="Nirmala UI"/>
        </w:rPr>
        <w:t>ഉപയോഗിച്ച</w:t>
      </w:r>
      <w:r>
        <w:rPr>
          <w:rFonts w:ascii="Times New Roman" w:hAnsi="Times New Roman" w:eastAsia="Times New Roman" w:cs="Times New Roman"/>
        </w:rPr>
        <w:t xml:space="preserve"> </w:t>
      </w:r>
      <w:r>
        <w:rPr>
          <w:rFonts w:ascii="Nirmala UI" w:hAnsi="Nirmala UI" w:eastAsia="Nirmala UI" w:cs="Nirmala UI"/>
        </w:rPr>
        <w:t>തര്</w:t>
      </w:r>
      <w:r>
        <w:rPr>
          <w:rFonts w:ascii="Times New Roman" w:hAnsi="Times New Roman" w:eastAsia="Times New Roman" w:cs="Times New Roman"/>
        </w:rPr>
        <w:t>‍</w:t>
      </w:r>
      <w:r>
        <w:rPr>
          <w:rFonts w:ascii="Nirmala UI" w:hAnsi="Nirmala UI" w:eastAsia="Nirmala UI" w:cs="Nirmala UI"/>
        </w:rPr>
        <w:t>ക്കശൃംഖല</w:t>
      </w:r>
      <w:r>
        <w:rPr>
          <w:rFonts w:ascii="Times New Roman" w:hAnsi="Times New Roman" w:eastAsia="Times New Roman" w:cs="Times New Roman"/>
        </w:rPr>
        <w:t xml:space="preserve"> </w:t>
      </w:r>
      <w:r>
        <w:rPr>
          <w:rFonts w:ascii="Nirmala UI" w:hAnsi="Nirmala UI" w:eastAsia="Nirmala UI" w:cs="Nirmala UI"/>
        </w:rPr>
        <w:t>ഒരുമിച്ച്</w:t>
      </w:r>
      <w:r>
        <w:rPr>
          <w:rFonts w:ascii="Times New Roman" w:hAnsi="Times New Roman" w:eastAsia="Times New Roman" w:cs="Times New Roman"/>
        </w:rPr>
        <w:t xml:space="preserve"> </w:t>
      </w:r>
      <w:r>
        <w:rPr>
          <w:rFonts w:ascii="Nirmala UI" w:hAnsi="Nirmala UI" w:eastAsia="Nirmala UI" w:cs="Nirmala UI"/>
        </w:rPr>
        <w:t>ഘടിപ്പിക്കാന്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ത്താവ്</w:t>
      </w:r>
      <w:r>
        <w:rPr>
          <w:rFonts w:ascii="Times New Roman" w:hAnsi="Times New Roman" w:eastAsia="Times New Roman" w:cs="Times New Roman"/>
        </w:rPr>
        <w:t xml:space="preserve"> </w:t>
      </w:r>
      <w:r>
        <w:rPr>
          <w:rFonts w:ascii="Nirmala UI" w:hAnsi="Nirmala UI" w:eastAsia="Nirmala UI" w:cs="Nirmala UI"/>
        </w:rPr>
        <w:t>ഉപയോഗിച്ചത്</w:t>
      </w:r>
      <w:r>
        <w:rPr>
          <w:rFonts w:ascii="Times New Roman" w:hAnsi="Times New Roman" w:eastAsia="Times New Roman" w:cs="Times New Roman"/>
        </w:rPr>
        <w:t xml:space="preserve"> </w:t>
      </w:r>
      <w:r>
        <w:rPr>
          <w:rFonts w:ascii="Nirmala UI" w:hAnsi="Nirmala UI" w:eastAsia="Nirmala UI" w:cs="Nirmala UI"/>
        </w:rPr>
        <w:t>മില്ലറെയായിരുന്നു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Միլլերը գրեց. «1843 թվականի ընթացքում մամուլը և որոշ քարոզարաններ իմ և ինձ հետ կապված անձանց վրա թափեցին ամենադաժան պարսավանքները։ Մեր դրդապատճառների վրա հարձակում գործեցին, մեր սկզբունքները խեղաթյուրեցին, մեր բնավորությունները զրպարտեցին»։ Ժամանակն անցավ, և 1844 թվականի մարտի 21-ը անցավ՝ առանց Տիրոջ հայտնվելու։ Հիասթափությունը մեծ էր, և շատերը այլևս նրանց հետ չէին ընթանում։ Մինչ այդ ժամանակը՝ 1840 թվականից սկսած, Միլլերականների թիվը գնահատվում էր 200,000, սակայն այս պահին մնացել էր միայն 50,000։</w:t>
      </w:r>
    </w:p>
    <w:p>
      <w:pPr>
        <w:pStyle w:val="ArticleBody"/>
        <w:jc w:val="left"/>
      </w:pP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w:t>
      </w:r>
      <w:r>
        <w:rPr>
          <w:rFonts w:ascii="Nirmala UI" w:hAnsi="Nirmala UI" w:eastAsia="Nirmala UI" w:cs="Nirmala UI"/>
        </w:rPr>
        <w:t>ഇതിനുമുമ്പ്</w:t>
      </w:r>
      <w:r>
        <w:rPr>
          <w:rFonts w:ascii="Times New Roman" w:hAnsi="Times New Roman" w:eastAsia="Times New Roman" w:cs="Times New Roman"/>
        </w:rPr>
        <w:t>, 1843-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ശരത്കാലത്തിൽ</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സഹോദരന്മാർ</w:t>
      </w:r>
      <w:r>
        <w:rPr>
          <w:rFonts w:ascii="Times New Roman" w:hAnsi="Times New Roman" w:eastAsia="Times New Roman" w:cs="Times New Roman"/>
        </w:rPr>
        <w:t xml:space="preserve"> </w:t>
      </w:r>
      <w:r>
        <w:rPr>
          <w:rFonts w:ascii="Nirmala UI" w:hAnsi="Nirmala UI" w:eastAsia="Nirmala UI" w:cs="Nirmala UI"/>
        </w:rPr>
        <w:t>സഭകളെ</w:t>
      </w:r>
      <w:r>
        <w:rPr>
          <w:rFonts w:ascii="Times New Roman" w:hAnsi="Times New Roman" w:eastAsia="Times New Roman" w:cs="Times New Roman"/>
        </w:rPr>
        <w:t xml:space="preserve"> </w:t>
      </w:r>
      <w:r>
        <w:rPr>
          <w:rFonts w:ascii="Nirmala UI" w:hAnsi="Nirmala UI" w:eastAsia="Nirmala UI" w:cs="Nirmala UI"/>
        </w:rPr>
        <w:t>ബാബിലോൻ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വിളിക്കാനും</w:t>
      </w:r>
      <w:r>
        <w:rPr>
          <w:rFonts w:ascii="Times New Roman" w:hAnsi="Times New Roman" w:eastAsia="Times New Roman" w:cs="Times New Roman"/>
        </w:rPr>
        <w:t xml:space="preserve">, </w:t>
      </w:r>
      <w:r>
        <w:rPr>
          <w:rFonts w:ascii="Nirmala UI" w:hAnsi="Nirmala UI" w:eastAsia="Nirmala UI" w:cs="Nirmala UI"/>
        </w:rPr>
        <w:t>അവയിൽനിന്ന്</w:t>
      </w:r>
      <w:r>
        <w:rPr>
          <w:rFonts w:ascii="Times New Roman" w:hAnsi="Times New Roman" w:eastAsia="Times New Roman" w:cs="Times New Roman"/>
        </w:rPr>
        <w:t xml:space="preserve"> </w:t>
      </w:r>
      <w:r>
        <w:rPr>
          <w:rFonts w:ascii="Nirmala UI" w:hAnsi="Nirmala UI" w:eastAsia="Nirmala UI" w:cs="Nirmala UI"/>
        </w:rPr>
        <w:t>പുറത്തുവരുന്നത്</w:t>
      </w:r>
      <w:r>
        <w:rPr>
          <w:rFonts w:ascii="Times New Roman" w:hAnsi="Times New Roman" w:eastAsia="Times New Roman" w:cs="Times New Roman"/>
        </w:rPr>
        <w:t xml:space="preserve"> </w:t>
      </w:r>
      <w:r>
        <w:rPr>
          <w:rFonts w:ascii="Nirmala UI" w:hAnsi="Nirmala UI" w:eastAsia="Nirmala UI" w:cs="Nirmala UI"/>
        </w:rPr>
        <w:t>അഡ്വെന്റിസ്റ്റുകളുടെ</w:t>
      </w:r>
      <w:r>
        <w:rPr>
          <w:rFonts w:ascii="Times New Roman" w:hAnsi="Times New Roman" w:eastAsia="Times New Roman" w:cs="Times New Roman"/>
        </w:rPr>
        <w:t xml:space="preserve"> </w:t>
      </w:r>
      <w:r>
        <w:rPr>
          <w:rFonts w:ascii="Nirmala UI" w:hAnsi="Nirmala UI" w:eastAsia="Nirmala UI" w:cs="Nirmala UI"/>
        </w:rPr>
        <w:t>കടമയാണെന്ന്</w:t>
      </w:r>
      <w:r>
        <w:rPr>
          <w:rFonts w:ascii="Times New Roman" w:hAnsi="Times New Roman" w:eastAsia="Times New Roman" w:cs="Times New Roman"/>
        </w:rPr>
        <w:t xml:space="preserve"> </w:t>
      </w:r>
      <w:r>
        <w:rPr>
          <w:rFonts w:ascii="Nirmala UI" w:hAnsi="Nirmala UI" w:eastAsia="Nirmala UI" w:cs="Nirmala UI"/>
        </w:rPr>
        <w:t>പ്രബോധിപ്പിക്കാനും</w:t>
      </w:r>
      <w:r>
        <w:rPr>
          <w:rFonts w:ascii="Times New Roman" w:hAnsi="Times New Roman" w:eastAsia="Times New Roman" w:cs="Times New Roman"/>
        </w:rPr>
        <w:t xml:space="preserve"> </w:t>
      </w:r>
      <w:r>
        <w:rPr>
          <w:rFonts w:ascii="Nirmala UI" w:hAnsi="Nirmala UI" w:eastAsia="Nirmala UI" w:cs="Nirmala UI"/>
        </w:rPr>
        <w:t>തുടങ്ങി</w:t>
      </w:r>
      <w:r>
        <w:rPr>
          <w:rFonts w:ascii="Times New Roman" w:hAnsi="Times New Roman" w:eastAsia="Times New Roman" w:cs="Times New Roman"/>
        </w:rPr>
        <w:t xml:space="preserve">. </w:t>
      </w:r>
      <w:r>
        <w:rPr>
          <w:rFonts w:ascii="Nirmala UI" w:hAnsi="Nirmala UI" w:eastAsia="Nirmala UI" w:cs="Nirmala UI"/>
        </w:rPr>
        <w:t>ഇതുകൊണ്ട്</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ദുഃഖമായി</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ഫലം</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ദോഷകരമായിരുന്നതുമാത്രമല്ല</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ദൈവവചനത്തിന്റെ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വികൃതീകരണമായി</w:t>
      </w:r>
      <w:r>
        <w:rPr>
          <w:rFonts w:ascii="Times New Roman" w:hAnsi="Times New Roman" w:eastAsia="Times New Roman" w:cs="Times New Roman"/>
        </w:rPr>
        <w:t xml:space="preserve">, </w:t>
      </w:r>
      <w:r>
        <w:rPr>
          <w:rFonts w:ascii="Nirmala UI" w:hAnsi="Nirmala UI" w:eastAsia="Nirmala UI" w:cs="Nirmala UI"/>
        </w:rPr>
        <w:t>തിരുവെഴുത്തുകളുടെ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വളച്ചൊടിക്കലായി</w:t>
      </w:r>
      <w:r>
        <w:rPr>
          <w:rFonts w:ascii="Times New Roman" w:hAnsi="Times New Roman" w:eastAsia="Times New Roman" w:cs="Times New Roman"/>
        </w:rPr>
        <w:t xml:space="preserve"> </w:t>
      </w:r>
      <w:r>
        <w:rPr>
          <w:rFonts w:ascii="Nirmala UI" w:hAnsi="Nirmala UI" w:eastAsia="Nirmala UI" w:cs="Nirmala UI"/>
        </w:rPr>
        <w:t>കണക്കാക്കി</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സന്ദേശവുമായി</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പോരാടിക്കൊണ്ടിരുന്നു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അർദ്ധരാത്രിയിലെ</w:t>
      </w:r>
      <w:r>
        <w:rPr>
          <w:rFonts w:ascii="Times New Roman" w:hAnsi="Times New Roman" w:eastAsia="Times New Roman" w:cs="Times New Roman"/>
        </w:rPr>
        <w:t xml:space="preserve"> </w:t>
      </w:r>
      <w:r>
        <w:rPr>
          <w:rFonts w:ascii="Nirmala UI" w:hAnsi="Nirmala UI" w:eastAsia="Nirmala UI" w:cs="Nirmala UI"/>
        </w:rPr>
        <w:t>നിലവിളിയുടെ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സ്വീകരിക്കുക</w:t>
      </w:r>
      <w:r>
        <w:rPr>
          <w:rFonts w:ascii="Times New Roman" w:hAnsi="Times New Roman" w:eastAsia="Times New Roman" w:cs="Times New Roman"/>
        </w:rPr>
        <w:t xml:space="preserve"> </w:t>
      </w:r>
      <w:r>
        <w:rPr>
          <w:rFonts w:ascii="Nirmala UI" w:hAnsi="Nirmala UI" w:eastAsia="Nirmala UI" w:cs="Nirmala UI"/>
        </w:rPr>
        <w:t>അദ്ദേഹത്തിനു</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ദുഷ്കരമായി</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ആചാരം</w:t>
      </w:r>
      <w:r>
        <w:rPr>
          <w:rFonts w:ascii="Times New Roman" w:hAnsi="Times New Roman" w:eastAsia="Times New Roman" w:cs="Times New Roman"/>
        </w:rPr>
        <w:t xml:space="preserve"> </w:t>
      </w:r>
      <w:r>
        <w:rPr>
          <w:rFonts w:ascii="Nirmala UI" w:hAnsi="Nirmala UI" w:eastAsia="Nirmala UI" w:cs="Nirmala UI"/>
        </w:rPr>
        <w:t>വ്യാപിച്ചു</w:t>
      </w:r>
      <w:r>
        <w:rPr>
          <w:rFonts w:ascii="Times New Roman" w:hAnsi="Times New Roman" w:eastAsia="Times New Roman" w:cs="Times New Roman"/>
        </w:rPr>
        <w:t xml:space="preserve">; </w:t>
      </w:r>
      <w:r>
        <w:rPr>
          <w:rFonts w:ascii="Nirmala UI" w:hAnsi="Nirmala UI" w:eastAsia="Nirmala UI" w:cs="Nirmala UI"/>
        </w:rPr>
        <w:t>സഭകൾ</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അടച്ചുപൂട്ടപ്പെട്ടു</w:t>
      </w:r>
      <w:r>
        <w:rPr>
          <w:rFonts w:ascii="Times New Roman" w:hAnsi="Times New Roman" w:eastAsia="Times New Roman" w:cs="Times New Roman"/>
        </w:rPr>
        <w:t xml:space="preserve">; </w:t>
      </w:r>
      <w:r>
        <w:rPr>
          <w:rFonts w:ascii="Nirmala UI" w:hAnsi="Nirmala UI" w:eastAsia="Nirmala UI" w:cs="Nirmala UI"/>
        </w:rPr>
        <w:t>അതുവഴി</w:t>
      </w:r>
      <w:r>
        <w:rPr>
          <w:rFonts w:ascii="Times New Roman" w:hAnsi="Times New Roman" w:eastAsia="Times New Roman" w:cs="Times New Roman"/>
        </w:rPr>
        <w:t xml:space="preserve"> </w:t>
      </w:r>
      <w:r>
        <w:rPr>
          <w:rFonts w:ascii="Nirmala UI" w:hAnsi="Nirmala UI" w:eastAsia="Nirmala UI" w:cs="Nirmala UI"/>
        </w:rPr>
        <w:t>വൈരാഗ്യം</w:t>
      </w:r>
      <w:r>
        <w:rPr>
          <w:rFonts w:ascii="Times New Roman" w:hAnsi="Times New Roman" w:eastAsia="Times New Roman" w:cs="Times New Roman"/>
        </w:rPr>
        <w:t xml:space="preserve"> </w:t>
      </w:r>
      <w:r>
        <w:rPr>
          <w:rFonts w:ascii="Nirmala UI" w:hAnsi="Nirmala UI" w:eastAsia="Nirmala UI" w:cs="Nirmala UI"/>
        </w:rPr>
        <w:t>സൃഷ്ടിക്കപ്പെടുകയും</w:t>
      </w:r>
      <w:r>
        <w:rPr>
          <w:rFonts w:ascii="Times New Roman" w:hAnsi="Times New Roman" w:eastAsia="Times New Roman" w:cs="Times New Roman"/>
        </w:rPr>
        <w:t xml:space="preserve"> </w:t>
      </w:r>
      <w:r>
        <w:rPr>
          <w:rFonts w:ascii="Nirmala UI" w:hAnsi="Nirmala UI" w:eastAsia="Nirmala UI" w:cs="Nirmala UI"/>
        </w:rPr>
        <w:t>ഭൂരിഭാഗം</w:t>
      </w:r>
      <w:r>
        <w:rPr>
          <w:rFonts w:ascii="Times New Roman" w:hAnsi="Times New Roman" w:eastAsia="Times New Roman" w:cs="Times New Roman"/>
        </w:rPr>
        <w:t xml:space="preserve"> </w:t>
      </w:r>
      <w:r>
        <w:rPr>
          <w:rFonts w:ascii="Nirmala UI" w:hAnsi="Nirmala UI" w:eastAsia="Nirmala UI" w:cs="Nirmala UI"/>
        </w:rPr>
        <w:t>അഡ്വെന്റിസ്റ്റുകൾ</w:t>
      </w:r>
      <w:r>
        <w:rPr>
          <w:rFonts w:ascii="Times New Roman" w:hAnsi="Times New Roman" w:eastAsia="Times New Roman" w:cs="Times New Roman"/>
        </w:rPr>
        <w:t xml:space="preserve"> </w:t>
      </w:r>
      <w:r>
        <w:rPr>
          <w:rFonts w:ascii="Nirmala UI" w:hAnsi="Nirmala UI" w:eastAsia="Nirmala UI" w:cs="Nirmala UI"/>
        </w:rPr>
        <w:t>തങ്ങളുടേതായ</w:t>
      </w:r>
      <w:r>
        <w:rPr>
          <w:rFonts w:ascii="Times New Roman" w:hAnsi="Times New Roman" w:eastAsia="Times New Roman" w:cs="Times New Roman"/>
        </w:rPr>
        <w:t xml:space="preserve"> </w:t>
      </w:r>
      <w:r>
        <w:rPr>
          <w:rFonts w:ascii="Nirmala UI" w:hAnsi="Nirmala UI" w:eastAsia="Nirmala UI" w:cs="Nirmala UI"/>
        </w:rPr>
        <w:t>സഭകളിൽനിന്ന്</w:t>
      </w:r>
      <w:r>
        <w:rPr>
          <w:rFonts w:ascii="Times New Roman" w:hAnsi="Times New Roman" w:eastAsia="Times New Roman" w:cs="Times New Roman"/>
        </w:rPr>
        <w:t xml:space="preserve"> </w:t>
      </w:r>
      <w:r>
        <w:rPr>
          <w:rFonts w:ascii="Nirmala UI" w:hAnsi="Nirmala UI" w:eastAsia="Nirmala UI" w:cs="Nirmala UI"/>
        </w:rPr>
        <w:t>വേർപെടുകയും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Бар вақти эълоншудаи ӯ сипарӣ шуд, Миллер ноумедии худро нисбат ба муҳлати дақиқ эътироф кард, аммо имони худро нигоҳ дошт. Ӯ кори худро дар Ғарб дар давоми тобистони соли 1844 то ҳаракати Моҳи Ҳафтум идома дод. Ӯ дар ин ҳаракат ҳеҷ иштирок надошт, магар танҳо номае, ки ҳаждаҳ моҳ пештар дар бораи риояҳои Шариати Мусо навишта буд ва ба он моҳ ишора мекард. Ӯ интизор надошт, ки аз он мавзӯъҳо чунин истифода бурда мешавад ё эътиқод ба чунин далелҳо ба як озмоиши наҷот табдил меёбад. Ӯ то ду ё се ҳафта пеш аз 22 октябри соли 1844 бо ин ҳаракат ҳеҷ ҳамфикрӣ надошт. Дар номае ба Ҳаймс аз 6 октябри соли 1844, Миллер навишт: «Ман дар моҳи ҳафтум ҷалоле мебинам, ки ҳаргиз пештар надида будам... Акнун, муборак бод номи Худованд, ман дар Навиштаҳо зебоӣ, ҳамоҳангӣ ва мувофиқатеро мебинам, ки дер боз барои он дуо мекардам, аммо то имрӯз онро намедидем. Худовандро шукр, эй ҷони ман. Бародар Сноу, Бародар Сторрс ва дигарон барои василаи чашмони маро кушоданашон муборак бошанд. Ман қариб ба хона расидаам. Ҷалол, ҷалол, ҷалол, ҷалол».</w:t>
      </w:r>
    </w:p>
    <w:p>
      <w:pPr>
        <w:pStyle w:val="ArticleBody"/>
        <w:jc w:val="left"/>
      </w:pPr>
      <w:r>
        <w:rPr>
          <w:rFonts w:ascii="Times New Roman" w:hAnsi="Times New Roman" w:eastAsia="Times New Roman" w:cs="Times New Roman"/>
        </w:rPr>
        <w:t>Tû paşê, Miller Gazîya Nîvê Şevê ji nû ve nirxand û wê fanatîzm nav kir. Damsteegt destnîşan dike ku Snow xêzkirina bingehîn a peyama Gazîya Nîvê Şevê ji xebata berê ya Miller wergirt.</w:t>
      </w:r>
    </w:p>
    <w:p>
      <w:pPr>
        <w:pStyle w:val="ArticleBody"/>
        <w:jc w:val="left"/>
      </w:pPr>
      <w:r>
        <w:rPr>
          <w:rFonts w:ascii="Nirmala UI" w:hAnsi="Nirmala UI" w:eastAsia="Nirmala UI" w:cs="Nirmala UI"/>
        </w:rPr>
        <w:t>मार्च</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आकर्षित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12–17 </w:t>
      </w:r>
      <w:r>
        <w:rPr>
          <w:rFonts w:ascii="Nirmala UI" w:hAnsi="Nirmala UI" w:eastAsia="Nirmala UI" w:cs="Nirmala UI"/>
        </w:rPr>
        <w:t>अगस्त</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w:t>
      </w:r>
      <w:r>
        <w:rPr>
          <w:rFonts w:ascii="Nirmala UI" w:hAnsi="Nirmala UI" w:eastAsia="Nirmala UI" w:cs="Nirmala UI"/>
        </w:rPr>
        <w:t>मीटिंग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सटीक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उद्वेलित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मिशनरी</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प्रसिद्ध</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नेताओं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संदेह</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समर्थित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w:t>
      </w:r>
    </w:p>
    <w:p>
      <w:pPr>
        <w:pStyle w:val="ArticleHeading"/>
        <w:jc w:val="left"/>
      </w:pPr>
      <w:r>
        <w:rPr>
          <w:rFonts w:ascii="Nirmala UI" w:hAnsi="Nirmala UI" w:eastAsia="Nirmala UI" w:cs="Nirmala UI"/>
        </w:rPr>
        <w:t>आधी</w:t>
      </w:r>
      <w:r>
        <w:rPr>
          <w:rFonts w:ascii="Arial" w:hAnsi="Arial" w:eastAsia="Arial" w:cs="Arial"/>
        </w:rPr>
        <w:t xml:space="preserve"> </w:t>
      </w:r>
      <w:r>
        <w:rPr>
          <w:rFonts w:ascii="Nirmala UI" w:hAnsi="Nirmala UI" w:eastAsia="Nirmala UI" w:cs="Nirmala UI"/>
        </w:rPr>
        <w:t>रात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पुकार</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उसके</w:t>
      </w:r>
      <w:r>
        <w:rPr>
          <w:rFonts w:ascii="Arial" w:hAnsi="Arial" w:eastAsia="Arial" w:cs="Arial"/>
        </w:rPr>
        <w:t xml:space="preserve"> </w:t>
      </w:r>
      <w:r>
        <w:rPr>
          <w:rFonts w:ascii="Nirmala UI" w:hAnsi="Nirmala UI" w:eastAsia="Nirmala UI" w:cs="Nirmala UI"/>
        </w:rPr>
        <w:t>परिणाम</w:t>
      </w:r>
    </w:p>
    <w:p>
      <w:pPr>
        <w:pStyle w:val="ArticleBody"/>
        <w:jc w:val="left"/>
      </w:pPr>
      <w:r>
        <w:rPr>
          <w:rFonts w:ascii="Times New Roman" w:hAnsi="Times New Roman" w:eastAsia="Times New Roman" w:cs="Times New Roman"/>
        </w:rPr>
        <w:t>Ayiti Ellen White la montre pèp Bondye a sou yon chemen k ap mennen nan syèl la, avèk yon limyè dèyè yo yo rele Kri Minui a. Mesaj Samuel Snow te prezante a bezwen byen konprann. Nan mwa me 1842, yo te enprime 300 tablo pou 300 predikatè. Rive 22 mas 1844, apre premye desepsyon an, yo te mete tablo a sou kote, e anpil te kite mouvman an. Moun ki te rete yo te dwe tann. Nan reyinyon kan Exeter la, Snow te montre ke Seyè a t ap vini 22 oktòb 1844, Jou Ekspyasyon an. Sa te pouse yo pwoklame mesaj la.</w:t>
      </w:r>
    </w:p>
    <w:p>
      <w:pPr>
        <w:pStyle w:val="ArticleBody"/>
        <w:jc w:val="left"/>
      </w:pPr>
      <w:r>
        <w:rPr>
          <w:rFonts w:ascii="Times New Roman" w:hAnsi="Times New Roman" w:eastAsia="Times New Roman" w:cs="Times New Roman"/>
        </w:rPr>
        <w:t>Joseph Bates usenang payäna, Exeter camp meeting qepat tren carruyninkunata purisqanpi, rimaykunata uyarisqanmanta, “Qhawariy, casarakuy qhari hamun!” nispa kutichispa. Kay kuyuy iskay killa ukhupi Estados Unidos llapa suyunta pasarispa, 1844 watapi octubre killapa 22 p’unchayninpi Hatun Llakikuyman pusarqan.</w:t>
      </w:r>
    </w:p>
    <w:p>
      <w:pPr>
        <w:pStyle w:val="ArticleBody"/>
        <w:jc w:val="left"/>
      </w:pPr>
      <w:r>
        <w:rPr>
          <w:rFonts w:ascii="Times New Roman" w:hAnsi="Times New Roman" w:eastAsia="Times New Roman" w:cs="Times New Roman"/>
        </w:rPr>
        <w:t>دەمستێگت لەسەر کۆنفرانسی لۆو هەمپتۆنی ئەدڤێنتیستەکان، ٢٨–٢٩ی کانوونی یەکەمی ١٨٤٤، کە هایمز و میلەر لە تێدا بەشدار بوون، سەرنج دەدات. هایمز داوای ئەوە کرد کە پیرۆزەکان دڵنەوایی بکرێنەوە، جیهانی مەسیحی هەڵبژێردرێت، و ڕزگاربوون بۆ گوناهباران ڕابگەیەنرێت. چەند هەفتەیەک دواتر، چاپەمەنی ئەدڤێنت دووبارە دەستی پێکردەوە، و هایمز ڕایگەیاند کە دەرگای ڕزگاری کراوەیە. میلەر بەهێواشی لە چەمکی توندڕەوی «دەرگای داخراو» دەست هەڵگرت و گەڕایەوە بۆ بۆچوونی سەرەتایی خۆی سەبارەت بە بانگی نیوەشەو. لە هەمان مانگدا، ئەڵن وایتی یەکەم دیدگای خۆی هەبوو، کە پیشانی دا ئەوانەی بانگی نیوەشەو ڕەت بکەنەوە لە ڕێگاکە دەکەون. ئەو دیدگایە بۆ ویلیام میلەر هەمانەند هەر کەسێکی تر بوو.</w:t>
      </w:r>
    </w:p>
    <w:p>
      <w:pPr>
        <w:pStyle w:val="ArticleHeading"/>
        <w:jc w:val="left"/>
      </w:pPr>
      <w:r>
        <w:rPr>
          <w:rFonts w:ascii="Gadugi" w:hAnsi="Gadugi" w:eastAsia="Gadugi" w:cs="Gadugi"/>
        </w:rPr>
        <w:t>ᏫᎵᏯᎻ</w:t>
      </w:r>
      <w:r>
        <w:rPr>
          <w:rFonts w:ascii="Arial" w:hAnsi="Arial" w:eastAsia="Arial" w:cs="Arial"/>
        </w:rPr>
        <w:t xml:space="preserve"> </w:t>
      </w:r>
      <w:r>
        <w:rPr>
          <w:rFonts w:ascii="Gadugi" w:hAnsi="Gadugi" w:eastAsia="Gadugi" w:cs="Gadugi"/>
        </w:rPr>
        <w:t>ᎻᎵᎵᏅ</w:t>
      </w:r>
      <w:r>
        <w:rPr>
          <w:rFonts w:ascii="Arial" w:hAnsi="Arial" w:eastAsia="Arial" w:cs="Arial"/>
        </w:rPr>
        <w:t xml:space="preserve"> </w:t>
      </w:r>
      <w:r>
        <w:rPr>
          <w:rFonts w:ascii="Gadugi" w:hAnsi="Gadugi" w:eastAsia="Gadugi" w:cs="Gadugi"/>
        </w:rPr>
        <w:t>ᎤᏍᏆᎸᏘ</w:t>
      </w:r>
      <w:r>
        <w:rPr>
          <w:rFonts w:ascii="Arial" w:hAnsi="Arial" w:eastAsia="Arial" w:cs="Arial"/>
        </w:rPr>
        <w:t xml:space="preserve"> </w:t>
      </w:r>
      <w:r>
        <w:rPr>
          <w:rFonts w:ascii="Gadugi" w:hAnsi="Gadugi" w:eastAsia="Gadugi" w:cs="Gadugi"/>
        </w:rPr>
        <w:t>ᎤᎪᎵᏰᏗ</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ᎤᎵᏂᎩᏛᎢ</w:t>
      </w:r>
    </w:p>
    <w:p>
      <w:pPr>
        <w:pStyle w:val="ArticleBody"/>
        <w:jc w:val="left"/>
      </w:pPr>
      <w:r>
        <w:rPr>
          <w:rFonts w:ascii="Times New Roman" w:hAnsi="Times New Roman" w:eastAsia="Times New Roman" w:cs="Times New Roman"/>
        </w:rPr>
        <w:t>“Ny Soratra tany Am-boalohany”, pejy 257:</w:t>
      </w:r>
    </w:p>
    <w:p>
      <w:pPr>
        <w:pStyle w:val="ArticleScripture"/>
        <w:jc w:val="left"/>
      </w:pPr>
      <w:r>
        <w:rPr>
          <w:rFonts w:ascii="Times New Roman" w:hAnsi="Times New Roman" w:eastAsia="Times New Roman" w:cs="Times New Roman"/>
        </w:rPr>
        <w:t>“Che-japysóvo upe rire William Miller rehe. Haʼe ojehecha iporandúvaicha ha oñemboʼyvy jepyʼapy ha jehasa asýpe itavayguakuéra rehe. Umi aty oñemojoajúva ha ojoayhúva 1844-pe ohóvo operde iayhu, ojoko ojuehe, ha hoʼa peteĩ tekópe roʼysãva ha hekojevyvape. Ohechávo koʼã mbaʼe, pe ñembyasy omokangy imbarete. Ahecha kuimbaʼe tenondegua omañaha hese, tenonderãite Joshua Himes, ha okyhyjéva ani hag̃ua haʼe oguereko pe mbohapyha ánhel rembipota.”</w:t>
      </w:r>
    </w:p>
    <w:p>
      <w:pPr>
        <w:pStyle w:val="ArticleBody"/>
        <w:jc w:val="left"/>
      </w:pPr>
      <w:r>
        <w:rPr>
          <w:rFonts w:ascii="Times New Roman" w:hAnsi="Times New Roman" w:eastAsia="Times New Roman" w:cs="Times New Roman"/>
        </w:rPr>
        <w:t>Naayro angel kasing basaday ro mensahe sa tiyempong kali amo ro Adlaw nga Inugpahuway. Habang si Miller nagapakiling sa kapawa halin sa langit, kining mga tawo nagaplano agud biyawon ro iya hunahuna halin didto. Kabilin sang impluwensya sang tawo sa iya sa kadulom kag ginpadayon pa ro iya impluwensya sa tunga sang mga nagasupak sa kamatuoran. Sang ulihi, ginpataas ni Miller ro iya tingog batok sa kapawa halin sa langit—ro Adlaw nga Inugpahuway. Wara niya nabaton ro mensahe nga kuntani magapahayag sang kahulugan sang iya kapakyasan kag magahatag sang kapawa kag himaya sa nagligad. Nagsandig siya sa kaalam sang tawo imbes nga sa iya sang Dios. Bangod nga ginpaluya siya sang kabudlayan kag katigulangon, indi siya amo ro pareho sang pagpanabat sa mga naglikaw sa iya sa kamatuoran. Sa ila nagapabilin ro sala. Kon nakita tani ni Miller ro kapawa sang pangtatlong anghel, maramong butang ro kuntani nagpahayag. Apang ro iya mga kauturan nagapakita sing tuman kalawig nga paghigugma sa iya, gani naghunahuna siya nga indi gid siya makahimulag sa ila. Gintugotan siya sang Dios nga mapailalom sa gahom sang kamatayon kag gintago siya sa lulubngan halin sa mga nagpahilayo sa iya sa kamatuoran. Si Moises nakasala antes nagsulod sa Yutang Saad; sa amo man nga paagi, nakasala si Miller sang madali na kuntani siya magsulod sa langitnon nga Canaan. Iba ro nagdul-ong sa iya sa paghimo sini; iba man ro dapat magsabat para sini. Apang ginabantayan sang mga anghel ro bilidhon nga yab-ok sang sini nga ulipon sang Dios kag magaguwa ini sa tingog sang katapusan nga trumpeta.</w:t>
      </w:r>
    </w:p>
    <w:p>
      <w:pPr>
        <w:pStyle w:val="ArticleHeading"/>
        <w:jc w:val="left"/>
      </w:pPr>
      <w:r>
        <w:rPr>
          <w:rFonts w:ascii="Arial" w:hAnsi="Arial" w:eastAsia="Arial" w:cs="Arial"/>
        </w:rPr>
        <w:t>Tukuychay: Kunan p’unchaypaq yachachikuykuna</w:t>
      </w:r>
    </w:p>
    <w:p>
      <w:pPr>
        <w:pStyle w:val="ArticleBody"/>
        <w:jc w:val="left"/>
      </w:pPr>
      <w:r>
        <w:rPr>
          <w:rFonts w:ascii="Times New Roman" w:hAnsi="Times New Roman" w:eastAsia="Times New Roman" w:cs="Times New Roman"/>
        </w:rPr>
        <w:t>U gachĩrĩro, William Miller nĩwe mũhianĩriro wa Adayibentisti a mũthenya wa mũgwanja mũthia-inĩ wa thĩ. Kĩoneki kĩa mbere kĩa Ellen White nĩ gĩa mĩaka yitũ gũkĩra ciake we mwene. Mũthia-inĩ wa thĩ, Adayibentisti a Mũthenya wa Mũgwanja nĩmakĩrega ũtheri wa Kũrira kwa Gatĩrĩri. Ũtheri wa Kũrira kwa Gatĩrĩri ndũngĩmenyeka no na kwĩrĩrĩria mĩtũrĩre ĩno. Gũcookio ngoro kwa mbere kwahuthirie mũgambanĩro wa Millerite kũruta arĩa maarĩ kuo nĩ ũndũ wa irĩa itarĩ njega, na gũtegeka andũ nĩguo matuĩke bheta ya kũgerio-inĩ iria yaatwarire kũingira Handũ Haatheru Muno. Arĩa maakinya gũcookio ngoro kwa mbere nĩmarathimwo no angĩkorwo marĩrindĩrĩire nginya October 22, 1844. Ihinda rĩĩ nĩ rĩagĩrĩirwo nĩ Ngai nĩguo rĩũmbĩre andũ aria akũrũnga hamwe kũingira Handũ Haatheru Muno. Kũrega Kũrira kwa Gatĩrĩri na kũgwa kuuma njira-inĩ nĩ kũrega mĩtũrĩre ĩno yothe.</w:t>
      </w:r>
    </w:p>
    <w:p>
      <w:pPr>
        <w:pStyle w:val="ArticleBody"/>
        <w:jc w:val="left"/>
      </w:pPr>
      <w:r>
        <w:rPr>
          <w:rFonts w:ascii="Times New Roman" w:hAnsi="Times New Roman" w:eastAsia="Times New Roman" w:cs="Times New Roman"/>
        </w:rPr>
        <w:t>William Miller juhakimsa kimsa pantjasïwinak luräna, ukat jiwasax sapürunjam kimsa yant’äwinakampiw yant’atäñäni. Nayrïr pantjasïwipax diciembre 1844 maran Chika Aruma Art’äwiru jan katuqañänwa. Payïr pantjasïwipax Diosat sipansa jaqinakar ist’añänwa, ukaw kimsïr pantjasïwipar irpäna: sábado ururu jan katuqañaru. Aka uraqin tukusiñapanxa, paqallqu uru adventistanakax Chika Aruma Art’äwina sarnaqäwipa ukat nayra thakhinakaru kutt’añ jawsäwirux jan katuqapxani, jilïrinakapar ist’apxatap layku. Ukham lurasa, animalan chimpupatak wakicht’asipxi, Milleran kimsa t’aqa yant’äwi saräwip wasitat lurasa; uka yant’äwix qallti kunjamtï jupanakax Chika Aruma Art’äwina yatiyäwiparu ukat sarnaqäwipar uñjapki ukampiw.</w:t>
      </w:r>
    </w:p>
    <w:p>
      <w:pPr>
        <w:pStyle w:val="ArticleBody"/>
        <w:jc w:val="left"/>
      </w:pPr>
      <w:r>
        <w:rPr>
          <w:rFonts w:ascii="Times New Roman" w:hAnsi="Times New Roman" w:eastAsia="Times New Roman" w:cs="Times New Roman"/>
        </w:rPr>
        <w:t>Kuti paĩ mokõi profesía añónte omombeʼúva pe tembiasakue peteĩha ñembotavy guive mokõiha ñembotavy peve: umi 2300 ára (“Pe visión ipuku ramo jepe, ehaʼarõ ichupe”) ha pe 2520. Oñemboyke hag̃ua pe 2520 haʼe hína oñemboyke hag̃ua pe Pyhare Mbyte Sapyʼa. Oñemboyke hag̃ua pe Pyhare Mbyte Sapyʼa haʼe hína hoʼa hag̃ua tape ári guive pe arapy añáme oĩva yvýpe gotyo.</w:t>
      </w:r>
    </w:p>
    <w:p>
      <w:pPr>
        <w:pStyle w:val="ArticleBody"/>
        <w:jc w:val="left"/>
      </w:pPr>
      <w:r>
        <w:rPr>
          <w:rFonts w:ascii="Times New Roman" w:hAnsi="Times New Roman" w:eastAsia="Times New Roman" w:cs="Times New Roman"/>
        </w:rPr>
        <w:t>Su bora bi lanog saráa me mǝra bi nǝ̌l nǝ e goo nà.</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Ruuxii Nebinimadaa: Iyyoo Halkan Walakkaa</dc:title>
  <dc:subject>таблицаʾ Пайғамбар Хабаққуқтың Екі Тасы</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