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egoe UI Historic" w:hAnsi="Segoe UI Historic" w:eastAsia="Segoe UI Historic" w:cs="Segoe UI Historic"/>
        </w:rPr>
        <w:t>ܬܫܥܝܬܐ</w:t>
      </w:r>
      <w:r>
        <w:rPr>
          <w:rFonts w:ascii="Arial" w:hAnsi="Arial" w:eastAsia="Arial" w:cs="Arial"/>
        </w:rPr>
        <w:t xml:space="preserve"> </w:t>
      </w:r>
      <w:r>
        <w:rPr>
          <w:rFonts w:ascii="Segoe UI Historic" w:hAnsi="Segoe UI Historic" w:eastAsia="Segoe UI Historic" w:cs="Segoe UI Historic"/>
        </w:rPr>
        <w:t>ܟܣܝܬܐ</w:t>
      </w:r>
      <w:r>
        <w:rPr>
          <w:rFonts w:ascii="Arial" w:hAnsi="Arial" w:eastAsia="Arial" w:cs="Arial"/>
        </w:rPr>
        <w:t xml:space="preserve"> </w:t>
      </w:r>
      <w:r>
        <w:rPr>
          <w:rFonts w:ascii="Segoe UI Historic" w:hAnsi="Segoe UI Historic" w:eastAsia="Segoe UI Historic" w:cs="Segoe UI Historic"/>
        </w:rPr>
        <w:t>ܕܦܣܘܩܐ</w:t>
      </w:r>
      <w:r>
        <w:rPr>
          <w:rFonts w:ascii="Arial" w:hAnsi="Arial" w:eastAsia="Arial" w:cs="Arial"/>
        </w:rPr>
        <w:t xml:space="preserve"> </w:t>
      </w:r>
      <w:r>
        <w:rPr>
          <w:rFonts w:ascii="Segoe UI Historic" w:hAnsi="Segoe UI Historic" w:eastAsia="Segoe UI Historic" w:cs="Segoe UI Historic"/>
        </w:rPr>
        <w:t>ܐܪܒܥܝܢ</w:t>
      </w:r>
      <w:r>
        <w:rPr>
          <w:rFonts w:ascii="Arial" w:hAnsi="Arial" w:eastAsia="Arial" w:cs="Arial"/>
        </w:rPr>
        <w:t xml:space="preserve"> — </w:t>
      </w:r>
      <w:r>
        <w:rPr>
          <w:rFonts w:ascii="Segoe UI Historic" w:hAnsi="Segoe UI Historic" w:eastAsia="Segoe UI Historic" w:cs="Segoe UI Historic"/>
        </w:rPr>
        <w:t>ܡܢܝܢܐ</w:t>
      </w:r>
      <w:r>
        <w:rPr>
          <w:rFonts w:ascii="Arial" w:hAnsi="Arial" w:eastAsia="Arial" w:cs="Arial"/>
        </w:rPr>
        <w:t xml:space="preserve"> </w:t>
      </w:r>
      <w:r>
        <w:rPr>
          <w:rFonts w:ascii="Segoe UI Historic" w:hAnsi="Segoe UI Historic" w:eastAsia="Segoe UI Historic" w:cs="Segoe UI Historic"/>
        </w:rPr>
        <w:t>ܥܣܪܝܢ</w:t>
      </w:r>
      <w:r>
        <w:rPr>
          <w:rFonts w:ascii="Arial" w:hAnsi="Arial" w:eastAsia="Arial" w:cs="Arial"/>
        </w:rPr>
        <w:t xml:space="preserve"> </w:t>
      </w:r>
      <w:r>
        <w:rPr>
          <w:rFonts w:ascii="Segoe UI Historic" w:hAnsi="Segoe UI Historic" w:eastAsia="Segoe UI Historic" w:cs="Segoe UI Historic"/>
        </w:rPr>
        <w:t>ܘܚܡܫܐ</w:t>
      </w:r>
    </w:p>
    <w:p>
      <w:pPr>
        <w:pStyle w:val="ArticleSubtitle"/>
        <w:jc w:val="left"/>
      </w:pPr>
      <w:r>
        <w:rPr>
          <w:rFonts w:ascii="Arial" w:hAnsi="Arial" w:eastAsia="Arial" w:cs="Arial"/>
        </w:rPr>
        <w:t>Hesekiýel Altynjy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Nakakakuha ako mula sa isang sipi sa Testimonies na naghaharap ng iba’t ibang mga hanay ng katotohanan na may kaugnayan sa karanasan nina Ezekiel, Isaias, at Juan sa loob ng santuwaryo. Lumingon si Juan upang makita ang tinig na nasa likuran niya sa Apocalipsis kabanata 1.</w:t>
      </w:r>
    </w:p>
    <w:p>
      <w:pPr>
        <w:pStyle w:val="ArticleScripture"/>
        <w:jc w:val="left"/>
      </w:pPr>
      <w:r>
        <w:rPr>
          <w:rFonts w:ascii="Times New Roman" w:hAnsi="Times New Roman" w:eastAsia="Times New Roman" w:cs="Times New Roman"/>
        </w:rPr>
        <w:t>“Ache Vpirit re vaepe ñguéra ára-pe, ha ahendu che rapykuéri peteĩ ñe’ẽ tuicha, trompétaicha, he’íva: Che hína Alfa ha Omega, peteĩha ha pahaguáva; ha pe rehecháva, ehai peteĩ kuatiañe’ẽme, ha emondo umi siete tupão oĩva Asia-pe guárape; Éfeso-pe, ha Esmirna-pe, ha Pérgamo-pe, ha Tiatira-pe, ha Sardis-pe, ha Filadelfia-pe, ha Laodicea-pe. Ha ajere ahecha hag̃ua pe ñe’ẽ oñe’ẽva chendive. Ha ajere rire, ahecha siete candeléro óro guigua.” Apocalipsis 1:10–12.</w:t>
      </w:r>
    </w:p>
    <w:p>
      <w:pPr>
        <w:pStyle w:val="ArticleBody"/>
        <w:jc w:val="left"/>
      </w:pPr>
      <w:r>
        <w:rPr>
          <w:rFonts w:ascii="Times New Roman" w:hAnsi="Times New Roman" w:eastAsia="Times New Roman" w:cs="Times New Roman"/>
        </w:rPr>
        <w:t>Patmos-su oroldaajti, mastaq parläri januday santuarioman yaycun, chaypi Juan riccancin Cristopa ricuyninta; Sister White yachachiwanchis kayqa Daniel chunka kaq capitulonpi riccusqan sutin ricuymi kasqanta.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ထိုနေ့ရက်များ၌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သုံးပတ်လုံး</w:t>
      </w:r>
      <w:r>
        <w:rPr>
          <w:rFonts w:ascii="Times New Roman" w:hAnsi="Times New Roman" w:eastAsia="Times New Roman" w:cs="Times New Roman"/>
        </w:rPr>
        <w:t xml:space="preserve"> </w:t>
      </w:r>
      <w:r>
        <w:rPr>
          <w:rFonts w:ascii="Myanmar Text" w:hAnsi="Myanmar Text" w:eastAsia="Myanmar Text" w:cs="Myanmar Text"/>
        </w:rPr>
        <w:t>ဝမ်းနည်းမြည်တမ်းလျက်ရှိ၏။</w:t>
      </w:r>
      <w:r>
        <w:rPr>
          <w:rFonts w:ascii="Times New Roman" w:hAnsi="Times New Roman" w:eastAsia="Times New Roman" w:cs="Times New Roman"/>
        </w:rPr>
        <w:t xml:space="preserve"> </w:t>
      </w:r>
      <w:r>
        <w:rPr>
          <w:rFonts w:ascii="Myanmar Text" w:hAnsi="Myanmar Text" w:eastAsia="Myanmar Text" w:cs="Myanmar Text"/>
        </w:rPr>
        <w:t>အရသာရှိသောမုန့်ကို</w:t>
      </w:r>
      <w:r>
        <w:rPr>
          <w:rFonts w:ascii="Times New Roman" w:hAnsi="Times New Roman" w:eastAsia="Times New Roman" w:cs="Times New Roman"/>
        </w:rPr>
        <w:t xml:space="preserve"> </w:t>
      </w:r>
      <w:r>
        <w:rPr>
          <w:rFonts w:ascii="Myanmar Text" w:hAnsi="Myanmar Text" w:eastAsia="Myanmar Text" w:cs="Myanmar Text"/>
        </w:rPr>
        <w:t>ငါမစား၊</w:t>
      </w:r>
      <w:r>
        <w:rPr>
          <w:rFonts w:ascii="Times New Roman" w:hAnsi="Times New Roman" w:eastAsia="Times New Roman" w:cs="Times New Roman"/>
        </w:rPr>
        <w:t xml:space="preserve"> </w:t>
      </w:r>
      <w:r>
        <w:rPr>
          <w:rFonts w:ascii="Myanmar Text" w:hAnsi="Myanmar Text" w:eastAsia="Myanmar Text" w:cs="Myanmar Text"/>
        </w:rPr>
        <w:t>အသားနှင့်</w:t>
      </w:r>
      <w:r>
        <w:rPr>
          <w:rFonts w:ascii="Times New Roman" w:hAnsi="Times New Roman" w:eastAsia="Times New Roman" w:cs="Times New Roman"/>
        </w:rPr>
        <w:t xml:space="preserve"> </w:t>
      </w:r>
      <w:r>
        <w:rPr>
          <w:rFonts w:ascii="Myanmar Text" w:hAnsi="Myanmar Text" w:eastAsia="Myanmar Text" w:cs="Myanmar Text"/>
        </w:rPr>
        <w:t>စပျစ်ရည်လည်း</w:t>
      </w:r>
      <w:r>
        <w:rPr>
          <w:rFonts w:ascii="Times New Roman" w:hAnsi="Times New Roman" w:eastAsia="Times New Roman" w:cs="Times New Roman"/>
        </w:rPr>
        <w:t xml:space="preserve"> </w:t>
      </w:r>
      <w:r>
        <w:rPr>
          <w:rFonts w:ascii="Myanmar Text" w:hAnsi="Myanmar Text" w:eastAsia="Myanmar Text" w:cs="Myanmar Text"/>
        </w:rPr>
        <w:t>ငါ့ပါးစပ်ထဲသို့</w:t>
      </w:r>
      <w:r>
        <w:rPr>
          <w:rFonts w:ascii="Times New Roman" w:hAnsi="Times New Roman" w:eastAsia="Times New Roman" w:cs="Times New Roman"/>
        </w:rPr>
        <w:t xml:space="preserve"> </w:t>
      </w:r>
      <w:r>
        <w:rPr>
          <w:rFonts w:ascii="Myanmar Text" w:hAnsi="Myanmar Text" w:eastAsia="Myanmar Text" w:cs="Myanmar Text"/>
        </w:rPr>
        <w:t>မဝင်စေ၊</w:t>
      </w:r>
      <w:r>
        <w:rPr>
          <w:rFonts w:ascii="Times New Roman" w:hAnsi="Times New Roman" w:eastAsia="Times New Roman" w:cs="Times New Roman"/>
        </w:rPr>
        <w:t xml:space="preserve"> </w:t>
      </w:r>
      <w:r>
        <w:rPr>
          <w:rFonts w:ascii="Myanmar Text" w:hAnsi="Myanmar Text" w:eastAsia="Myanmar Text" w:cs="Myanmar Text"/>
        </w:rPr>
        <w:t>ကိုယ်ကိုလည်း</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ဆီမလိမ်း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မျက်စိကိုမြှောက်၍</w:t>
      </w:r>
      <w:r>
        <w:rPr>
          <w:rFonts w:ascii="Times New Roman" w:hAnsi="Times New Roman" w:eastAsia="Times New Roman" w:cs="Times New Roman"/>
        </w:rPr>
        <w:t xml:space="preserve"> </w:t>
      </w:r>
      <w:r>
        <w:rPr>
          <w:rFonts w:ascii="Myanmar Text" w:hAnsi="Myanmar Text" w:eastAsia="Myanmar Text" w:cs="Myanmar Text"/>
        </w:rPr>
        <w:t>ကြည့်ရာ၊</w:t>
      </w:r>
      <w:r>
        <w:rPr>
          <w:rFonts w:ascii="Times New Roman" w:hAnsi="Times New Roman" w:eastAsia="Times New Roman" w:cs="Times New Roman"/>
        </w:rPr>
        <w:t xml:space="preserve"> </w:t>
      </w:r>
      <w:r>
        <w:rPr>
          <w:rFonts w:ascii="Myanmar Text" w:hAnsi="Myanmar Text" w:eastAsia="Myanmar Text" w:cs="Myanmar Text"/>
        </w:rPr>
        <w:t>ပိတ်ချောကိုဝတ်ဆင်၍</w:t>
      </w:r>
      <w:r>
        <w:rPr>
          <w:rFonts w:ascii="Times New Roman" w:hAnsi="Times New Roman" w:eastAsia="Times New Roman" w:cs="Times New Roman"/>
        </w:rPr>
        <w:t xml:space="preserve"> </w:t>
      </w:r>
      <w:r>
        <w:rPr>
          <w:rFonts w:ascii="Myanmar Text" w:hAnsi="Myanmar Text" w:eastAsia="Myanmar Text" w:cs="Myanmar Text"/>
        </w:rPr>
        <w:t>ဥဖဇရွှေစင်ဖြင့်</w:t>
      </w:r>
      <w:r>
        <w:rPr>
          <w:rFonts w:ascii="Times New Roman" w:hAnsi="Times New Roman" w:eastAsia="Times New Roman" w:cs="Times New Roman"/>
        </w:rPr>
        <w:t xml:space="preserve"> </w:t>
      </w:r>
      <w:r>
        <w:rPr>
          <w:rFonts w:ascii="Myanmar Text" w:hAnsi="Myanmar Text" w:eastAsia="Myanmar Text" w:cs="Myanmar Text"/>
        </w:rPr>
        <w:t>ခါးကိုစည်းထားသော</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ဘေရိလကျောက်ကဲ့သို့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မျက်နှာတော်သည်</w:t>
      </w:r>
      <w:r>
        <w:rPr>
          <w:rFonts w:ascii="Times New Roman" w:hAnsi="Times New Roman" w:eastAsia="Times New Roman" w:cs="Times New Roman"/>
        </w:rPr>
        <w:t xml:space="preserve"> </w:t>
      </w:r>
      <w:r>
        <w:rPr>
          <w:rFonts w:ascii="Myanmar Text" w:hAnsi="Myanmar Text" w:eastAsia="Myanmar Text" w:cs="Myanmar Text"/>
        </w:rPr>
        <w:t>လျှပ်စီး၏အသွင်အပြင်ကဲ့သို့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မျက်စိတော်များသည်</w:t>
      </w:r>
      <w:r>
        <w:rPr>
          <w:rFonts w:ascii="Times New Roman" w:hAnsi="Times New Roman" w:eastAsia="Times New Roman" w:cs="Times New Roman"/>
        </w:rPr>
        <w:t xml:space="preserve"> </w:t>
      </w:r>
      <w:r>
        <w:rPr>
          <w:rFonts w:ascii="Myanmar Text" w:hAnsi="Myanmar Text" w:eastAsia="Myanmar Text" w:cs="Myanmar Text"/>
        </w:rPr>
        <w:t>မီးခွက်ကဲ့သို့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လက်တော်နှင့်</w:t>
      </w:r>
      <w:r>
        <w:rPr>
          <w:rFonts w:ascii="Times New Roman" w:hAnsi="Times New Roman" w:eastAsia="Times New Roman" w:cs="Times New Roman"/>
        </w:rPr>
        <w:t xml:space="preserve"> </w:t>
      </w:r>
      <w:r>
        <w:rPr>
          <w:rFonts w:ascii="Myanmar Text" w:hAnsi="Myanmar Text" w:eastAsia="Myanmar Text" w:cs="Myanmar Text"/>
        </w:rPr>
        <w:t>ခြေတော်တို့သည်</w:t>
      </w:r>
      <w:r>
        <w:rPr>
          <w:rFonts w:ascii="Times New Roman" w:hAnsi="Times New Roman" w:eastAsia="Times New Roman" w:cs="Times New Roman"/>
        </w:rPr>
        <w:t xml:space="preserve"> </w:t>
      </w:r>
      <w:r>
        <w:rPr>
          <w:rFonts w:ascii="Myanmar Text" w:hAnsi="Myanmar Text" w:eastAsia="Myanmar Text" w:cs="Myanmar Text"/>
        </w:rPr>
        <w:t>တောက်ပစင်ကြယ်သော</w:t>
      </w:r>
      <w:r>
        <w:rPr>
          <w:rFonts w:ascii="Times New Roman" w:hAnsi="Times New Roman" w:eastAsia="Times New Roman" w:cs="Times New Roman"/>
        </w:rPr>
        <w:t xml:space="preserve"> </w:t>
      </w:r>
      <w:r>
        <w:rPr>
          <w:rFonts w:ascii="Myanmar Text" w:hAnsi="Myanmar Text" w:eastAsia="Myanmar Text" w:cs="Myanmar Text"/>
        </w:rPr>
        <w:t>ကြေးဝါ၏</w:t>
      </w:r>
      <w:r>
        <w:rPr>
          <w:rFonts w:ascii="Times New Roman" w:hAnsi="Times New Roman" w:eastAsia="Times New Roman" w:cs="Times New Roman"/>
        </w:rPr>
        <w:t xml:space="preserve"> </w:t>
      </w:r>
      <w:r>
        <w:rPr>
          <w:rFonts w:ascii="Myanmar Text" w:hAnsi="Myanmar Text" w:eastAsia="Myanmar Text" w:cs="Myanmar Text"/>
        </w:rPr>
        <w:t>အရောင်ကဲ့သို့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စကားတော်၏အသံသည်</w:t>
      </w:r>
      <w:r>
        <w:rPr>
          <w:rFonts w:ascii="Times New Roman" w:hAnsi="Times New Roman" w:eastAsia="Times New Roman" w:cs="Times New Roman"/>
        </w:rPr>
        <w:t xml:space="preserve"> </w:t>
      </w:r>
      <w:r>
        <w:rPr>
          <w:rFonts w:ascii="Myanmar Text" w:hAnsi="Myanmar Text" w:eastAsia="Myanmar Text" w:cs="Myanmar Text"/>
        </w:rPr>
        <w:t>လူအုပ်ကြီး၏အသံကဲ့သို့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w:t>
      </w:r>
      <w:r>
        <w:rPr>
          <w:rFonts w:ascii="Myanmar Text" w:hAnsi="Myanmar Text" w:eastAsia="Myanmar Text" w:cs="Myanmar Text"/>
        </w:rPr>
        <w:t>ဒံယေလ</w:t>
      </w:r>
      <w:r>
        <w:rPr>
          <w:rFonts w:ascii="Times New Roman" w:hAnsi="Times New Roman" w:eastAsia="Times New Roman" w:cs="Times New Roman"/>
        </w:rPr>
        <w:t xml:space="preserve"> 10:2–6)</w:t>
      </w:r>
      <w:r>
        <w:rPr>
          <w:rFonts w:ascii="Myanmar Text" w:hAnsi="Myanmar Text" w:eastAsia="Myanmar Text" w:cs="Myanmar Text"/>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“Esa descripción es semejante a la dada por Juan cuando Cristo le fue revelado en la isla de Patmos. Nada menos que el Hijo de Dios se apareció a Daniel. Nuestro Señor viene con otro mensajero celestial para enseñar a Daniel lo que acontecería en los postreros días.” Santified Life, 49.</w:t>
      </w:r>
    </w:p>
    <w:p>
      <w:pPr>
        <w:pStyle w:val="ArticleBody"/>
        <w:jc w:val="left"/>
      </w:pPr>
      <w:r>
        <w:rPr>
          <w:rFonts w:ascii="Times New Roman" w:hAnsi="Times New Roman" w:eastAsia="Times New Roman" w:cs="Times New Roman"/>
        </w:rPr>
        <w:t>Ninin bũua iratũ rwa mbere nĩciĩrĩtie ũrĩa Ufunuo wa Jesu Kristũ ũhingũrũkĩrwo mbere ya gũthira kwa ihinda rĩa ũhooreri wa andũ. Ufunuo ũcio nĩwaheanirwo na Ngai kũrĩ Jesu, na Jesu akauheana kũrĩ Gabrieli, na Gabrieli akauheana kũrĩ Johana hamwe na ũtũmwo wa Johana gũtũmĩra makanitha mũgwanja ujumbe ũcio. Isaia nake aheanirwo ũtũmwo wake wa gũkora o ũguo mũthenya wa gatandatũ, na Ezekieli aheanwo o ũtũmwo ũcio mĩthenya ya kerĩ na gatatũ. Johana nĩ mũfungwa rĩrĩa aheanirwo ũtũmwo wake, Ezekieli na Danieli nĩ andũ a kũhurutwo mũndũ mũtũũre wa Babeli, na Isaia aikaraga thĩinĩ wa historia ya mũthamaki mũũru Ahazi wa Juda.</w:t>
      </w:r>
    </w:p>
    <w:p>
      <w:pPr>
        <w:pStyle w:val="ArticleScripture"/>
        <w:jc w:val="left"/>
      </w:pPr>
      <w:r>
        <w:rPr>
          <w:rFonts w:ascii="Times New Roman" w:hAnsi="Times New Roman" w:eastAsia="Times New Roman" w:cs="Times New Roman"/>
        </w:rPr>
        <w:t>“Гьалгьашт тӀийна тӀехь гьалгьашт хӀун ругел, иштта бигьан марха кьварилъ хьунал, цебе бихьизе Эзекиилъе гьел киназго гужараб бугоян кколелъул. Амма гьел гӀодор реххидал, гьел берцинал тӀадегӀанлъиялдалъун ва тӀубараб рекъелалда цадахъ гӀодор реххулел рукӀана. Зобалазул затал гьел гьалгьаштазде этӀелел рукӀана, ва, киназдаса тӀад, тӀокӀаб сапфирияб тахалда, Абадияб Жив бугоан; тахалъул сверухъги букӀана сверулеб салам, рахьдал ва рокьул лишан. Манзаралъул хӀинкъизабулеб тӀокӀлъиялъ Эзекиил кӀвекӀизавун, дов чӀегӀераб бетӀералда жанив ккана, гьеб мехалда цо гьаракьалъ дов тӀаде вахъине ва БетӀергьанасул рагӀи рагӀизе амру гьабуна. АнцӀго Исраилазе кисаб къватӀиб босулеб хехаб кисуги кьуна”. Testimonies, 751.</w:t>
      </w:r>
    </w:p>
    <w:p>
      <w:pPr>
        <w:pStyle w:val="ArticleScripture"/>
        <w:jc w:val="left"/>
      </w:pP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들으니</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누구를</w:t>
      </w:r>
      <w:r>
        <w:rPr>
          <w:rFonts w:ascii="Times New Roman" w:hAnsi="Times New Roman" w:eastAsia="Times New Roman" w:cs="Times New Roman"/>
        </w:rPr>
        <w:t xml:space="preserve"> </w:t>
      </w:r>
      <w:r>
        <w:rPr>
          <w:rFonts w:ascii="Malgun Gothic" w:hAnsi="Malgun Gothic" w:eastAsia="Malgun Gothic" w:cs="Malgun Gothic"/>
        </w:rPr>
        <w:t>보내며</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갈꼬</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여기</w:t>
      </w:r>
      <w:r>
        <w:rPr>
          <w:rFonts w:ascii="Times New Roman" w:hAnsi="Times New Roman" w:eastAsia="Times New Roman" w:cs="Times New Roman"/>
        </w:rPr>
        <w:t xml:space="preserve"> </w:t>
      </w:r>
      <w:r>
        <w:rPr>
          <w:rFonts w:ascii="Malgun Gothic" w:hAnsi="Malgun Gothic" w:eastAsia="Malgun Gothic" w:cs="Malgun Gothic"/>
        </w:rPr>
        <w:t>있나이다</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보내소서</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6:8.</w:t>
      </w:r>
    </w:p>
    <w:p>
      <w:pPr>
        <w:pStyle w:val="ArticleScripture"/>
        <w:jc w:val="left"/>
      </w:pPr>
      <w:r>
        <w:rPr>
          <w:rFonts w:ascii="Times New Roman" w:hAnsi="Times New Roman" w:eastAsia="Times New Roman" w:cs="Times New Roman"/>
        </w:rPr>
        <w:t>“Akka mul’ata kana raajii fi sodaa hamaa gara fuulduraatti taʼu sammuu isaa guutanii yeroo turanitti Hisqiʼeeliif kenname. Inni biyya abbootii isaa ontee kuftee jiruu arge...”</w:t>
      </w:r>
    </w:p>
    <w:p>
      <w:pPr>
        <w:pStyle w:val="ArticleScripture"/>
        <w:jc w:val="left"/>
      </w:pPr>
      <w:r>
        <w:rPr>
          <w:rFonts w:ascii="Times New Roman" w:hAnsi="Times New Roman" w:eastAsia="Times New Roman" w:cs="Times New Roman"/>
        </w:rPr>
        <w:t>«همچنان، آنگاه که خدا درصدد بود تاریخ کلیسا را برای اعصار آینده بر یوحنای محبوب مکشوف سازد، با آشکار ساختنِ «یکی مانند پسر انسان» که در میانِ شمعدان‌ها گام می‌زد—که نمادِ هفت کلیسا بودند—اطمینانی از علاقه و مراقبتِ نجات‌دهنده نسبت به قومِ خویش به او عطا فرمود. …»</w:t>
      </w:r>
    </w:p>
    <w:p>
      <w:pPr>
        <w:pStyle w:val="ArticleScripture"/>
        <w:jc w:val="left"/>
      </w:pPr>
      <w:r>
        <w:rPr>
          <w:rFonts w:ascii="Times New Roman" w:hAnsi="Times New Roman" w:eastAsia="Times New Roman" w:cs="Times New Roman"/>
        </w:rPr>
        <w:t>«Эти уроки даны нам на пользу. Нам необходимо утверждать свою веру в Боге, ибо прямо перед нами время, которое испытает души людей.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ယခင်မဖြစ်ဖူးသေးသော</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လေးနက်သည့်</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အနီးဝင်ခါနီး</w:t>
      </w:r>
      <w:r>
        <w:rPr>
          <w:rFonts w:ascii="Times New Roman" w:hAnsi="Times New Roman" w:eastAsia="Times New Roman" w:cs="Times New Roman"/>
        </w:rPr>
        <w:t xml:space="preserve"> </w:t>
      </w:r>
      <w:r>
        <w:rPr>
          <w:rFonts w:ascii="Myanmar Text" w:hAnsi="Myanmar Text" w:eastAsia="Myanmar Text" w:cs="Myanmar Text"/>
        </w:rPr>
        <w:t>အဆင့်သို့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ရောက်နေကြသည်။</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ပြည့်စုံလျက်ရှိ၏။</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တံခါးဝ၌</w:t>
      </w:r>
      <w:r>
        <w:rPr>
          <w:rFonts w:ascii="Times New Roman" w:hAnsi="Times New Roman" w:eastAsia="Times New Roman" w:cs="Times New Roman"/>
        </w:rPr>
        <w:t xml:space="preserve"> </w:t>
      </w:r>
      <w:r>
        <w:rPr>
          <w:rFonts w:ascii="Myanmar Text" w:hAnsi="Myanmar Text" w:eastAsia="Myanmar Text" w:cs="Myanmar Text"/>
        </w:rPr>
        <w:t>ရပ်တည်တော်မူ၏။</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အသက်ရှင်လျက်ရှိသူ</w:t>
      </w:r>
      <w:r>
        <w:rPr>
          <w:rFonts w:ascii="Times New Roman" w:hAnsi="Times New Roman" w:eastAsia="Times New Roman" w:cs="Times New Roman"/>
        </w:rPr>
        <w:t xml:space="preserve"> </w:t>
      </w:r>
      <w:r>
        <w:rPr>
          <w:rFonts w:ascii="Myanmar Text" w:hAnsi="Myanmar Text" w:eastAsia="Myanmar Text" w:cs="Myanmar Text"/>
        </w:rPr>
        <w:t>အားလုံးအတွက်</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စိတ်ဝင်စားဖွယ်ကောင်းသော</w:t>
      </w:r>
      <w:r>
        <w:rPr>
          <w:rFonts w:ascii="Times New Roman" w:hAnsi="Times New Roman" w:eastAsia="Times New Roman" w:cs="Times New Roman"/>
        </w:rPr>
        <w:t xml:space="preserve"> </w:t>
      </w:r>
      <w:r>
        <w:rPr>
          <w:rFonts w:ascii="Myanmar Text" w:hAnsi="Myanmar Text" w:eastAsia="Myanmar Text" w:cs="Myanmar Text"/>
        </w:rPr>
        <w:t>ကာလတစ်ရပ်သည်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ဖွင့်လှစ်လာမည်။</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အငြင်းပွားမှုများသည်</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အသက်ဝင်လာမည်ဖြစ်၍၊</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အသစ်များလည်း</w:t>
      </w:r>
      <w:r>
        <w:rPr>
          <w:rFonts w:ascii="Times New Roman" w:hAnsi="Times New Roman" w:eastAsia="Times New Roman" w:cs="Times New Roman"/>
        </w:rPr>
        <w:t xml:space="preserve"> </w:t>
      </w:r>
      <w:r>
        <w:rPr>
          <w:rFonts w:ascii="Myanmar Text" w:hAnsi="Myanmar Text" w:eastAsia="Myanmar Text" w:cs="Myanmar Text"/>
        </w:rPr>
        <w:t>ပေါ်ပေါက်လာမည်။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ကမ္ဘာ၌</w:t>
      </w:r>
      <w:r>
        <w:rPr>
          <w:rFonts w:ascii="Times New Roman" w:hAnsi="Times New Roman" w:eastAsia="Times New Roman" w:cs="Times New Roman"/>
        </w:rPr>
        <w:t xml:space="preserve"> </w:t>
      </w:r>
      <w:r>
        <w:rPr>
          <w:rFonts w:ascii="Myanmar Text" w:hAnsi="Myanmar Text" w:eastAsia="Myanmar Text" w:cs="Myanmar Text"/>
        </w:rPr>
        <w:t>ဖြစ်ပျက်မည့်</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ယခုထိ</w:t>
      </w:r>
      <w:r>
        <w:rPr>
          <w:rFonts w:ascii="Times New Roman" w:hAnsi="Times New Roman" w:eastAsia="Times New Roman" w:cs="Times New Roman"/>
        </w:rPr>
        <w:t xml:space="preserve"> </w:t>
      </w:r>
      <w:r>
        <w:rPr>
          <w:rFonts w:ascii="Myanmar Text" w:hAnsi="Myanmar Text" w:eastAsia="Myanmar Text" w:cs="Myanmar Text"/>
        </w:rPr>
        <w:t>အိပ်မက်ထဲတွင်ပင်</w:t>
      </w:r>
      <w:r>
        <w:rPr>
          <w:rFonts w:ascii="Times New Roman" w:hAnsi="Times New Roman" w:eastAsia="Times New Roman" w:cs="Times New Roman"/>
        </w:rPr>
        <w:t xml:space="preserve"> </w:t>
      </w:r>
      <w:r>
        <w:rPr>
          <w:rFonts w:ascii="Myanmar Text" w:hAnsi="Myanmar Text" w:eastAsia="Myanmar Text" w:cs="Myanmar Text"/>
        </w:rPr>
        <w:t>မတွေးမိသေးကြ။</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လူသား</w:t>
      </w:r>
      <w:r>
        <w:rPr>
          <w:rFonts w:ascii="Times New Roman" w:hAnsi="Times New Roman" w:eastAsia="Times New Roman" w:cs="Times New Roman"/>
        </w:rPr>
        <w:t xml:space="preserve"> </w:t>
      </w:r>
      <w:r>
        <w:rPr>
          <w:rFonts w:ascii="Myanmar Text" w:hAnsi="Myanmar Text" w:eastAsia="Myanmar Text" w:cs="Myanmar Text"/>
        </w:rPr>
        <w:t>ကိုယ်စားလှယ်များအားဖြင့်</w:t>
      </w:r>
      <w:r>
        <w:rPr>
          <w:rFonts w:ascii="Times New Roman" w:hAnsi="Times New Roman" w:eastAsia="Times New Roman" w:cs="Times New Roman"/>
        </w:rPr>
        <w:t xml:space="preserve"> </w:t>
      </w:r>
      <w:r>
        <w:rPr>
          <w:rFonts w:ascii="Myanmar Text" w:hAnsi="Myanmar Text" w:eastAsia="Myanmar Text" w:cs="Myanmar Text"/>
        </w:rPr>
        <w:t>အလုပ်လုပ်လျက်ရှိ၏။</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ဖွဲ့စည်းအုပ်ချုပ်ပုံအခြေခံဥပဒေကို</w:t>
      </w:r>
      <w:r>
        <w:rPr>
          <w:rFonts w:ascii="Times New Roman" w:hAnsi="Times New Roman" w:eastAsia="Times New Roman" w:cs="Times New Roman"/>
        </w:rPr>
        <w:t xml:space="preserve"> </w:t>
      </w:r>
      <w:r>
        <w:rPr>
          <w:rFonts w:ascii="Myanmar Text" w:hAnsi="Myanmar Text" w:eastAsia="Myanmar Text" w:cs="Myanmar Text"/>
        </w:rPr>
        <w:t>ပြောင်းလဲ၍</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စောင့်ရှောက်ရမည့်</w:t>
      </w:r>
      <w:r>
        <w:rPr>
          <w:rFonts w:ascii="Times New Roman" w:hAnsi="Times New Roman" w:eastAsia="Times New Roman" w:cs="Times New Roman"/>
        </w:rPr>
        <w:t xml:space="preserve"> </w:t>
      </w:r>
      <w:r>
        <w:rPr>
          <w:rFonts w:ascii="Myanmar Text" w:hAnsi="Myanmar Text" w:eastAsia="Myanmar Text" w:cs="Myanmar Text"/>
        </w:rPr>
        <w:t>ဥပဒေတစ်ရပ်ကို</w:t>
      </w:r>
      <w:r>
        <w:rPr>
          <w:rFonts w:ascii="Times New Roman" w:hAnsi="Times New Roman" w:eastAsia="Times New Roman" w:cs="Times New Roman"/>
        </w:rPr>
        <w:t xml:space="preserve"> </w:t>
      </w:r>
      <w:r>
        <w:rPr>
          <w:rFonts w:ascii="Myanmar Text" w:hAnsi="Myanmar Text" w:eastAsia="Myanmar Text" w:cs="Myanmar Text"/>
        </w:rPr>
        <w:t>အတည်ပြုရရှိစေရန်</w:t>
      </w:r>
      <w:r>
        <w:rPr>
          <w:rFonts w:ascii="Times New Roman" w:hAnsi="Times New Roman" w:eastAsia="Times New Roman" w:cs="Times New Roman"/>
        </w:rPr>
        <w:t xml:space="preserve"> </w:t>
      </w:r>
      <w:r>
        <w:rPr>
          <w:rFonts w:ascii="Myanmar Text" w:hAnsi="Myanmar Text" w:eastAsia="Myanmar Text" w:cs="Myanmar Text"/>
        </w:rPr>
        <w:t>ကြိုးပမ်းနေသူတို့သည်</w:t>
      </w:r>
      <w:r>
        <w:rPr>
          <w:rFonts w:ascii="Times New Roman" w:hAnsi="Times New Roman" w:eastAsia="Times New Roman" w:cs="Times New Roman"/>
        </w:rPr>
        <w:t xml:space="preserve"> </w:t>
      </w:r>
      <w:r>
        <w:rPr>
          <w:rFonts w:ascii="Myanmar Text" w:hAnsi="Myanmar Text" w:eastAsia="Myanmar Text" w:cs="Myanmar Text"/>
        </w:rPr>
        <w:t>ထိုသို့ပြုခြင်း၏</w:t>
      </w:r>
      <w:r>
        <w:rPr>
          <w:rFonts w:ascii="Times New Roman" w:hAnsi="Times New Roman" w:eastAsia="Times New Roman" w:cs="Times New Roman"/>
        </w:rPr>
        <w:t xml:space="preserve"> </w:t>
      </w:r>
      <w:r>
        <w:rPr>
          <w:rFonts w:ascii="Myanmar Text" w:hAnsi="Myanmar Text" w:eastAsia="Myanmar Text" w:cs="Myanmar Text"/>
        </w:rPr>
        <w:t>အကျိုးဆက်</w:t>
      </w:r>
      <w:r>
        <w:rPr>
          <w:rFonts w:ascii="Times New Roman" w:hAnsi="Times New Roman" w:eastAsia="Times New Roman" w:cs="Times New Roman"/>
        </w:rPr>
        <w:t xml:space="preserve"> </w:t>
      </w:r>
      <w:r>
        <w:rPr>
          <w:rFonts w:ascii="Myanmar Text" w:hAnsi="Myanmar Text" w:eastAsia="Myanmar Text" w:cs="Myanmar Text"/>
        </w:rPr>
        <w:t>မည်သို့ဖြစ်မည်ကို</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မသဘောပေါက်ကြ။</w:t>
      </w:r>
      <w:r>
        <w:rPr>
          <w:rFonts w:ascii="Times New Roman" w:hAnsi="Times New Roman" w:eastAsia="Times New Roman" w:cs="Times New Roman"/>
        </w:rPr>
        <w:t xml:space="preserve"> </w:t>
      </w:r>
      <w:r>
        <w:rPr>
          <w:rFonts w:ascii="Myanmar Text" w:hAnsi="Myanmar Text" w:eastAsia="Myanmar Text" w:cs="Myanmar Text"/>
        </w:rPr>
        <w:t>အကျပ်အတည်းတစ်ရပ်သည်</w:t>
      </w:r>
      <w:r>
        <w:rPr>
          <w:rFonts w:ascii="Times New Roman" w:hAnsi="Times New Roman" w:eastAsia="Times New Roman" w:cs="Times New Roman"/>
        </w:rPr>
        <w:t xml:space="preserve"> </w:t>
      </w:r>
      <w:r>
        <w:rPr>
          <w:rFonts w:ascii="Myanmar Text" w:hAnsi="Myanmar Text" w:eastAsia="Myanmar Text" w:cs="Myanmar Text"/>
        </w:rPr>
        <w:t>ကျွန်ုပ်တို့အပေါ်</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ကျရောက်တော့မည်။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सेवकसभ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आपत्कालमे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दर्शनसभमे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घटनासभ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कतेक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ओकाप्रति</w:t>
      </w:r>
      <w:r>
        <w:rPr>
          <w:rFonts w:ascii="Times New Roman" w:hAnsi="Times New Roman" w:eastAsia="Times New Roman" w:cs="Times New Roman"/>
        </w:rPr>
        <w:t xml:space="preserve"> </w:t>
      </w:r>
      <w:r>
        <w:rPr>
          <w:rFonts w:ascii="Nirmala UI" w:hAnsi="Nirmala UI" w:eastAsia="Nirmala UI" w:cs="Nirmala UI"/>
        </w:rPr>
        <w:t>निष्ठावान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चित्ता</w:t>
      </w:r>
      <w:r>
        <w:rPr>
          <w:rFonts w:ascii="Times New Roman" w:hAnsi="Times New Roman" w:eastAsia="Times New Roman" w:cs="Times New Roman"/>
        </w:rPr>
        <w:t xml:space="preserve"> </w:t>
      </w:r>
      <w:r>
        <w:rPr>
          <w:rFonts w:ascii="Nirmala UI" w:hAnsi="Nirmala UI" w:eastAsia="Nirmala UI" w:cs="Nirmala UI"/>
        </w:rPr>
        <w:t>कतेक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शासकविहीन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आबयवला</w:t>
      </w:r>
      <w:r>
        <w:rPr>
          <w:rFonts w:ascii="Times New Roman" w:hAnsi="Times New Roman" w:eastAsia="Times New Roman" w:cs="Times New Roman"/>
        </w:rPr>
        <w:t xml:space="preserve"> </w:t>
      </w:r>
      <w:r>
        <w:rPr>
          <w:rFonts w:ascii="Nirmala UI" w:hAnsi="Nirmala UI" w:eastAsia="Nirmala UI" w:cs="Nirmala UI"/>
        </w:rPr>
        <w:t>घटनासभक</w:t>
      </w:r>
      <w:r>
        <w:rPr>
          <w:rFonts w:ascii="Times New Roman" w:hAnsi="Times New Roman" w:eastAsia="Times New Roman" w:cs="Times New Roman"/>
        </w:rPr>
        <w:t xml:space="preserve"> </w:t>
      </w:r>
      <w:r>
        <w:rPr>
          <w:rFonts w:ascii="Nirmala UI" w:hAnsi="Nirmala UI" w:eastAsia="Nirmala UI" w:cs="Nirmala UI"/>
        </w:rPr>
        <w:t>कार्यक्रम</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हाथमे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बातसभक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राष्ट्रसभक</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“ئیزقیل کے رویا میں خدا کا ہاتھ کروبیوں کے پروں کے نیچے تھا۔ یہ اس لیے ہے کہ اپنے خادموں کو سکھائے کہ الٰہی قدرت ہی ہے جو انہیں کامیابی عطا کرتی ہے۔ اگر وہ بدی کو ترک کر دیں اور دل و زندگی میں پاک ہو جائیں تو وہ اُن کے ساتھ کام کرے گا۔”</w:t>
      </w:r>
    </w:p>
    <w:p>
      <w:pPr>
        <w:pStyle w:val="ArticleScripture"/>
        <w:jc w:val="left"/>
      </w:pPr>
      <w:r>
        <w:rPr>
          <w:rFonts w:ascii="Times New Roman" w:hAnsi="Times New Roman" w:eastAsia="Times New Roman" w:cs="Times New Roman"/>
        </w:rPr>
        <w:t>«ژووندو مخلوقاتو ترمنځ په د برېښنا د چټکتیا تېرېدونکې روښانه رڼا د هغې تېزۍ استازولي کوي چې په هغې سره به دا کار په پای کې د بشپړېدو پر لور وړاندې ولاړ شي. …»</w:t>
      </w:r>
    </w:p>
    <w:p>
      <w:pPr>
        <w:pStyle w:val="ArticleScripture"/>
        <w:jc w:val="left"/>
      </w:pPr>
      <w:r>
        <w:rPr>
          <w:rFonts w:ascii="Times New Roman" w:hAnsi="Times New Roman" w:eastAsia="Times New Roman" w:cs="Times New Roman"/>
        </w:rPr>
        <w:t>“Xolonglar, hozir motam va noumidlik qiladigan vaqt emas, shubha va imonsizlikka taslim bo‘ladigan fursat emas. Masih hozir Yusufning yangi qabrida, ulkan tosh bilan yopilib, Rim muhri bilan muhrlangan Najotkor emas; bizda tirilgan Najotkor bor. U Shohdir, lashkarlar Rabbidir; U karublar orasida o‘tiradi; va xalqlarning nizosi hamda g‘alayonlari orasida ham U hanuz O‘z xalqini qo‘riqlaydi. Osmonlarda hukmronlik qiluvchi Zot — bizning Najotkorimizdir. U har bir sinovni o‘lchab beradi. U har bir jonni sinab ko‘rishi lozim bo‘lgan o‘choq olovini kuzatib turadi. Shohlarning istehkomlari qulatilganda, Xudoning g‘azabi o‘qlari Uning dushmanlari yuragiga sanchilganda, Uning xalqi Uning qo‘lida omonda bo‘ladi.” Testimonies, 5-jild, 752–754.</w:t>
      </w:r>
    </w:p>
    <w:p>
      <w:pPr>
        <w:pStyle w:val="ArticleBody"/>
        <w:jc w:val="left"/>
      </w:pPr>
      <w:r>
        <w:rPr>
          <w:rFonts w:ascii="Times New Roman" w:hAnsi="Times New Roman" w:eastAsia="Times New Roman" w:cs="Times New Roman"/>
        </w:rPr>
        <w:t>Псым библийскэ щэныгъуэ къыхуэгъэщIэну къыхэщIащ, Иисус Христос и КъэщIэныгъэм и хъыбарыр мыпсалъэу и щыIэщхэм къахуэхъуар, мы профетым и тэжьыгъэхэм и къэпсэлъыкIуэм щхьэщыкIауэ зэрыхагъэбжьэжар. Уафэм и тхьэмадэ мэзгъуэр зэрыщIэбжьэм, къыддэмыгъэщIэну къыхуохъу хъыбарыр, ар къыдгъэIуэну зэрытхъуагъэм. «ЩIанэ псэжь» зэрызэфIэкIу «псэу къэс» — ар Малэхьи еплIэм и щIанэ псэжьщ.</w:t>
      </w:r>
    </w:p>
    <w:p>
      <w:pPr>
        <w:pStyle w:val="ArticleScripture"/>
        <w:jc w:val="left"/>
      </w:pPr>
      <w:r>
        <w:rPr>
          <w:rFonts w:ascii="Times New Roman" w:hAnsi="Times New Roman" w:eastAsia="Times New Roman" w:cs="Times New Roman"/>
        </w:rPr>
        <w:t>دە بەرواری هاتنەکەی کێ دەتوانێت بەرهەڵست بێت؟ و کێ لە کاتی دەردەکەوتنی ئەوەدا دەتوانێت بوەستێت؟ چونکە ئەو وەک ئاگری پاککەرەوەیە، و وەک سابوونی شوشتەوانان؛ و ئەو دادەنیشێت وەک پاککەرەوە و خاوێنکەرەوەی زیو: و کوڕانی لاوی پاک دەکاتەوە، و وەک زێڕ و زیو خاوێنیان دەکاتەوە، تاکو بتوانن بۆ یەزدان قوربانییەک بە ڕاستودروستی پێشکەش بکەن. ئەوجا قوربانیی یەهودا و ئۆرشەلیم لای یەزدان خۆش دەبێت، وەک ڕۆژانی کۆن، وەک ساڵانی پێشوو. مەلاخی 3:2–4.</w:t>
      </w:r>
    </w:p>
    <w:p>
      <w:pPr>
        <w:pStyle w:val="ArticleBody"/>
        <w:jc w:val="left"/>
      </w:pPr>
      <w:r>
        <w:rPr>
          <w:rFonts w:ascii="Times New Roman" w:hAnsi="Times New Roman" w:eastAsia="Times New Roman" w:cs="Times New Roman"/>
        </w:rPr>
        <w:t>Ерітуші күмістің пеште тиісті уақыт болғанын, күміс соншалық таза болып, ерітушінің жүзін бейнелейтін кезде біледі. Күмістің ежелде осылай тазартылғаны туралы осы жайт Даниялдың оныншы тарауда көрген «marah» себептік етістігімен үйлеседі. Осы соңғы күндерде Жаратқан Ие Өз халқын қасиетті орынға бастап, жүз қырық төрт мыңдық жалаудың бір бөлігі болуға үміткерлерді сынау, тазарту және арылту үстінде. Осы уақыт кезеңінде Ол бізбен «жұмыс істейтін болады», егер біз «заңсыздықты тастап, жүрек пен өмірде таза болсақ». Кейбіреулер, Даниял 10-тағыдай, сол тәжірибеден қашады, бірақ Ишая көрсеткендей, Даниялмен бейнеленген және Иса Мәсіхтің аянының ұлы айна тәрізді көрінісін көретіндер құрбандық үстелінен алынған көмірмен еріндері тигізіліп, тазартылып, әуелі діннен тайған қауымға, содан кейін әлемге хабар жеткізуге дайындалады.</w:t>
      </w:r>
    </w:p>
    <w:p>
      <w:pPr>
        <w:pStyle w:val="ArticleBody"/>
        <w:jc w:val="left"/>
      </w:pPr>
      <w:r>
        <w:rPr>
          <w:rFonts w:ascii="Times New Roman" w:hAnsi="Times New Roman" w:eastAsia="Times New Roman" w:cs="Times New Roman"/>
        </w:rPr>
        <w:t>ئەو پەیامە بۆ ئەو گیانە دڵسۆزانە پێشکەش دەکرێت کە لە پیرۆزگادا نیشتەجێن. لاویان بیست و سێ، کاتێک لەگەڵ وەرزی پەنجەهەمین ڕۆژ ڕێک دەخرێت، بۆ ئەوە دانراوە کە سندوقی پەیمان لە شوێنی هەرە پیرۆزدا بەرچاوبکات. بە باوەڕ، پێکهاتەی پەیامەکانی ئەو بەشە سێ نیشانەڕێ لەناو مێژووی پیرۆزدا دیاری دەکات کە تاقیکردنەوەی کۆرەکە تێدا تەواو دەبێت. بە ڕاستییەکی خودایی قووڵ—پێکهاتەی پێشبینیانەی بەشی بیست و سێ خوێنکاری پێشبینی ڕێنمایی دەکات بۆ ئەوەی حەزقیال لە ئایەتی یەکەمی بەشی یەکدا بدۆزێتەوە.</w:t>
      </w:r>
    </w:p>
    <w:p>
      <w:pPr>
        <w:pStyle w:val="ArticleScripture"/>
        <w:jc w:val="left"/>
      </w:pPr>
      <w:r>
        <w:rPr>
          <w:rFonts w:ascii="Times New Roman" w:hAnsi="Times New Roman" w:eastAsia="Times New Roman" w:cs="Times New Roman"/>
        </w:rPr>
        <w:t>Kisa si sol na in ma’adangnga’lun a tawen, si maikapat a bulan, si maikalimang aldaw nin bulan, kanak ya wadak ya kaibaan so saray nabihag ed danum ya Kebar, inlukasan so tawen, tan akakitaak ed saray sicsiwen na Dios. Si maikalimang aldaw nin bulan, ya sikato so maikalimang tawen na pagkabihag nen ari ya Jehoiachin. Ezekiel 1:1, 2.</w:t>
      </w:r>
    </w:p>
    <w:p>
      <w:pPr>
        <w:pStyle w:val="ArticleBody"/>
        <w:jc w:val="left"/>
      </w:pPr>
      <w:r>
        <w:rPr>
          <w:rFonts w:ascii="Leelawadee UI" w:hAnsi="Leelawadee UI" w:eastAsia="Leelawadee UI" w:cs="Leelawadee UI"/>
        </w:rPr>
        <w:t>មកដល់ពេលបោះត្រារបស់មនុស្សមួយសែនសែសិបបួនពាន់នាក់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ក្នុងនាមជាបូជាចារ្យ</w:t>
      </w:r>
      <w:r>
        <w:rPr>
          <w:rFonts w:ascii="Times New Roman" w:hAnsi="Times New Roman" w:eastAsia="Times New Roman" w:cs="Times New Roman"/>
        </w:rPr>
        <w:t xml:space="preserve"> </w:t>
      </w:r>
      <w:r>
        <w:rPr>
          <w:rFonts w:ascii="Leelawadee UI" w:hAnsi="Leelawadee UI" w:eastAsia="Leelawadee UI" w:cs="Leelawadee UI"/>
        </w:rPr>
        <w:t>អេសេគាលស្ថិតនៅក្នុងឆ្នាំទីសាមសិបនៃវដ្តយូប៊ីលេលើកទីដប់ប្រាំពីរ</w:t>
      </w:r>
      <w:r>
        <w:rPr>
          <w:rFonts w:ascii="Times New Roman" w:hAnsi="Times New Roman" w:eastAsia="Times New Roman" w:cs="Times New Roman"/>
        </w:rPr>
        <w:t xml:space="preserve"> </w:t>
      </w:r>
      <w:r>
        <w:rPr>
          <w:rFonts w:ascii="Leelawadee UI" w:hAnsi="Leelawadee UI" w:eastAsia="Leelawadee UI" w:cs="Leelawadee UI"/>
        </w:rPr>
        <w:t>គឺមុនការឡោមព័ទ្ធក្រុងយេរូសាឡឹមដោយនេប៊ូក្នេស្សារលើកទីបីក្នុងចំណោមការឡោមព័ទ្ធបីលើក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587 BC </w:t>
      </w:r>
      <w:r>
        <w:rPr>
          <w:rFonts w:ascii="Leelawadee UI" w:hAnsi="Leelawadee UI" w:eastAsia="Leelawadee UI" w:cs="Leelawadee UI"/>
        </w:rPr>
        <w:t>ចំនួនប្រាំឆ្នាំ។</w:t>
      </w:r>
      <w:r>
        <w:rPr>
          <w:rFonts w:ascii="Times New Roman" w:hAnsi="Times New Roman" w:eastAsia="Times New Roman" w:cs="Times New Roman"/>
        </w:rPr>
        <w:t xml:space="preserve"> </w:t>
      </w:r>
      <w:r>
        <w:rPr>
          <w:rFonts w:ascii="Leelawadee UI" w:hAnsi="Leelawadee UI" w:eastAsia="Leelawadee UI" w:cs="Leelawadee UI"/>
        </w:rPr>
        <w:t>ឆ្នាំទីសាមសិបក្នុងខនេះ</w:t>
      </w:r>
      <w:r>
        <w:rPr>
          <w:rFonts w:ascii="Times New Roman" w:hAnsi="Times New Roman" w:eastAsia="Times New Roman" w:cs="Times New Roman"/>
        </w:rPr>
        <w:t xml:space="preserve"> </w:t>
      </w:r>
      <w:r>
        <w:rPr>
          <w:rFonts w:ascii="Leelawadee UI" w:hAnsi="Leelawadee UI" w:eastAsia="Leelawadee UI" w:cs="Leelawadee UI"/>
        </w:rPr>
        <w:t>គឺសាមសិបឆ្នាំបន្ទាប់ពីការស្តារឡើងវិញដ៏ធំបំផុតក្នុងប្រវត្តិសាស្ត្រព្រះគម្ពីរសញ្ញាចាស់</w:t>
      </w:r>
      <w:r>
        <w:rPr>
          <w:rFonts w:ascii="Times New Roman" w:hAnsi="Times New Roman" w:eastAsia="Times New Roman" w:cs="Times New Roman"/>
        </w:rPr>
        <w:t xml:space="preserve"> </w:t>
      </w:r>
      <w:r>
        <w:rPr>
          <w:rFonts w:ascii="Leelawadee UI" w:hAnsi="Leelawadee UI" w:eastAsia="Leelawadee UI" w:cs="Leelawadee UI"/>
        </w:rPr>
        <w:t>ហើយវាស្ថិតនៅថ្ងៃទីប្រាំនៃឆ្នាំទីប្រាំ</w:t>
      </w:r>
      <w:r>
        <w:rPr>
          <w:rFonts w:ascii="Times New Roman" w:hAnsi="Times New Roman" w:eastAsia="Times New Roman" w:cs="Times New Roman"/>
        </w:rPr>
        <w:t xml:space="preserve"> </w:t>
      </w:r>
      <w:r>
        <w:rPr>
          <w:rFonts w:ascii="Leelawadee UI" w:hAnsi="Leelawadee UI" w:eastAsia="Leelawadee UI" w:cs="Leelawadee UI"/>
        </w:rPr>
        <w:t>ដូច្នេះបានដាក់លេខប្រាំលើសក្ខីកម្មរបស់អេសេគាល។</w:t>
      </w:r>
      <w:r>
        <w:rPr>
          <w:rFonts w:ascii="Times New Roman" w:hAnsi="Times New Roman" w:eastAsia="Times New Roman" w:cs="Times New Roman"/>
        </w:rPr>
        <w:t xml:space="preserve"> </w:t>
      </w:r>
      <w:r>
        <w:rPr>
          <w:rFonts w:ascii="Leelawadee UI" w:hAnsi="Leelawadee UI" w:eastAsia="Leelawadee UI" w:cs="Leelawadee UI"/>
        </w:rPr>
        <w:t>ក្នុងខបើកពីរខ</w:t>
      </w:r>
      <w:r>
        <w:rPr>
          <w:rFonts w:ascii="Times New Roman" w:hAnsi="Times New Roman" w:eastAsia="Times New Roman" w:cs="Times New Roman"/>
        </w:rPr>
        <w:t xml:space="preserve"> </w:t>
      </w:r>
      <w:r>
        <w:rPr>
          <w:rFonts w:ascii="Leelawadee UI" w:hAnsi="Leelawadee UI" w:eastAsia="Leelawadee UI" w:cs="Leelawadee UI"/>
        </w:rPr>
        <w:t>ដំបូង</w:t>
      </w:r>
      <w:r>
        <w:rPr>
          <w:rFonts w:ascii="Times New Roman" w:hAnsi="Times New Roman" w:eastAsia="Times New Roman" w:cs="Times New Roman"/>
        </w:rPr>
        <w:t xml:space="preserve"> </w:t>
      </w:r>
      <w:r>
        <w:rPr>
          <w:rFonts w:ascii="Leelawadee UI" w:hAnsi="Leelawadee UI" w:eastAsia="Leelawadee UI" w:cs="Leelawadee UI"/>
        </w:rPr>
        <w:t>យើងឃើញលេខសាមសិបត្រូវបានកំណត់ម្តងមួយ</w:t>
      </w:r>
      <w:r>
        <w:rPr>
          <w:rFonts w:ascii="Times New Roman" w:hAnsi="Times New Roman" w:eastAsia="Times New Roman" w:cs="Times New Roman"/>
        </w:rPr>
        <w:t xml:space="preserve"> </w:t>
      </w:r>
      <w:r>
        <w:rPr>
          <w:rFonts w:ascii="Leelawadee UI" w:hAnsi="Leelawadee UI" w:eastAsia="Leelawadee UI" w:cs="Leelawadee UI"/>
        </w:rPr>
        <w:t>និងលេខប្រាំត្រូវបានរំលឹកបីដង។</w:t>
      </w:r>
      <w:r>
        <w:rPr>
          <w:rFonts w:ascii="Times New Roman" w:hAnsi="Times New Roman" w:eastAsia="Times New Roman" w:cs="Times New Roman"/>
        </w:rPr>
        <w:t xml:space="preserve"> </w:t>
      </w:r>
      <w:r>
        <w:rPr>
          <w:rFonts w:ascii="Leelawadee UI" w:hAnsi="Leelawadee UI" w:eastAsia="Leelawadee UI" w:cs="Leelawadee UI"/>
        </w:rPr>
        <w:t>ក្នុងរចនាសម្ព័ន្ធនៃលេវីវិន័យ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ដែលតម្រឹមនឹងរដូវបុណ្យភេនទីកុស្ត</w:t>
      </w:r>
      <w:r>
        <w:rPr>
          <w:rFonts w:ascii="Times New Roman" w:hAnsi="Times New Roman" w:eastAsia="Times New Roman" w:cs="Times New Roman"/>
        </w:rPr>
        <w:t xml:space="preserve"> </w:t>
      </w:r>
      <w:r>
        <w:rPr>
          <w:rFonts w:ascii="Leelawadee UI" w:hAnsi="Leelawadee UI" w:eastAsia="Leelawadee UI" w:cs="Leelawadee UI"/>
        </w:rPr>
        <w:t>ការសាកល្បងទីពីរដែលតំណាងដោយលេខសាមសិប</w:t>
      </w:r>
      <w:r>
        <w:rPr>
          <w:rFonts w:ascii="Times New Roman" w:hAnsi="Times New Roman" w:eastAsia="Times New Roman" w:cs="Times New Roman"/>
        </w:rPr>
        <w:t xml:space="preserve"> </w:t>
      </w:r>
      <w:r>
        <w:rPr>
          <w:rFonts w:ascii="Leelawadee UI" w:hAnsi="Leelawadee UI" w:eastAsia="Leelawadee UI" w:cs="Leelawadee UI"/>
        </w:rPr>
        <w:t>ឈានទៅដល់ពិធីបុណ្យត្រែ</w:t>
      </w:r>
      <w:r>
        <w:rPr>
          <w:rFonts w:ascii="Times New Roman" w:hAnsi="Times New Roman" w:eastAsia="Times New Roman" w:cs="Times New Roman"/>
        </w:rPr>
        <w:t xml:space="preserve"> </w:t>
      </w:r>
      <w:r>
        <w:rPr>
          <w:rFonts w:ascii="Leelawadee UI" w:hAnsi="Leelawadee UI" w:eastAsia="Leelawadee UI" w:cs="Leelawadee UI"/>
        </w:rPr>
        <w:t>ចំនួនប្រាំថ្ងៃទៅដល់ការយាងឡើងស្ថានសួគ៌របស់ព្រះគ្រីស្ទ</w:t>
      </w:r>
      <w:r>
        <w:rPr>
          <w:rFonts w:ascii="Times New Roman" w:hAnsi="Times New Roman" w:eastAsia="Times New Roman" w:cs="Times New Roman"/>
        </w:rPr>
        <w:t xml:space="preserve"> </w:t>
      </w:r>
      <w:r>
        <w:rPr>
          <w:rFonts w:ascii="Leelawadee UI" w:hAnsi="Leelawadee UI" w:eastAsia="Leelawadee UI" w:cs="Leelawadee UI"/>
        </w:rPr>
        <w:t>បន្ទាប់មកប្រាំថ្ងៃទៅដល់ថ្ងៃនៃការសងអំពើបាប</w:t>
      </w:r>
      <w:r>
        <w:rPr>
          <w:rFonts w:ascii="Times New Roman" w:hAnsi="Times New Roman" w:eastAsia="Times New Roman" w:cs="Times New Roman"/>
        </w:rPr>
        <w:t xml:space="preserve"> </w:t>
      </w:r>
      <w:r>
        <w:rPr>
          <w:rFonts w:ascii="Leelawadee UI" w:hAnsi="Leelawadee UI" w:eastAsia="Leelawadee UI" w:cs="Leelawadee UI"/>
        </w:rPr>
        <w:t>បន្ទាប់មកប្រាំថ្ងៃទៅដល់សញ្ញាសម្គាល់តាមផ្លូវដែលតំណាងទាំងភ្លៀងដើម</w:t>
      </w:r>
      <w:r>
        <w:rPr>
          <w:rFonts w:ascii="Times New Roman" w:hAnsi="Times New Roman" w:eastAsia="Times New Roman" w:cs="Times New Roman"/>
        </w:rPr>
        <w:t xml:space="preserve"> (Pentecost) </w:t>
      </w:r>
      <w:r>
        <w:rPr>
          <w:rFonts w:ascii="Leelawadee UI" w:hAnsi="Leelawadee UI" w:eastAsia="Leelawadee UI" w:cs="Leelawadee UI"/>
        </w:rPr>
        <w:t>និងភ្លៀងចុង</w:t>
      </w:r>
      <w:r>
        <w:rPr>
          <w:rFonts w:ascii="Times New Roman" w:hAnsi="Times New Roman" w:eastAsia="Times New Roman" w:cs="Times New Roman"/>
        </w:rPr>
        <w:t xml:space="preserve"> (Tabernacles)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រចនាសម្ព័ន្ធនេះបង្ហាញលេខសាមសិប</w:t>
      </w:r>
      <w:r>
        <w:rPr>
          <w:rFonts w:ascii="Times New Roman" w:hAnsi="Times New Roman" w:eastAsia="Times New Roman" w:cs="Times New Roman"/>
        </w:rPr>
        <w:t xml:space="preserve"> </w:t>
      </w:r>
      <w:r>
        <w:rPr>
          <w:rFonts w:ascii="Leelawadee UI" w:hAnsi="Leelawadee UI" w:eastAsia="Leelawadee UI" w:cs="Leelawadee UI"/>
        </w:rPr>
        <w:t>បន្ទាប់មកជំហានបីនៃលេខប្រាំ។</w:t>
      </w:r>
      <w:r>
        <w:rPr>
          <w:rFonts w:ascii="Times New Roman" w:hAnsi="Times New Roman" w:eastAsia="Times New Roman" w:cs="Times New Roman"/>
        </w:rPr>
        <w:t xml:space="preserve"> </w:t>
      </w:r>
      <w:r>
        <w:rPr>
          <w:rFonts w:ascii="Leelawadee UI" w:hAnsi="Leelawadee UI" w:eastAsia="Leelawadee UI" w:cs="Leelawadee UI"/>
        </w:rPr>
        <w:t>អេសេគាលស្ថិតនៅក្នុងព្រះវិហារ</w:t>
      </w:r>
      <w:r>
        <w:rPr>
          <w:rFonts w:ascii="Times New Roman" w:hAnsi="Times New Roman" w:eastAsia="Times New Roman" w:cs="Times New Roman"/>
        </w:rPr>
        <w:t xml:space="preserve"> </w:t>
      </w:r>
      <w:r>
        <w:rPr>
          <w:rFonts w:ascii="Leelawadee UI" w:hAnsi="Leelawadee UI" w:eastAsia="Leelawadee UI" w:cs="Leelawadee UI"/>
        </w:rPr>
        <w:t>ហើយរចនាសម្ព័ន្ធនៃលេវីវិន័យ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គឺជាហិប។</w:t>
      </w:r>
    </w:p>
    <w:p>
      <w:pPr>
        <w:pStyle w:val="ArticleBody"/>
        <w:jc w:val="left"/>
      </w:pPr>
      <w:r>
        <w:rPr>
          <w:rFonts w:ascii="Times New Roman" w:hAnsi="Times New Roman" w:eastAsia="Times New Roman" w:cs="Times New Roman"/>
        </w:rPr>
        <w:t>Akukokyekyɛsɛm no di adanse sɛ Hesekiel wɔ saa bere no mu mfe anum ansa na wɔreyɛ ahintawhyɛmu kwan so atwa kurow no ho ahyia, a eyi wie de yɛɛ mfonini maa Memeneda no mmara a ɛrenba nnansa yi, sɛnea wɔde Yerusalem sɛee no gyina hɔ ma no. Nɔma “anum” yɛ Lewifo 23 nhyehyɛe no mu ade titiriw, sɛnea nɔma aduasa nso te.</w:t>
      </w:r>
    </w:p>
    <w:p>
      <w:pPr>
        <w:pStyle w:val="ArticleBody"/>
        <w:jc w:val="left"/>
      </w:pPr>
      <w:r>
        <w:rPr>
          <w:rFonts w:ascii="Times New Roman" w:hAnsi="Times New Roman" w:eastAsia="Times New Roman" w:cs="Times New Roman"/>
        </w:rPr>
        <w:t>ئاتو ماقالناردا گؤستریلمیشدیر کی، فصلین ایلک ییرمی ائکی آیه‌سی سون ییرمی ائکی آیه‌سی ایله هَمزمانلاندیریلديقده، و سونرا بو ایكی ییرمی ائکی آیه‌لیک خط پنتیکوست مؤوسومی ایله هَمزمانلانديريلا‌ندا، مالاکی‌نین کوره آتشی اولان اوچ‌مرحله‌لی امتحان پروسسی آشکار شکیلدە تصویر ائدیلمیشدیر. اوچ مرحله‌نین بیرینجی و اوچونجو مرحله‌لرینده، بیر مرحله‌نی تمثیل ائدن دؤرد نشان‌دان عبارت اولان بیر سیلسله‌دن تشکیل اولونان بیر آلفا و اومقاسی واردیر.</w:t>
      </w:r>
    </w:p>
    <w:p>
      <w:pPr>
        <w:pStyle w:val="ArticleBody"/>
        <w:jc w:val="left"/>
      </w:pPr>
      <w:r>
        <w:rPr>
          <w:rFonts w:ascii="Times New Roman" w:hAnsi="Times New Roman" w:eastAsia="Times New Roman" w:cs="Times New Roman"/>
        </w:rPr>
        <w:t>Փասեքը, որին հաջորդում է Անթթխմոր Հացերի տոնը, որին հաջորդում է գարու առաջին պտուղների ընծայումը, ապա «հինգ» օր մինչև Անթթխմոր Հացերի տոնի ավարտը։ Այդ չորս սահմանանշանները կազմում են առաջին փորձությունը, և Հիսուսը միշտ վերջը պատկերում է սկզբով, իսկ երրորդ փորձությունն էլ նույնպես կազմված է չորս սահմանանշաններից։ Շեփորների տոնը, ապա Քրիստոսի համբարձումը, որին հաջորդում է Քավության օրը, և ապա հինգ օր անց՝ թե՛ Հոգեգալստյան, թե՛ Տաղավարահարաց տոների գալուստը։ Հոգեգալուստը վաղ անձրևի խորհրդանիշն է, իսկ Տաղավարահարացը՝ ուշ անձրևի խորհրդանիշը։ Ղևտացիս քսաներեքի մոդելում և՛ Հոգեգալուստը, և՛ Տաղավարահարացը համընկնում են։</w:t>
      </w:r>
    </w:p>
    <w:p>
      <w:pPr>
        <w:pStyle w:val="ArticleScripture"/>
        <w:jc w:val="left"/>
      </w:pPr>
      <w:r>
        <w:rPr>
          <w:rFonts w:ascii="Times New Roman" w:hAnsi="Times New Roman" w:eastAsia="Times New Roman" w:cs="Times New Roman"/>
        </w:rPr>
        <w:t>Alulúɣ áyen, a tarwa n Ṣeyyun, u frɛḥet deg Mass-nwen, Rebbi-nwen; acku yefka-awen-d ageffur amezwaru s lqis, yerna ad yessers fell-awen ageffur, ageffur amezwaru, d ugeffur aneggaru, deg wayyur amezwaru. Yoel 2:23.</w:t>
      </w:r>
    </w:p>
    <w:p>
      <w:pPr>
        <w:pStyle w:val="ArticleBody"/>
        <w:jc w:val="left"/>
      </w:pP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ᎤᏓᏅᏁᏗ</w:t>
      </w:r>
      <w:r>
        <w:rPr>
          <w:rFonts w:ascii="Times New Roman" w:hAnsi="Times New Roman" w:eastAsia="Times New Roman" w:cs="Times New Roman"/>
        </w:rPr>
        <w:t xml:space="preserve"> </w:t>
      </w:r>
      <w:r>
        <w:rPr>
          <w:rFonts w:ascii="Gadugi" w:hAnsi="Gadugi" w:eastAsia="Gadugi" w:cs="Gadugi"/>
        </w:rPr>
        <w:t>ᎤᏓᎵᏱ</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ᏥᎦᏚ</w:t>
      </w:r>
      <w:r>
        <w:rPr>
          <w:rFonts w:ascii="Times New Roman" w:hAnsi="Times New Roman" w:eastAsia="Times New Roman" w:cs="Times New Roman"/>
        </w:rPr>
        <w:t xml:space="preserve"> 31, 2023.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ᎠᏍᏓᏩᏛ</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ᏗᏐᏢᏒ</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ᎠᏂᏃᏍᏛ</w:t>
      </w:r>
      <w:r>
        <w:rPr>
          <w:rFonts w:ascii="Times New Roman" w:hAnsi="Times New Roman" w:eastAsia="Times New Roman" w:cs="Times New Roman"/>
        </w:rPr>
        <w:t xml:space="preserve"> “robbers of thy people” </w:t>
      </w:r>
      <w:r>
        <w:rPr>
          <w:rFonts w:ascii="Gadugi" w:hAnsi="Gadugi" w:eastAsia="Gadugi" w:cs="Gadugi"/>
        </w:rPr>
        <w:t>ᎤᏂᏘᏯᎥ</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ᎤᏂᏯᏕᏒᎯ</w:t>
      </w:r>
      <w:r>
        <w:rPr>
          <w:rFonts w:ascii="Times New Roman" w:hAnsi="Times New Roman" w:eastAsia="Times New Roman" w:cs="Times New Roman"/>
        </w:rPr>
        <w:t xml:space="preserve"> </w:t>
      </w:r>
      <w:r>
        <w:rPr>
          <w:rFonts w:ascii="Gadugi" w:hAnsi="Gadugi" w:eastAsia="Gadugi" w:cs="Gadugi"/>
        </w:rPr>
        <w:t>ᎤᎾᏓᏑᏴᎡᎸ</w:t>
      </w:r>
      <w:r>
        <w:rPr>
          <w:rFonts w:ascii="Times New Roman" w:hAnsi="Times New Roman" w:eastAsia="Times New Roman" w:cs="Times New Roman"/>
        </w:rPr>
        <w:t xml:space="preserve"> </w:t>
      </w:r>
      <w:r>
        <w:rPr>
          <w:rFonts w:ascii="Gadugi" w:hAnsi="Gadugi" w:eastAsia="Gadugi" w:cs="Gadugi"/>
        </w:rPr>
        <w:t>ᎠᏂᏧᏍᏕᎵᏍᎬ</w:t>
      </w:r>
      <w:r>
        <w:rPr>
          <w:rFonts w:ascii="Times New Roman" w:hAnsi="Times New Roman" w:eastAsia="Times New Roman" w:cs="Times New Roman"/>
        </w:rPr>
        <w:t xml:space="preserve"> </w:t>
      </w:r>
      <w:r>
        <w:rPr>
          <w:rFonts w:ascii="Gadugi" w:hAnsi="Gadugi" w:eastAsia="Gadugi" w:cs="Gadugi"/>
        </w:rPr>
        <w:t>ᏓᏟᎶᏍᏔᏅ</w:t>
      </w:r>
      <w:r>
        <w:rPr>
          <w:rFonts w:ascii="Times New Roman" w:hAnsi="Times New Roman" w:eastAsia="Times New Roman" w:cs="Times New Roman"/>
        </w:rPr>
        <w:t xml:space="preserve"> </w:t>
      </w:r>
      <w:r>
        <w:rPr>
          <w:rFonts w:ascii="Gadugi" w:hAnsi="Gadugi" w:eastAsia="Gadugi" w:cs="Gadugi"/>
        </w:rPr>
        <w:t>ᏥᎦᏚ</w:t>
      </w:r>
      <w:r>
        <w:rPr>
          <w:rFonts w:ascii="Times New Roman" w:hAnsi="Times New Roman" w:eastAsia="Times New Roman" w:cs="Times New Roman"/>
        </w:rPr>
        <w:t xml:space="preserve"> 18, 2020.</w:t>
      </w:r>
    </w:p>
    <w:p>
      <w:pPr>
        <w:pStyle w:val="ArticleScripture"/>
        <w:jc w:val="left"/>
      </w:pPr>
      <w:r>
        <w:rPr>
          <w:rFonts w:ascii="Times New Roman" w:hAnsi="Times New Roman" w:eastAsia="Times New Roman" w:cs="Times New Roman"/>
        </w:rPr>
        <w:t>«Аҩсабара аҭоурыхи аиашаҳәареи рҿы Анцәа Иажәа ииҿырԥшуеит аиаша билән агхақәа рыбжьара инеиқәыԥшха издырҵоз аамҭа дуӡӡа аимак. Уи аимак макьана имҩасуам. Изҟалаз ақәабӷақәа еиҭанахоит. Иаҳабаанӡаз аимакқәа еиҭаргыланы иҳадахуеит, ҿыцтәи атеориақәагьы иааиԥмырҟьаӡакәа ицәырҵлоит. Аха Анцәа ижәлар, рхәыцраҿыгьы, аҳәараҭагалараҿыгьы аԥааимбарра анагӡара ихатә ҭыԥ ааныркылоз, раԥхьатәи, аҩбатәи, ахԥатәи ангелцәа ирыдҳәалоу адырраҟны, идыруеит ахьыртәоу. Урҭ рымоуп аԥышәа, абжьыӡырҩы зынӡа ҵламыҵәыц иаҳа ахә зшьоу. Урҭ иаҭаху — ахаҳә еиԥш иаангылазарц, ргәыӷра алагамҭа анагӡанӡа иӷәӷәааны иркызарц». Manuscript Releases, volume 1, 47.</w:t>
      </w:r>
    </w:p>
    <w:p>
      <w:pPr>
        <w:pStyle w:val="ArticleBody"/>
        <w:jc w:val="left"/>
      </w:pPr>
      <w:r>
        <w:rPr>
          <w:rFonts w:ascii="Times New Roman" w:hAnsi="Times New Roman" w:eastAsia="Times New Roman" w:cs="Times New Roman"/>
        </w:rPr>
        <w:t>Leviticus xxiii-vimi, ta aykʼajtʼsikil tʼaanil u pʼisbaʼal yéetel óoxpʼeel, kaʼ tsʼook pʼáat u joʼopʼeel kʼiinoʼoboʼ yóokʼlal u xulul u kʼinil le pʼáanal waj maʼ tu yaalaj levadurailoʼ. Pascuáaʼeʼ u jaʼabil kʼiin junpʼéel, le kʼinil le pʼáanal waj maʼ tu yaalaj levadurailoʼeʼ u kaʼapʼéel kʼiin, yéetel le ofrendail le yax tojoʼoleʼ u óoxpʼéel kʼiin. Joʼopʼéel kʼiinoʼob utsʼáanal, le kʼinil le pʼáanal waj maʼ tu yaalaj levadurailoʼeʼ tsʼookiʼ. Le tʼaanil pʼisbaʼalil tiʼ le primero tiʼ óoxpʼeel pruebasoʼ táan u yáantal xan ichil le óoxpʼéel yéetel última pruebaoʼ. Tiʼ le óoxpʼéel waymarkoʼ, jeʼel pʼéel u meyaj yéetel óoxpʼéel waymarkoʼ kaʼ tsʼook pʼáat junpʼéel, le kʼinil le trompetasoʼ u jaʼabil kʼiin junpʼéel, ka joʼopʼéel kʼiinoʼob utsʼáanal u ascensiónil Cristo, ka joʼopʼéel kʼiinoʼob utsʼáanal sáansamal u kʼinil expiación, ka joʼopʼéel kʼiinoʼob utsʼáanal tu kaʼajal Pentecostés yéetel le kʼinil le Tabernáculoʼoboʼeʼ táan u xookik le Domingo kʼáat chiʼibaloʼ tu séebaʼ, le jeʼelaʼ ku pʼisíik ichil le libro tiʼ Ezequiel bey u jetsʼel Jerusalén.</w:t>
      </w:r>
    </w:p>
    <w:p>
      <w:pPr>
        <w:pStyle w:val="ArticleBody"/>
        <w:jc w:val="left"/>
      </w:pPr>
      <w:r>
        <w:rPr>
          <w:rFonts w:ascii="Times New Roman" w:hAnsi="Times New Roman" w:eastAsia="Times New Roman" w:cs="Times New Roman"/>
        </w:rPr>
        <w:t>Xamirttoota Ayyaana Maxinoo Uullaa fi Ayyaana Malakataa gidduutti guyyaa soddomaatu jira; kunis mallattoo luba qofa utuu hin taʼin, qormaata lammaffaa qormaatota sadii Ibsa Waaqummaa keessatti bakka buʼaniis ni agarsiisa.</w:t>
      </w:r>
    </w:p>
    <w:p>
      <w:pPr>
        <w:pStyle w:val="ArticleBody"/>
        <w:jc w:val="left"/>
      </w:pPr>
      <w:r>
        <w:rPr>
          <w:rFonts w:ascii="Times New Roman" w:hAnsi="Times New Roman" w:eastAsia="Times New Roman" w:cs="Times New Roman"/>
        </w:rPr>
        <w:t>An baptais ann de Chriosd tha e a’ sealltainn nan trì comharran-slighe de’n Chàisg, dhen aran neo-ghortaichte, agus de’n chiad-thoradh, oir tha na trì comharran-slighe sin a’ riochdachadh bàs, adhlacadh, agus aiseirigh Chriosd. Na trì ceumannan sin tha iad air an leantainn le còig làithean gus an ceathramh ceum, air a riochdachadh le deireadh fèill an arain neo-ghortaichte. Tha am baptais a’ taisbeanadh nan trì ceumannan ann an aon mhionaid ghoirid nuair a bha Eòin a’ baisteadh a Mhesiah. Tha fèillean an earraich a’ sgaradh nan trì ceumannan sin le aon latha eadar gach aon dhiubh, agus tha fèillean an fhoghair a’ sgaradh nan trì ceumannan sin le còig làithean.</w:t>
      </w:r>
    </w:p>
    <w:p>
      <w:pPr>
        <w:pStyle w:val="ArticleBody"/>
        <w:jc w:val="left"/>
      </w:pPr>
      <w:r>
        <w:rPr>
          <w:rFonts w:ascii="Times New Roman" w:hAnsi="Times New Roman" w:eastAsia="Times New Roman" w:cs="Times New Roman"/>
        </w:rPr>
        <w:t>Wanha tawaŋh šni, wiyopeyata pi wowapi ektá iyúha kiŋ hé: Ptaŋyáŋ Ožúye Tȟokáta kiŋ heháŋ owaŋka tȟáŋka etáŋhaŋ yutápi kin—waymark yamní tȟokáhe kiŋ, na lé waymark waŋžíla kiŋ háŋska kiŋ lená okíčhize opáwiŋyaŋpi napčíyuŋkaŋ heháŋ; na kiŋháŋ Ožúye Wáŋiyetu kiŋ heháŋ waymark yamní kiŋ, na napčíyuŋkaŋ heháŋ waymark waŋžíla kiŋ él iwáŋyaŋkiyapi, héčha kiŋháŋ wowíčhaktepi wóuŋspe waŋ él waŋíyetuŋpi, hečhél alpha waymark waŋ yamní tȟokáhe kiŋ na napčíyuŋkaŋ heháŋ, na lé heháŋ opáwiŋyaŋkaŋ tȟáŋka kiŋ háŋska kiŋ lená owičhókiye, na Ožúye Wáŋiyetu kiŋ opáwiŋyaŋkaŋ yamní tȟoškáhe kiŋ, na napčíyuŋkaŋ heháŋ—héčha wowíčhakte kiŋ opáwiŋyaŋkaŋ tȟokáhe kiŋ napčíyuŋkaŋ iyáya ye, na lé heháŋ opáwiŋyaŋkaŋ núŋpa kiŋ háŋska kiŋ lená, na opáwiŋyaŋkaŋ yamní tȟókahe kiŋ napčíyuŋkaŋ iyáya ye. Napčíyuŋkaŋ kiŋ na háŋska kiŋ lená, na napčíyuŋkaŋ kiŋ, héčha wikčémna núŋpa (5 + 30 + 5 = 40).</w:t>
      </w:r>
    </w:p>
    <w:p>
      <w:pPr>
        <w:pStyle w:val="ArticleBody"/>
        <w:jc w:val="left"/>
      </w:pPr>
      <w:r>
        <w:rPr>
          <w:rFonts w:ascii="Times New Roman" w:hAnsi="Times New Roman" w:eastAsia="Times New Roman" w:cs="Times New Roman"/>
        </w:rPr>
        <w:t>Baada ya ubatizo wa Kristo mara ikafuata siku arobaini, zilizohitimishwa kwa majaribu matatu. Mambo mengi zaidi yaweza kutambuliwa katika muundo wa Mambo ya Walawi ishirini na tatu kwa kuunganishwa na majira ya Pentekoste, lakini katika ngazi nyingine sura hiyo inawakilisha Sanduku katika Patakatifu pa Patakatifu.</w:t>
      </w:r>
    </w:p>
    <w:p>
      <w:pPr>
        <w:pStyle w:val="ArticleBody"/>
        <w:jc w:val="left"/>
      </w:pPr>
      <w:r>
        <w:rPr>
          <w:rFonts w:ascii="Ebrima" w:hAnsi="Ebrima" w:eastAsia="Ebrima" w:cs="Ebrima"/>
        </w:rPr>
        <w:t>ዘጸአት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የጸደይና</w:t>
      </w:r>
      <w:r>
        <w:rPr>
          <w:rFonts w:ascii="Times New Roman" w:hAnsi="Times New Roman" w:eastAsia="Times New Roman" w:cs="Times New Roman"/>
        </w:rPr>
        <w:t xml:space="preserve"> </w:t>
      </w:r>
      <w:r>
        <w:rPr>
          <w:rFonts w:ascii="Ebrima" w:hAnsi="Ebrima" w:eastAsia="Ebrima" w:cs="Ebrima"/>
        </w:rPr>
        <w:t>የበልግ</w:t>
      </w:r>
      <w:r>
        <w:rPr>
          <w:rFonts w:ascii="Times New Roman" w:hAnsi="Times New Roman" w:eastAsia="Times New Roman" w:cs="Times New Roman"/>
        </w:rPr>
        <w:t xml:space="preserve"> </w:t>
      </w:r>
      <w:r>
        <w:rPr>
          <w:rFonts w:ascii="Ebrima" w:hAnsi="Ebrima" w:eastAsia="Ebrima" w:cs="Ebrima"/>
        </w:rPr>
        <w:t>በዓላት</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ሰንበቶች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ተቀምጠዋል።</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ሰንበቶች</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የሚሸፍኑ</w:t>
      </w:r>
      <w:r>
        <w:rPr>
          <w:rFonts w:ascii="Times New Roman" w:hAnsi="Times New Roman" w:eastAsia="Times New Roman" w:cs="Times New Roman"/>
        </w:rPr>
        <w:t xml:space="preserve"> </w:t>
      </w:r>
      <w:r>
        <w:rPr>
          <w:rFonts w:ascii="Ebrima" w:hAnsi="Ebrima" w:eastAsia="Ebrima" w:cs="Ebrima"/>
        </w:rPr>
        <w:t>ኪሩቤልን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ከዘጸአት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ተሰልፈው</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የጴንጤቆስጤ</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ምልክቶችም</w:t>
      </w:r>
      <w:r>
        <w:rPr>
          <w:rFonts w:ascii="Times New Roman" w:hAnsi="Times New Roman" w:eastAsia="Times New Roman" w:cs="Times New Roman"/>
        </w:rPr>
        <w:t xml:space="preserve"> </w:t>
      </w:r>
      <w:r>
        <w:rPr>
          <w:rFonts w:ascii="Ebrima" w:hAnsi="Ebrima" w:eastAsia="Ebrima" w:cs="Ebrima"/>
        </w:rPr>
        <w:t>ታቦቱንና</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የሚሸፍኑ</w:t>
      </w:r>
      <w:r>
        <w:rPr>
          <w:rFonts w:ascii="Times New Roman" w:hAnsi="Times New Roman" w:eastAsia="Times New Roman" w:cs="Times New Roman"/>
        </w:rPr>
        <w:t xml:space="preserve"> </w:t>
      </w:r>
      <w:r>
        <w:rPr>
          <w:rFonts w:ascii="Ebrima" w:hAnsi="Ebrima" w:eastAsia="Ebrima" w:cs="Ebrima"/>
        </w:rPr>
        <w:t>ኪሩቤልን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ይወሰዳል፤</w:t>
      </w:r>
      <w:r>
        <w:rPr>
          <w:rFonts w:ascii="Times New Roman" w:hAnsi="Times New Roman" w:eastAsia="Times New Roman" w:cs="Times New Roman"/>
        </w:rPr>
        <w:t xml:space="preserve"> </w:t>
      </w:r>
      <w:r>
        <w:rPr>
          <w:rFonts w:ascii="Ebrima" w:hAnsi="Ebrima" w:eastAsia="Ebrima" w:cs="Ebrima"/>
        </w:rPr>
        <w:t>ወደዚያም</w:t>
      </w:r>
      <w:r>
        <w:rPr>
          <w:rFonts w:ascii="Times New Roman" w:hAnsi="Times New Roman" w:eastAsia="Times New Roman" w:cs="Times New Roman"/>
        </w:rPr>
        <w:t xml:space="preserve"> </w:t>
      </w:r>
      <w:r>
        <w:rPr>
          <w:rFonts w:ascii="Ebrima" w:hAnsi="Ebrima" w:eastAsia="Ebrima" w:cs="Ebrima"/>
        </w:rPr>
        <w:t>በተወሰደ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የኢየሩሳሌምን</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ያመጣውን</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ከመጀመሩ</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ሕጉ</w:t>
      </w:r>
      <w:r>
        <w:rPr>
          <w:rFonts w:ascii="Times New Roman" w:hAnsi="Times New Roman" w:eastAsia="Times New Roman" w:cs="Times New Roman"/>
        </w:rPr>
        <w:t xml:space="preserve"> </w:t>
      </w:r>
      <w:r>
        <w:rPr>
          <w:rFonts w:ascii="Ebrima" w:hAnsi="Ebrima" w:eastAsia="Ebrima" w:cs="Ebrima"/>
        </w:rPr>
        <w:t>በዘጸአት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በጴንጤቆስጤና</w:t>
      </w:r>
      <w:r>
        <w:rPr>
          <w:rFonts w:ascii="Times New Roman" w:hAnsi="Times New Roman" w:eastAsia="Times New Roman" w:cs="Times New Roman"/>
        </w:rPr>
        <w:t xml:space="preserve"> </w:t>
      </w:r>
      <w:r>
        <w:rPr>
          <w:rFonts w:ascii="Ebrima" w:hAnsi="Ebrima" w:eastAsia="Ebrima" w:cs="Ebrima"/>
        </w:rPr>
        <w:t>በዳስ</w:t>
      </w:r>
      <w:r>
        <w:rPr>
          <w:rFonts w:ascii="Times New Roman" w:hAnsi="Times New Roman" w:eastAsia="Times New Roman" w:cs="Times New Roman"/>
        </w:rPr>
        <w:t xml:space="preserve"> </w:t>
      </w:r>
      <w:r>
        <w:rPr>
          <w:rFonts w:ascii="Ebrima" w:hAnsi="Ebrima" w:eastAsia="Ebrima" w:cs="Ebrima"/>
        </w:rPr>
        <w:t>በዓል</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በሠላሳኛው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ሠላሳም</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የተጠቀሰውን</w:t>
      </w:r>
      <w:r>
        <w:rPr>
          <w:rFonts w:ascii="Times New Roman" w:hAnsi="Times New Roman" w:eastAsia="Times New Roman" w:cs="Times New Roman"/>
        </w:rPr>
        <w:t xml:space="preserve"> </w:t>
      </w:r>
      <w:r>
        <w:rPr>
          <w:rFonts w:ascii="Ebrima" w:hAnsi="Ebrima" w:eastAsia="Ebrima" w:cs="Ebrima"/>
        </w:rPr>
        <w:t>የእቶን</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የሚያቀናብሩት</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በሠላሳ</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እንደዚሁም</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ጸሐፊዎች</w:t>
      </w:r>
      <w:r>
        <w:rPr>
          <w:rFonts w:ascii="Times New Roman" w:hAnsi="Times New Roman" w:eastAsia="Times New Roman" w:cs="Times New Roman"/>
        </w:rPr>
        <w:t xml:space="preserve"> </w:t>
      </w:r>
      <w:r>
        <w:rPr>
          <w:rFonts w:ascii="Ebrima" w:hAnsi="Ebrima" w:eastAsia="Ebrima" w:cs="Ebrima"/>
        </w:rPr>
        <w:t>እንደሚጠሩት</w:t>
      </w:r>
      <w:r>
        <w:rPr>
          <w:rFonts w:ascii="Times New Roman" w:hAnsi="Times New Roman" w:eastAsia="Times New Roman" w:cs="Times New Roman"/>
        </w:rPr>
        <w:t xml:space="preserve"> </w:t>
      </w:r>
      <w:r>
        <w:rPr>
          <w:rFonts w:ascii="Ebrima" w:hAnsi="Ebrima" w:eastAsia="Ebrima" w:cs="Ebrima"/>
        </w:rPr>
        <w:t>በኢዮስያስ</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ፋሲካ</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የአሥራ</w:t>
      </w:r>
      <w:r>
        <w:rPr>
          <w:rFonts w:ascii="Times New Roman" w:hAnsi="Times New Roman" w:eastAsia="Times New Roman" w:cs="Times New Roman"/>
        </w:rPr>
        <w:t xml:space="preserve"> </w:t>
      </w:r>
      <w:r>
        <w:rPr>
          <w:rFonts w:ascii="Ebrima" w:hAnsi="Ebrima" w:eastAsia="Ebrima" w:cs="Ebrima"/>
        </w:rPr>
        <w:t>ሰባተኛው</w:t>
      </w:r>
      <w:r>
        <w:rPr>
          <w:rFonts w:ascii="Times New Roman" w:hAnsi="Times New Roman" w:eastAsia="Times New Roman" w:cs="Times New Roman"/>
        </w:rPr>
        <w:t xml:space="preserve"> </w:t>
      </w:r>
      <w:r>
        <w:rPr>
          <w:rFonts w:ascii="Ebrima" w:hAnsi="Ebrima" w:eastAsia="Ebrima" w:cs="Ebrima"/>
        </w:rPr>
        <w:t>የኢዮቤልዩ</w:t>
      </w:r>
      <w:r>
        <w:rPr>
          <w:rFonts w:ascii="Times New Roman" w:hAnsi="Times New Roman" w:eastAsia="Times New Roman" w:cs="Times New Roman"/>
        </w:rPr>
        <w:t xml:space="preserve"> </w:t>
      </w:r>
      <w:r>
        <w:rPr>
          <w:rFonts w:ascii="Ebrima" w:hAnsi="Ebrima" w:eastAsia="Ebrima" w:cs="Ebrima"/>
        </w:rPr>
        <w:t>ዑደት</w:t>
      </w:r>
      <w:r>
        <w:rPr>
          <w:rFonts w:ascii="Times New Roman" w:hAnsi="Times New Roman" w:eastAsia="Times New Roman" w:cs="Times New Roman"/>
        </w:rPr>
        <w:t xml:space="preserve"> </w:t>
      </w:r>
      <w:r>
        <w:rPr>
          <w:rFonts w:ascii="Ebrima" w:hAnsi="Ebrima" w:eastAsia="Ebrima" w:cs="Ebrima"/>
        </w:rPr>
        <w:t>ሠላሳኛው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ለአሥራ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 xml:space="preserve"> </w:t>
      </w:r>
      <w:r>
        <w:rPr>
          <w:rFonts w:ascii="Ebrima" w:hAnsi="Ebrima" w:eastAsia="Ebrima" w:cs="Ebrima"/>
        </w:rPr>
        <w:t>ከቆየው</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በመቅደሱ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ቀሪዎቹን</w:t>
      </w:r>
      <w:r>
        <w:rPr>
          <w:rFonts w:ascii="Times New Roman" w:hAnsi="Times New Roman" w:eastAsia="Times New Roman" w:cs="Times New Roman"/>
        </w:rPr>
        <w:t xml:space="preserve"> </w:t>
      </w:r>
      <w:r>
        <w:rPr>
          <w:rFonts w:ascii="Ebrima" w:hAnsi="Ebrima" w:eastAsia="Ebrima" w:cs="Ebrima"/>
        </w:rPr>
        <w:t>የሚያነጻና</w:t>
      </w:r>
      <w:r>
        <w:rPr>
          <w:rFonts w:ascii="Times New Roman" w:hAnsi="Times New Roman" w:eastAsia="Times New Roman" w:cs="Times New Roman"/>
        </w:rPr>
        <w:t xml:space="preserve"> </w:t>
      </w:r>
      <w:r>
        <w:rPr>
          <w:rFonts w:ascii="Ebrima" w:hAnsi="Ebrima" w:eastAsia="Ebrima" w:cs="Ebrima"/>
        </w:rPr>
        <w:t>የሚያጠራው</w:t>
      </w:r>
      <w:r>
        <w:rPr>
          <w:rFonts w:ascii="Times New Roman" w:hAnsi="Times New Roman" w:eastAsia="Times New Roman" w:cs="Times New Roman"/>
        </w:rPr>
        <w:t xml:space="preserve"> </w:t>
      </w:r>
      <w:r>
        <w:rPr>
          <w:rFonts w:ascii="Ebrima" w:hAnsi="Ebrima" w:eastAsia="Ebrima" w:cs="Ebrima"/>
        </w:rPr>
        <w:t>ከመጨረሻዎቹ</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መካከለኛው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በቄሳርያ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(Panium)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በሦስት</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መካከለኛው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Panium (Caesarea-Philippi)</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የመለወጥ</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መስቀሉ</w:t>
      </w:r>
      <w:r>
        <w:rPr>
          <w:rFonts w:ascii="Times New Roman" w:hAnsi="Times New Roman" w:eastAsia="Times New Roman" w:cs="Times New Roman"/>
        </w:rPr>
        <w:t xml:space="preserve"> </w:t>
      </w:r>
      <w:r>
        <w:rPr>
          <w:rFonts w:ascii="Ebrima" w:hAnsi="Ebrima" w:eastAsia="Ebrima" w:cs="Ebrima"/>
        </w:rPr>
        <w:t>በሚወክሉት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خداوند در سال ۵۹۲ پیش از میلاد، حزقیال را به‌گونه‌ای مافوق‌طبیعی «گُنگ» ساخت، و او تنها هنگامی سخن می‌گفت که خدا دهانش را می‌گشود. این حالت تا زمان سقوط اورشلیم در سال ۵۸۵/۶ پیش از میلاد ادامه یافت. خدا او را واداشته بود که در آغاز محاصره سخن بگوید، در همان روزی که «مطلوبِ» «چشمان» او درگذشت؛ اما به او اجازه داده نشد که آزادانه سخن بگوید تا زمانی که اورشلیم، «مطلوبِ» «چشمان» اسرائیل، سقوط کرده بود. سقوط اورشلیم نمایانگر قانون یکشنبه‌ای است که به‌زودی خواهد آمد، و در همان‌جا پدر یحییِ تعمیددهنده، کاهنی از فرقهٔ هشتم، که هنگام خدمت در هیکل گُنگ شد ــ همان‌جایی که حزقیال نیز (در رؤیا) در آنجا بود ــ او نیز برای حدود نه ماه گُنگ گردانیده شد. در روز هشتم پس از تولد یحیی، هنگامی که یحیی را ختنه می‌کردند، به او اجازه داده شد که سخن بگوید. دو نبی که در حین حضور در قدس گُنگ شدند. سومین نبی‌ای که هنگام مشاهدهٔ مسیح در قدس گُنگ شد، دانیال بود. در باب دهم، دانیال در قدس است، و درست هنگامی که برای دومین بار از سه بار لمس می‌شود، گُنگ می‌گردد. در نقطهٔ میانی، دانیال گُنگ می‌شود.</w:t>
      </w:r>
    </w:p>
    <w:p>
      <w:pPr>
        <w:pStyle w:val="ArticleScripture"/>
        <w:jc w:val="left"/>
      </w:pPr>
      <w:r>
        <w:rPr>
          <w:rFonts w:ascii="Times New Roman" w:hAnsi="Times New Roman" w:eastAsia="Times New Roman" w:cs="Times New Roman"/>
        </w:rPr>
        <w:t>Y cuando me hubo hablado tales palabras, volví mi rostro hacia tierra, y enmudecí. Y he aquí, uno con semejanza de hijo de hombre tocó mis labios; entonces abrí mi boca y hablé, y dije al que estaba delante de mí: ¡Oh, señor mío!, a causa de la visión me han sobrevenido dolores, y no me ha quedado fuerza alguna. Daniel 10:15, 16.</w:t>
      </w:r>
    </w:p>
    <w:p>
      <w:pPr>
        <w:pStyle w:val="ArticleHeading"/>
        <w:jc w:val="left"/>
      </w:pPr>
      <w:r>
        <w:rPr>
          <w:rFonts w:ascii="Arial" w:hAnsi="Arial" w:eastAsia="Arial" w:cs="Arial"/>
        </w:rPr>
        <w:t>ایرلەنгән</w:t>
      </w:r>
    </w:p>
    <w:p>
      <w:pPr>
        <w:pStyle w:val="ArticleBody"/>
        <w:jc w:val="left"/>
      </w:pPr>
      <w:r>
        <w:rPr>
          <w:rFonts w:ascii="Times New Roman" w:hAnsi="Times New Roman" w:eastAsia="Times New Roman" w:cs="Times New Roman"/>
        </w:rPr>
        <w:t>«Сөйлеу» рәмізі жуық арада келетін жексенбілік заң кезінде айқын көрінеді: Америка Құрама Штаттары айдаһарша сөйлейді, Балағамның есегі сөйлейді, Хабаққұқтың аяны сөйлейді және өтірік айтпайды. Киелі орында тілсіз етілген үш мылқау пайғамбар Иерусалимнің қирауы кезінде сөйлейді. Захарияға келсек, ол ұлының жаңа есімінің дұрыс екенін растау үшін сөйлейді; осылайша жаңа есім берілетін филадельфиялықтарды бейнелейді.</w:t>
      </w:r>
    </w:p>
    <w:p>
      <w:pPr>
        <w:pStyle w:val="ArticleScripture"/>
        <w:jc w:val="left"/>
      </w:pPr>
      <w:r>
        <w:rPr>
          <w:rFonts w:ascii="Times New Roman" w:hAnsi="Times New Roman" w:eastAsia="Times New Roman" w:cs="Times New Roman"/>
        </w:rPr>
        <w:t>Побеждающего сделаю столпом в храме Бога Моего, и он уже не выйдет вон; и напишу на нём имя Бога Моего и имя града Бога Моего, нового Иерусалима, нисходящего с неба от Бога Моего; и напишу на нём имя Моё новое. Откровение 3:12.</w:t>
      </w:r>
    </w:p>
    <w:p>
      <w:pPr>
        <w:pStyle w:val="ArticleBody"/>
        <w:jc w:val="left"/>
      </w:pPr>
      <w:r>
        <w:rPr>
          <w:rFonts w:ascii="Times New Roman" w:hAnsi="Times New Roman" w:eastAsia="Times New Roman" w:cs="Times New Roman"/>
        </w:rPr>
        <w:t>Zakariah alipewa kibao ili aandike jina jipya la ukoo la Yohane.</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ਖਤਨਾ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ਜ਼ਖਰਿਆਹ</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ਕੁਟੰਬ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ਬੁਲਾਇਆ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ਤਖਤੀ</w:t>
      </w:r>
      <w:r>
        <w:rPr>
          <w:rFonts w:ascii="Times New Roman" w:hAnsi="Times New Roman" w:eastAsia="Times New Roman" w:cs="Times New Roman"/>
        </w:rPr>
        <w:t xml:space="preserve"> </w:t>
      </w:r>
      <w:r>
        <w:rPr>
          <w:rFonts w:ascii="Nirmala UI" w:hAnsi="Nirmala UI" w:eastAsia="Nirmala UI" w:cs="Nirmala UI"/>
        </w:rPr>
        <w:t>ਮੰਗੀ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ਖੁੱਲ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ਜੀਭ</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1:59–64.</w:t>
      </w:r>
    </w:p>
    <w:p>
      <w:pPr>
        <w:pStyle w:val="ArticleBody"/>
        <w:jc w:val="left"/>
      </w:pPr>
      <w:r>
        <w:rPr>
          <w:rFonts w:ascii="Times New Roman" w:hAnsi="Times New Roman" w:eastAsia="Times New Roman" w:cs="Times New Roman"/>
        </w:rPr>
        <w:t>ئەو ناوە نوێیەی یۆحەنا لەگەڵ کڵێسای فیلادلفیا یەک دەگرێتەوە، و ناوی زەکریا لەگەڵ لاودیکیا یەک دەگرێتەوە، وەک لە بێباوەڕیی زەکریادا بە پەیامی مەلەکی سێیەم نیشان دەدرێت. هەموو پێغەمبەران سەبارەت بە ڕۆژانی دوایین دەدوێن، و ڕۆژانی دوایین مێژووی مەلەکی سێیەمە. بۆیە ئەو مەلەکەی کە پەیامەکەی هێنا، دەبێت مەلەکی سێیەم بێت. زەکریا ڕازی نەبوو لەوە تێبگات کە یەزدان لە کڵێسای ئەدفەنتیستی حەوت ڕۆژی لاودیکیادا تێدەپەڕێت. هێشتا شتێکی زیاتر هەیە بۆ گوتن دەربارەی گەڕاندنەوەی دەنگ لەم پێغەمبەرانەدا، بەڵام ئێمە بەردەوام دەبین لە جوڵان بەرەو و تێگەیشتنێک لە هێڵی پێغەمبەری یۆشیا.</w:t>
      </w:r>
    </w:p>
    <w:p>
      <w:pPr>
        <w:pStyle w:val="ArticleHeading"/>
        <w:jc w:val="left"/>
      </w:pPr>
      <w:r>
        <w:rPr>
          <w:rFonts w:ascii="Arial" w:hAnsi="Arial" w:eastAsia="Arial" w:cs="Arial"/>
        </w:rPr>
        <w:t>ژۆسیاسنىڭ چاقى</w:t>
      </w:r>
    </w:p>
    <w:p>
      <w:pPr>
        <w:pStyle w:val="ArticleBody"/>
        <w:jc w:val="left"/>
      </w:pPr>
      <w:r>
        <w:rPr>
          <w:rFonts w:ascii="Times New Roman" w:hAnsi="Times New Roman" w:eastAsia="Times New Roman" w:cs="Times New Roman"/>
        </w:rPr>
        <w:t>Íkùyáa ndà bàtídhá éí mèhé òbéé kọ̀ọ́kéédhò àrìíshí ne bìíshé ní Josiah’s Passover í 622 BC, shé ílà Josiah náà kàshí títí bẹẹ̀ kí 622 BC. Ìṣọ̀tẹ̀ Israel tí mú Saul wá sórí ìtẹ́ gẹ́gẹ́ bí ọba àkọ́kọ́ Israel samí àádzìí mèhé pégùú tí ọba Saul yáá shìí, lẹ́yìn náà àádzìí mèhé pégùú tí ọba David yáá shìí, lẹ́yìn náà àádzìí mèhé pégùú tí Solomon yáá shìí. Ìkọ̀sílẹ̀ Ọlọ́run tí bẹẹ̀ bínú sí wòlíì Samuel ṣẹlẹ̀ ní 1097 BC, ó sì bẹ̀rẹ̀ ílà àsọtẹ́lẹ̀ ti ìṣọ̀tẹ̀ kan tí parí ní agbelebu nígbà tí àwọn Júù kéde pé, àwọn kò ní ọba kankan bí kò ṣe Caesar.</w:t>
      </w:r>
    </w:p>
    <w:p>
      <w:pPr>
        <w:pStyle w:val="ArticleScripture"/>
        <w:jc w:val="left"/>
      </w:pPr>
      <w:r>
        <w:rPr>
          <w:rFonts w:ascii="Times New Roman" w:hAnsi="Times New Roman" w:eastAsia="Times New Roman" w:cs="Times New Roman"/>
        </w:rPr>
        <w:t>لەکدا هاواریان کردەوە: لێی بەرن، لێی بەرن، بە خاچ بدەن. پیلاتس پێیان دەڵێت: «ئایا پاشاکەتان بە خاچ بدەم؟» سەرۆک کاهینان وەڵامیان دایەوە: «ئێمە هیچ پاشایەکمان نییە جگە لە قەیسەر.» یۆحەنا 19:15.</w:t>
      </w:r>
    </w:p>
    <w:p>
      <w:pPr>
        <w:pStyle w:val="ArticleBody"/>
        <w:jc w:val="left"/>
      </w:pPr>
      <w:r>
        <w:rPr>
          <w:rFonts w:ascii="Times New Roman" w:hAnsi="Times New Roman" w:eastAsia="Times New Roman" w:cs="Times New Roman"/>
        </w:rPr>
        <w:t>1097-</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তিনজন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রাজত্ব</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977 BC-</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সলোমনের</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রাজ্যটি</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বিভক্ত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যায়।</w:t>
      </w:r>
    </w:p>
    <w:p>
      <w:pPr>
        <w:pStyle w:val="ArticleScripture"/>
        <w:jc w:val="left"/>
      </w:pPr>
      <w:r>
        <w:rPr>
          <w:rFonts w:ascii="Times New Roman" w:hAnsi="Times New Roman" w:eastAsia="Times New Roman" w:cs="Times New Roman"/>
        </w:rPr>
        <w:t>Y después desearon un rey; y Dios les dio a Saúl hijo de Cis, varón de la tribu de Benjamín, por espacio de cuarenta años. Hechos 13:21.</w:t>
      </w:r>
    </w:p>
    <w:p>
      <w:pPr>
        <w:pStyle w:val="ArticleScripture"/>
        <w:jc w:val="left"/>
      </w:pPr>
      <w:r>
        <w:rPr>
          <w:rFonts w:ascii="Times New Roman" w:hAnsi="Times New Roman" w:eastAsia="Times New Roman" w:cs="Times New Roman"/>
        </w:rPr>
        <w:t>دەوید کاتێک دەستی بە پاشایەتی کرد سی ساڵە بوو، و چل ساڵ پاشایەتی کرد. لە حەبرۆن حەوت ساڵ و شەش مانگ بەسەر یەهودا پاشایەتی کرد؛ و لە ئۆرشەلیم سی و سێ ساڵ بەسەر هەموو ئیسرائیل و یەهودا پاشایەتی کرد. ٢ ساموئێل 2:4, 5.</w:t>
      </w:r>
    </w:p>
    <w:p>
      <w:pPr>
        <w:pStyle w:val="ArticleBody"/>
        <w:jc w:val="left"/>
      </w:pPr>
      <w:r>
        <w:rPr>
          <w:rFonts w:ascii="Times New Roman" w:hAnsi="Times New Roman" w:eastAsia="Times New Roman" w:cs="Times New Roman"/>
        </w:rPr>
        <w:t>Mburu wa Solomon yatandikire mu 1017 BC; umusingi wa Hekalu washyirweho mu mwaka wa kane wa Solomon (1013 BC). Iyubakwa ryamaze imyaka irindwi (1 Abami 6:37–38), kandi Hekalu yarangijwe mu kwezi kwa munani k’umwaka wa cumi na rimwe wa Solomon. Uweguriro bwemewe ku mugaragaro bwabereye mu kwezi kwa karindwi (ukwezi kwa Ethanim), mu minsi mikuru y’Ingando (1 Abami 8; 2 Ngoma 5–7), mu 1006 BC. Abami, Hekalu, n’igihugu, buri kimwe, bigaragazwa mu mateka n’igihe cy’imyaka magana ane na mirongo cyenda, kigaragaza mu buryo bugaragara igihe cy’ubuhanuzi gifitanye isano by’umwihariko n’abami, Hekalu, cyangwa igihugu.</w:t>
      </w:r>
    </w:p>
    <w:p>
      <w:pPr>
        <w:pStyle w:val="ArticleBody"/>
        <w:jc w:val="left"/>
      </w:pPr>
      <w:r>
        <w:rPr>
          <w:rFonts w:ascii="Nirmala UI" w:hAnsi="Nirmala UI" w:eastAsia="Nirmala UI" w:cs="Nirmala UI"/>
        </w:rPr>
        <w:t>दानीएललाई</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बनाइयो</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कालगणना</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बहुमतले</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605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साक्षीसँग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1097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अभिलाषादेखि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घटनाहरूको</w:t>
      </w:r>
      <w:r>
        <w:rPr>
          <w:rFonts w:ascii="Times New Roman" w:hAnsi="Times New Roman" w:eastAsia="Times New Roman" w:cs="Times New Roman"/>
        </w:rPr>
        <w:t xml:space="preserve"> </w:t>
      </w:r>
      <w:r>
        <w:rPr>
          <w:rFonts w:ascii="Nirmala UI" w:hAnsi="Nirmala UI" w:eastAsia="Nirmala UI" w:cs="Nirmala UI"/>
        </w:rPr>
        <w:t>प्रतीकात्मकताले</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साक्षीहरूमाथि</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607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605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607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प्रतिरूपहरूमध्ये</w:t>
      </w:r>
      <w:r>
        <w:rPr>
          <w:rFonts w:ascii="Times New Roman" w:hAnsi="Times New Roman" w:eastAsia="Times New Roman" w:cs="Times New Roman"/>
        </w:rPr>
        <w:t xml:space="preserve"> </w:t>
      </w:r>
      <w:r>
        <w:rPr>
          <w:rFonts w:ascii="Nirmala UI" w:hAnsi="Nirmala UI" w:eastAsia="Nirmala UI" w:cs="Nirmala UI"/>
        </w:rPr>
        <w:t>एकको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607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677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मनश्शेको</w:t>
      </w:r>
      <w:r>
        <w:rPr>
          <w:rFonts w:ascii="Times New Roman" w:hAnsi="Times New Roman" w:eastAsia="Times New Roman" w:cs="Times New Roman"/>
        </w:rPr>
        <w:t xml:space="preserve"> </w:t>
      </w:r>
      <w:r>
        <w:rPr>
          <w:rFonts w:ascii="Nirmala UI" w:hAnsi="Nirmala UI" w:eastAsia="Nirmala UI" w:cs="Nirmala UI"/>
        </w:rPr>
        <w:t>बन्दीगृहबाट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गणितीय</w:t>
      </w:r>
      <w:r>
        <w:rPr>
          <w:rFonts w:ascii="Times New Roman" w:hAnsi="Times New Roman" w:eastAsia="Times New Roman" w:cs="Times New Roman"/>
        </w:rPr>
        <w:t xml:space="preserve"> </w:t>
      </w:r>
      <w:r>
        <w:rPr>
          <w:rFonts w:ascii="Nirmala UI" w:hAnsi="Nirmala UI" w:eastAsia="Nirmala UI" w:cs="Nirmala UI"/>
        </w:rPr>
        <w:t>संरचनाले</w:t>
      </w:r>
      <w:r>
        <w:rPr>
          <w:rFonts w:ascii="Times New Roman" w:hAnsi="Times New Roman" w:eastAsia="Times New Roman" w:cs="Times New Roman"/>
        </w:rPr>
        <w:t xml:space="preserve">, </w:t>
      </w:r>
      <w:r>
        <w:rPr>
          <w:rFonts w:ascii="Nirmala UI" w:hAnsi="Nirmala UI" w:eastAsia="Nirmala UI" w:cs="Nirmala UI"/>
        </w:rPr>
        <w:t>दानीएललाई</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बनाइयो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धारणाको</w:t>
      </w:r>
      <w:r>
        <w:rPr>
          <w:rFonts w:ascii="Times New Roman" w:hAnsi="Times New Roman" w:eastAsia="Times New Roman" w:cs="Times New Roman"/>
        </w:rPr>
        <w:t xml:space="preserve"> </w:t>
      </w:r>
      <w:r>
        <w:rPr>
          <w:rFonts w:ascii="Nirmala UI" w:hAnsi="Nirmala UI" w:eastAsia="Nirmala UI" w:cs="Nirmala UI"/>
        </w:rPr>
        <w:t>बावजुद</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607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दिन्छ।</w:t>
      </w:r>
    </w:p>
    <w:p>
      <w:pPr>
        <w:pStyle w:val="ArticleBody"/>
        <w:jc w:val="left"/>
      </w:pPr>
      <w:r>
        <w:rPr>
          <w:rFonts w:ascii="Nirmala UI" w:hAnsi="Nirmala UI" w:eastAsia="Nirmala UI" w:cs="Nirmala UI"/>
        </w:rPr>
        <w:t>१०९७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पूर्वदेखि</w:t>
      </w:r>
      <w:r>
        <w:rPr>
          <w:rFonts w:ascii="Times New Roman" w:hAnsi="Times New Roman" w:eastAsia="Times New Roman" w:cs="Times New Roman"/>
        </w:rPr>
        <w:t xml:space="preserve"> </w:t>
      </w:r>
      <w:r>
        <w:rPr>
          <w:rFonts w:ascii="Nirmala UI" w:hAnsi="Nirmala UI" w:eastAsia="Nirmala UI" w:cs="Nirmala UI"/>
        </w:rPr>
        <w:t>६०७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पूर्वसम्मका</w:t>
      </w:r>
      <w:r>
        <w:rPr>
          <w:rFonts w:ascii="Times New Roman" w:hAnsi="Times New Roman" w:eastAsia="Times New Roman" w:cs="Times New Roman"/>
        </w:rPr>
        <w:t xml:space="preserve"> </w:t>
      </w:r>
      <w:r>
        <w:rPr>
          <w:rFonts w:ascii="Nirmala UI" w:hAnsi="Nirmala UI" w:eastAsia="Nirmala UI" w:cs="Nirmala UI"/>
        </w:rPr>
        <w:t>राजाहरूँग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४९०</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समेटिएको</w:t>
      </w:r>
      <w:r>
        <w:rPr>
          <w:rFonts w:ascii="Times New Roman" w:hAnsi="Times New Roman" w:eastAsia="Times New Roman" w:cs="Times New Roman"/>
        </w:rPr>
        <w:t xml:space="preserve"> </w:t>
      </w:r>
      <w:r>
        <w:rPr>
          <w:rFonts w:ascii="Nirmala UI" w:hAnsi="Nirmala UI" w:eastAsia="Nirmala UI" w:cs="Nirmala UI"/>
        </w:rPr>
        <w:t>रेखाभित्र</w:t>
      </w:r>
      <w:r>
        <w:rPr>
          <w:rFonts w:ascii="Times New Roman" w:hAnsi="Times New Roman" w:eastAsia="Times New Roman" w:cs="Times New Roman"/>
        </w:rPr>
        <w:t xml:space="preserve">, </w:t>
      </w:r>
      <w:r>
        <w:rPr>
          <w:rFonts w:ascii="Nirmala UI" w:hAnsi="Nirmala UI" w:eastAsia="Nirmala UI" w:cs="Nirmala UI"/>
        </w:rPr>
        <w:t>सुलेमानको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समर्पणदेखि</w:t>
      </w:r>
      <w:r>
        <w:rPr>
          <w:rFonts w:ascii="Times New Roman" w:hAnsi="Times New Roman" w:eastAsia="Times New Roman" w:cs="Times New Roman"/>
        </w:rPr>
        <w:t xml:space="preserve"> </w:t>
      </w:r>
      <w:r>
        <w:rPr>
          <w:rFonts w:ascii="Nirmala UI" w:hAnsi="Nirmala UI" w:eastAsia="Nirmala UI" w:cs="Nirmala UI"/>
        </w:rPr>
        <w:t>निर्वासनपछिको</w:t>
      </w:r>
      <w:r>
        <w:rPr>
          <w:rFonts w:ascii="Times New Roman" w:hAnsi="Times New Roman" w:eastAsia="Times New Roman" w:cs="Times New Roman"/>
        </w:rPr>
        <w:t xml:space="preserve"> </w:t>
      </w:r>
      <w:r>
        <w:rPr>
          <w:rFonts w:ascii="Nirmala UI" w:hAnsi="Nirmala UI" w:eastAsia="Nirmala UI" w:cs="Nirmala UI"/>
        </w:rPr>
        <w:t>मन्दिरलाई</w:t>
      </w:r>
      <w:r>
        <w:rPr>
          <w:rFonts w:ascii="Times New Roman" w:hAnsi="Times New Roman" w:eastAsia="Times New Roman" w:cs="Times New Roman"/>
        </w:rPr>
        <w:t xml:space="preserve"> </w:t>
      </w:r>
      <w:r>
        <w:rPr>
          <w:rFonts w:ascii="Nirmala UI" w:hAnsi="Nirmala UI" w:eastAsia="Nirmala UI" w:cs="Nirmala UI"/>
        </w:rPr>
        <w:t>जरुब्बाबेलद्वारा</w:t>
      </w:r>
      <w:r>
        <w:rPr>
          <w:rFonts w:ascii="Times New Roman" w:hAnsi="Times New Roman" w:eastAsia="Times New Roman" w:cs="Times New Roman"/>
        </w:rPr>
        <w:t xml:space="preserve"> </w:t>
      </w:r>
      <w:r>
        <w:rPr>
          <w:rFonts w:ascii="Nirmala UI" w:hAnsi="Nirmala UI" w:eastAsia="Nirmala UI" w:cs="Nirmala UI"/>
        </w:rPr>
        <w:t>५१६</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पूर्वमा</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समर्पणसम्म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४९०</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४९०</w:t>
      </w:r>
      <w:r>
        <w:rPr>
          <w:rFonts w:ascii="Times New Roman" w:hAnsi="Times New Roman" w:eastAsia="Times New Roman" w:cs="Times New Roman"/>
        </w:rPr>
        <w:t xml:space="preserve"> </w:t>
      </w:r>
      <w:r>
        <w:rPr>
          <w:rFonts w:ascii="Nirmala UI" w:hAnsi="Nirmala UI" w:eastAsia="Nirmala UI" w:cs="Nirmala UI"/>
        </w:rPr>
        <w:t>वर्षहरू</w:t>
      </w:r>
      <w:r>
        <w:rPr>
          <w:rFonts w:ascii="Times New Roman" w:hAnsi="Times New Roman" w:eastAsia="Times New Roman" w:cs="Times New Roman"/>
        </w:rPr>
        <w:t xml:space="preserve"> </w:t>
      </w:r>
      <w:r>
        <w:rPr>
          <w:rFonts w:ascii="Nirmala UI" w:hAnsi="Nirmala UI" w:eastAsia="Nirmala UI" w:cs="Nirmala UI"/>
        </w:rPr>
        <w:t>सुलेमानले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समर्पणदेखि</w:t>
      </w:r>
      <w:r>
        <w:rPr>
          <w:rFonts w:ascii="Times New Roman" w:hAnsi="Times New Roman" w:eastAsia="Times New Roman" w:cs="Times New Roman"/>
        </w:rPr>
        <w:t xml:space="preserve"> </w:t>
      </w:r>
      <w:r>
        <w:rPr>
          <w:rFonts w:ascii="Nirmala UI" w:hAnsi="Nirmala UI" w:eastAsia="Nirmala UI" w:cs="Nirmala UI"/>
        </w:rPr>
        <w:t>४२०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बन्दीवासको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७०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जोडिँदा</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४९०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आर्टक्षत्रको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५९</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४५७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w:t>
      </w:r>
      <w:r>
        <w:rPr>
          <w:rFonts w:ascii="Nirmala UI" w:hAnsi="Nirmala UI" w:eastAsia="Nirmala UI" w:cs="Nirmala UI"/>
        </w:rPr>
        <w:t>छाटिएको</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२४</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४९०</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स्तिफनसलाई</w:t>
      </w:r>
      <w:r>
        <w:rPr>
          <w:rFonts w:ascii="Times New Roman" w:hAnsi="Times New Roman" w:eastAsia="Times New Roman" w:cs="Times New Roman"/>
        </w:rPr>
        <w:t xml:space="preserve"> </w:t>
      </w:r>
      <w:r>
        <w:rPr>
          <w:rFonts w:ascii="Nirmala UI" w:hAnsi="Nirmala UI" w:eastAsia="Nirmala UI" w:cs="Nirmala UI"/>
        </w:rPr>
        <w:t>ढुङ्गाले</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मारिएको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३४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निस्सन्देह</w:t>
      </w:r>
      <w:r>
        <w:rPr>
          <w:rFonts w:ascii="Times New Roman" w:hAnsi="Times New Roman" w:eastAsia="Times New Roman" w:cs="Times New Roman"/>
        </w:rPr>
        <w:t xml:space="preserve">, </w:t>
      </w:r>
      <w:r>
        <w:rPr>
          <w:rFonts w:ascii="Nirmala UI" w:hAnsi="Nirmala UI" w:eastAsia="Nirmala UI" w:cs="Nirmala UI"/>
        </w:rPr>
        <w:t>१०९७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पूर्वमा</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आत्मालाई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धर्मत्यागबाट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स्तिफनसले</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हाततिर</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उभिरहनुभएको</w:t>
      </w:r>
      <w:r>
        <w:rPr>
          <w:rFonts w:ascii="Times New Roman" w:hAnsi="Times New Roman" w:eastAsia="Times New Roman" w:cs="Times New Roman"/>
        </w:rPr>
        <w:t xml:space="preserve"> </w:t>
      </w:r>
      <w:r>
        <w:rPr>
          <w:rFonts w:ascii="Nirmala UI" w:hAnsi="Nirmala UI" w:eastAsia="Nirmala UI" w:cs="Nirmala UI"/>
        </w:rPr>
        <w:t>देख्दा</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रेखाभित्र</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कालक्रमिक</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साक्ष्यभित्र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योशियाहको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भेट्टाउँछौँ।</w:t>
      </w:r>
    </w:p>
    <w:p>
      <w:pPr>
        <w:pStyle w:val="ArticleBody"/>
        <w:jc w:val="left"/>
      </w:pPr>
      <w:r>
        <w:rPr>
          <w:rFonts w:ascii="Times New Roman" w:hAnsi="Times New Roman" w:eastAsia="Times New Roman" w:cs="Times New Roman"/>
        </w:rPr>
        <w:t>Айтамын: «негіздік діннен безу», өйткені тармақтың басталуы Исраилдің Құдайды Патша ретінде теріске қаққан сәтін айқындайды; олар дүниелік патшаға ие болуды қалады, сөйтіп Исраилдің адамдық патшалығының негізі қаланды. Мен мұны сондай-ақ Жосияның дөңгелегі үшін жазып отырмын, өйткені «Құдайдың негізі» дегенді білдіретін ол Құдай халқының әрі негізінің, әрі негіздік діннен безуінің нышаны болып табылады.</w:t>
      </w:r>
    </w:p>
    <w:p>
      <w:pPr>
        <w:pStyle w:val="ArticleBody"/>
        <w:jc w:val="left"/>
      </w:pPr>
      <w:r>
        <w:rPr>
          <w:rFonts w:ascii="Times New Roman" w:hAnsi="Times New Roman" w:eastAsia="Times New Roman" w:cs="Times New Roman"/>
        </w:rPr>
        <w:t>اے وقت سلیمان فوت ہو گیا اور بارہ قبیلے شمال اور جنوب میں تقسیم ہو گئے، یُرُبعام کی طرف سے عبادت کے جعلی نظام کی تقدیس پر نافرمان نبی نے ملامت کی، اور اُس کی ملامت میں یوسیاہ نامی آنے والے ایک بادشاہ کی نبوت شامل تھی۔ یُرُبعام اور شمال کے دس قبیلوں کی بنیادی ارتداد کے وقت، یوسیاہ اور اُس کی اُس بیداری کی نبوت، جسے 622 قبل مسیح کی عظیم فسح سے نشان زد کیا گیا، پہلے سے بیان کر دی گئی تھی۔ یہ بیداری موسیٰ کی تحریروں کی دریافت اور خدا کے لوگوں پر اُن کی مسلسل ارتداد کے سبب عدالت کے اعلان کے ذریعے برپا ہوئی۔ جب موسیٰ کی تحریروں کے الفاظ بادشاہ یوسیاہ کو پڑھ کر سنائے گئے تو اُس سے عہدِ عتیق کی تاریخ کی سب سے بڑی بیداری پیدا ہوئی۔ مستقبل میں یوسیاہ نامی ایک فرزند کی ولادت کی نبوت میں وہ نبوی مذمت بھی شامل تھی جو نافرمان نبی نے بادشاہ یُرُبعام کے خلاف اُس بنیادی ارتداد پر کی تھی۔</w:t>
      </w:r>
    </w:p>
    <w:p>
      <w:pPr>
        <w:pStyle w:val="ArticleBody"/>
        <w:jc w:val="left"/>
      </w:pPr>
      <w:r>
        <w:rPr>
          <w:rFonts w:ascii="Ebrima" w:hAnsi="Ebrima" w:eastAsia="Ebrima" w:cs="Ebrima"/>
        </w:rPr>
        <w:t>ርግማን</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እንደሚጠራው፣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የዘሌዋውያን</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የአድቬንቲዝም</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የዊልያም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ግኝት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በነሐሴ</w:t>
      </w:r>
      <w:r>
        <w:rPr>
          <w:rFonts w:ascii="Times New Roman" w:hAnsi="Times New Roman" w:eastAsia="Times New Roman" w:cs="Times New Roman"/>
        </w:rPr>
        <w:t xml:space="preserve"> 11, 1840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1838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ኢዮስያስ</w:t>
      </w:r>
      <w:r>
        <w:rPr>
          <w:rFonts w:ascii="Times New Roman" w:hAnsi="Times New Roman" w:eastAsia="Times New Roman" w:cs="Times New Roman"/>
        </w:rPr>
        <w:t xml:space="preserve">” </w:t>
      </w:r>
      <w:r>
        <w:rPr>
          <w:rFonts w:ascii="Ebrima" w:hAnsi="Ebrima" w:eastAsia="Ebrima" w:cs="Ebrima"/>
        </w:rPr>
        <w:t>ሊች</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መሠረቶች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ጎን</w:t>
      </w:r>
      <w:r>
        <w:rPr>
          <w:rFonts w:ascii="Times New Roman" w:hAnsi="Times New Roman" w:eastAsia="Times New Roman" w:cs="Times New Roman"/>
        </w:rPr>
        <w:t xml:space="preserve"> </w:t>
      </w:r>
      <w:r>
        <w:rPr>
          <w:rFonts w:ascii="Ebrima" w:hAnsi="Ebrima" w:eastAsia="Ebrima" w:cs="Ebrima"/>
        </w:rPr>
        <w:t>ተደረጉ፣</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የፊላዴልፊያውያን</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የላኦዲቅያዊ</w:t>
      </w:r>
      <w:r>
        <w:rPr>
          <w:rFonts w:ascii="Times New Roman" w:hAnsi="Times New Roman" w:eastAsia="Times New Roman" w:cs="Times New Roman"/>
        </w:rPr>
        <w:t xml:space="preserve"> </w:t>
      </w:r>
      <w:r>
        <w:rPr>
          <w:rFonts w:ascii="Ebrima" w:hAnsi="Ebrima" w:eastAsia="Ebrima" w:cs="Ebrima"/>
        </w:rPr>
        <w:t>ሚለራዊነት</w:t>
      </w:r>
      <w:r>
        <w:rPr>
          <w:rFonts w:ascii="Times New Roman" w:hAnsi="Times New Roman" w:eastAsia="Times New Roman" w:cs="Times New Roman"/>
        </w:rPr>
        <w:t xml:space="preserve"> </w:t>
      </w:r>
      <w:r>
        <w:rPr>
          <w:rFonts w:ascii="Ebrima" w:hAnsi="Ebrima" w:eastAsia="Ebrima" w:cs="Ebrima"/>
        </w:rPr>
        <w:t>በመሠረቶቹ</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ያነሳው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የመጀመሪያውና</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ኢዮስያስ</w:t>
      </w:r>
      <w:r>
        <w:rPr>
          <w:rFonts w:ascii="Times New Roman" w:hAnsi="Times New Roman" w:eastAsia="Times New Roman" w:cs="Times New Roman"/>
        </w:rPr>
        <w:t xml:space="preserve">” </w:t>
      </w:r>
      <w:r>
        <w:rPr>
          <w:rFonts w:ascii="Ebrima" w:hAnsi="Ebrima" w:eastAsia="Ebrima" w:cs="Ebrima"/>
        </w:rPr>
        <w:t>የተባለውን</w:t>
      </w:r>
      <w:r>
        <w:rPr>
          <w:rFonts w:ascii="Times New Roman" w:hAnsi="Times New Roman" w:eastAsia="Times New Roman" w:cs="Times New Roman"/>
        </w:rPr>
        <w:t xml:space="preserve"> </w:t>
      </w:r>
      <w:r>
        <w:rPr>
          <w:rFonts w:ascii="Ebrima" w:hAnsi="Ebrima" w:eastAsia="Ebrima" w:cs="Ebrima"/>
        </w:rPr>
        <w:t>ምልክታዊነት</w:t>
      </w:r>
      <w:r>
        <w:rPr>
          <w:rFonts w:ascii="Times New Roman" w:hAnsi="Times New Roman" w:eastAsia="Times New Roman" w:cs="Times New Roman"/>
        </w:rPr>
        <w:t xml:space="preserve"> </w:t>
      </w:r>
      <w:r>
        <w:rPr>
          <w:rFonts w:ascii="Ebrima" w:hAnsi="Ebrima" w:eastAsia="Ebrima" w:cs="Ebrima"/>
        </w:rPr>
        <w:t>ይዟል፣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ፊደሉ</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ይደገማል።</w:t>
      </w:r>
      <w:r>
        <w:rPr>
          <w:rFonts w:ascii="Times New Roman" w:hAnsi="Times New Roman" w:eastAsia="Times New Roman" w:cs="Times New Roman"/>
        </w:rPr>
        <w:t xml:space="preserve"> </w:t>
      </w:r>
      <w:r>
        <w:rPr>
          <w:rFonts w:ascii="Ebrima" w:hAnsi="Ebrima" w:eastAsia="Ebrima" w:cs="Ebrima"/>
        </w:rPr>
        <w:t>የኢዮስያስ</w:t>
      </w:r>
      <w:r>
        <w:rPr>
          <w:rFonts w:ascii="Times New Roman" w:hAnsi="Times New Roman" w:eastAsia="Times New Roman" w:cs="Times New Roman"/>
        </w:rPr>
        <w:t xml:space="preserve"> </w:t>
      </w:r>
      <w:r>
        <w:rPr>
          <w:rFonts w:ascii="Ebrima" w:hAnsi="Ebrima" w:eastAsia="Ebrima" w:cs="Ebrima"/>
        </w:rPr>
        <w:t>መንኰራኵር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ሳኦል</w:t>
      </w:r>
      <w:r>
        <w:rPr>
          <w:rFonts w:ascii="Times New Roman" w:hAnsi="Times New Roman" w:eastAsia="Times New Roman" w:cs="Times New Roman"/>
        </w:rPr>
        <w:t xml:space="preserve"> </w:t>
      </w:r>
      <w:r>
        <w:rPr>
          <w:rFonts w:ascii="Ebrima" w:hAnsi="Ebrima" w:eastAsia="Ebrima" w:cs="Ebrima"/>
        </w:rPr>
        <w:t>ጥንቆላ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ይደርሳል፣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የላኦዲቅያው</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መትፋት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ሁሉንም</w:t>
      </w:r>
      <w:r>
        <w:rPr>
          <w:rFonts w:ascii="Times New Roman" w:hAnsi="Times New Roman" w:eastAsia="Times New Roman" w:cs="Times New Roman"/>
        </w:rPr>
        <w:t xml:space="preserve"> </w:t>
      </w:r>
      <w:r>
        <w:rPr>
          <w:rFonts w:ascii="Ebrima" w:hAnsi="Ebrima" w:eastAsia="Ebrima" w:cs="Ebrima"/>
        </w:rPr>
        <w:t>ይዘልቃል።</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የኢዮስያስ</w:t>
      </w:r>
      <w:r>
        <w:rPr>
          <w:rFonts w:ascii="Times New Roman" w:hAnsi="Times New Roman" w:eastAsia="Times New Roman" w:cs="Times New Roman"/>
        </w:rPr>
        <w:t xml:space="preserve"> </w:t>
      </w:r>
      <w:r>
        <w:rPr>
          <w:rFonts w:ascii="Ebrima" w:hAnsi="Ebrima" w:eastAsia="Ebrima" w:cs="Ebrima"/>
        </w:rPr>
        <w:t>መንኰራኵር</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ጫፍ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በመፈታቱ</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Eyi elandelayo sizakuqhubeka ngazo ezi zinto.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ܬܫܥܝܬܐ ܟܣܝܬܐ ܕܦܣܘܩܐ ܐܪܒܥܝܢ — ܡܢܝܢܐ ܥܣܪܝܢ ܘܚܡܫܐ</dc:title>
  <dc:subject>Hesekiýel Altynjy San</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