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Hitori Yabishwe y’Icya Mirongo Ine — Umubare wa Makumyabiri na Gatandatu</w:t>
      </w:r>
    </w:p>
    <w:p>
      <w:pPr>
        <w:pStyle w:val="ArticleSubtitle"/>
        <w:jc w:val="left"/>
      </w:pPr>
      <w:r>
        <w:rPr>
          <w:rFonts w:ascii="Segoe UI" w:hAnsi="Segoe UI" w:eastAsia="Segoe UI" w:cs="Segoe UI"/>
        </w:rPr>
        <w:t>ئېزەكىيەل</w:t>
      </w:r>
      <w:r>
        <w:rPr>
          <w:rFonts w:ascii="Arial" w:hAnsi="Arial" w:eastAsia="Arial" w:cs="Arial"/>
        </w:rPr>
        <w:t xml:space="preserve"> </w:t>
      </w:r>
      <w:r>
        <w:rPr>
          <w:rFonts w:ascii="Segoe UI" w:hAnsi="Segoe UI" w:eastAsia="Segoe UI" w:cs="Segoe UI"/>
        </w:rPr>
        <w:t>يەتتىنچى</w:t>
      </w:r>
      <w:r>
        <w:rPr>
          <w:rFonts w:ascii="Arial" w:hAnsi="Arial" w:eastAsia="Arial" w:cs="Arial"/>
        </w:rPr>
        <w:t xml:space="preserve"> </w:t>
      </w:r>
      <w:r>
        <w:rPr>
          <w:rFonts w:ascii="Segoe UI" w:hAnsi="Segoe UI" w:eastAsia="Segoe UI" w:cs="Segoe UI"/>
        </w:rPr>
        <w:t>سانى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Nirmala UI" w:hAnsi="Nirmala UI" w:eastAsia="Nirmala UI" w:cs="Nirmala UI"/>
        </w:rPr>
        <w:t>वार्तात्मक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योशियाहको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अगमवाणीगत</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1097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पूर्वमा</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गरेदेखि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शाऊल</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1097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पूर्वदेखि</w:t>
      </w:r>
      <w:r>
        <w:rPr>
          <w:rFonts w:ascii="Times New Roman" w:hAnsi="Times New Roman" w:eastAsia="Times New Roman" w:cs="Times New Roman"/>
        </w:rPr>
        <w:t xml:space="preserve"> 977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पूर्वसम्म</w:t>
      </w:r>
      <w:r>
        <w:rPr>
          <w:rFonts w:ascii="Times New Roman" w:hAnsi="Times New Roman" w:eastAsia="Times New Roman" w:cs="Times New Roman"/>
        </w:rPr>
        <w:t xml:space="preserve">, </w:t>
      </w:r>
      <w:r>
        <w:rPr>
          <w:rFonts w:ascii="Nirmala UI" w:hAnsi="Nirmala UI" w:eastAsia="Nirmala UI" w:cs="Nirmala UI"/>
        </w:rPr>
        <w:t>प्रत्येकले</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सुलैमानको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कुलहरूको</w:t>
      </w:r>
      <w:r>
        <w:rPr>
          <w:rFonts w:ascii="Times New Roman" w:hAnsi="Times New Roman" w:eastAsia="Times New Roman" w:cs="Times New Roman"/>
        </w:rPr>
        <w:t xml:space="preserve"> </w:t>
      </w:r>
      <w:r>
        <w:rPr>
          <w:rFonts w:ascii="Nirmala UI" w:hAnsi="Nirmala UI" w:eastAsia="Nirmala UI" w:cs="Nirmala UI"/>
        </w:rPr>
        <w:t>विद्रोहले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राज्यहरूमा</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गर्छ।</w:t>
      </w:r>
    </w:p>
    <w:p>
      <w:pPr>
        <w:pStyle w:val="ArticleBody"/>
        <w:jc w:val="left"/>
      </w:pPr>
      <w:r>
        <w:rPr>
          <w:rFonts w:ascii="Times New Roman" w:hAnsi="Times New Roman" w:eastAsia="Times New Roman" w:cs="Times New Roman"/>
        </w:rPr>
        <w:t>Faarfannaa mootummoota duraa kun dhugaa baayʼeef mallattoo dha; garuu goobbee dhugaa isaan itti walqabatan keessaa tokko mootummoota Yihudaa saddan dhumaa—Yehooyaaqiim, Yehooyaakiin fi Zedeqiyaa dha; isaan immoo Qiiros, Daariyos fi Arxekserxes bakka buʼu. Qiiros, Daariyos fi Arxekserxes immoo labsii isaanii sadan kan bara Dhaloota Kiristoos dura 536 irraa hamma 457tti diriiran bakka buʼu; isaanis immoo ergamoota mulʼata Yohaannis boqonnaa kudha afur keessaa sadan kan akkaataa isaanii keessatti bara 1798, Eebila 19, 1844 fi Onkololeessa 22, 1844tti dhufan bakka buʼu. Seenaan dhufaatii ergamoota sadan Mulʼata boqonnaa kudha afur keessaa kun yeroo chaappessuu dhibba afurtamaa fi afur kuma keessatti qubee qubeen irra deebiʼamee mulʼata; kanaanis sarara raajii kan dibamuu Saaʼol akka mootichaattiin jalqabu yeroo waldaan injifattoon seera Dilbataa yeroo dhihoo dhufu sana keessatti dibamtu xumura isaa gaʼuu adda baasa. Sararri kunis goobbee Mootii Yoosiyaas of keessaa qaba; innis hamma fincila Yerobiʼaam kan Beetʼeelii fi Daan keessatti bara Dhaloota Kiristoos dura 977tti gaʼutti deebiʼa.</w:t>
      </w:r>
    </w:p>
    <w:p>
      <w:pPr>
        <w:pStyle w:val="ArticleHeading"/>
        <w:jc w:val="left"/>
      </w:pPr>
      <w:r>
        <w:rPr>
          <w:rFonts w:ascii="MV Boli" w:hAnsi="MV Boli" w:eastAsia="MV Boli" w:cs="MV Boli"/>
        </w:rPr>
        <w:t>ބާވީސް</w:t>
      </w:r>
    </w:p>
    <w:p>
      <w:pPr>
        <w:pStyle w:val="ArticleBody"/>
        <w:jc w:val="left"/>
      </w:pPr>
      <w:r>
        <w:rPr>
          <w:rFonts w:ascii="Times New Roman" w:hAnsi="Times New Roman" w:eastAsia="Times New Roman" w:cs="Times New Roman"/>
        </w:rPr>
        <w:t>Երոբովամը կրում է քսաներկուի խորհրդանիշը, որովհետև նա թագավորեց քսաներկու տարի, այդպիսով իր վկայությունը կապելով այն պատմության հետ, որը ներկայացված է քսաներկուով, ինչը խորհրդանիշ է Աստվածության և մարդկության միավորման, ինչպես դա պատկերված է Դանիելի marah տեսիլքում՝ քսաներկուերորդ օրը, և երկու հարյուր քսան թվով, որի տասանորդն է քսաներկուն։</w:t>
      </w:r>
    </w:p>
    <w:p>
      <w:pPr>
        <w:pStyle w:val="ArticleScripture"/>
        <w:jc w:val="left"/>
      </w:pPr>
      <w:r>
        <w:rPr>
          <w:rFonts w:ascii="Times New Roman" w:hAnsi="Times New Roman" w:eastAsia="Times New Roman" w:cs="Times New Roman"/>
        </w:rPr>
        <w:t>UJerobhowamu wabusa iminyaka engamashumi amabili nambili; walala nokhokho bakhe, uNadabi indodana yakhe wabusa esikhundleni sakhe. 1 AmaKhosi 14:20.</w:t>
      </w:r>
    </w:p>
    <w:p>
      <w:pPr>
        <w:pStyle w:val="ArticleBody"/>
        <w:jc w:val="left"/>
      </w:pPr>
      <w:r>
        <w:rPr>
          <w:rFonts w:ascii="Times New Roman" w:hAnsi="Times New Roman" w:eastAsia="Times New Roman" w:cs="Times New Roman"/>
        </w:rPr>
        <w:t>El «at-One-Ment», que representa la combinación de la Divinidad y la humanidad, es la obra de Cristo que comenzó el 22 de octubre, o el décimo mes (gregoriano); diez por veintidós equivale a doscientos veinte. Jeroboam estableció altares falsificados tanto en Bet-el como en Dan, y por lo tanto es un símbolo de la adoración falsificada del domingo en relación con la combinación de iglesia (Bet-el: que significa iglesia) y estado (Dan: que significa juicio).</w:t>
      </w:r>
    </w:p>
    <w:p>
      <w:pPr>
        <w:pStyle w:val="ArticleScripture"/>
        <w:jc w:val="left"/>
      </w:pPr>
      <w:r>
        <w:rPr>
          <w:rFonts w:ascii="Times New Roman" w:hAnsi="Times New Roman" w:eastAsia="Times New Roman" w:cs="Times New Roman"/>
        </w:rPr>
        <w:t>پاشان یَرُبعام شَکیم را در کوهِ افرایم بنا کرد و در آن ساکن شد؛ و از آنجا بیرون رفته، فَنوئیل را بنا نمود. و یَرُبعام در دلِ خود گفت: اکنون سلطنت به خاندانِ داوود بازخواهد گشت. اگر این قوم برای گذرانیدنِ قربانی‌ها به خانهٔ خداوند در اورشلیم بروند، آنگاه دلِ این قوم باز به سوی آقای خویش، یعنی رَحُبعام، پادشاهِ یهودا، برخواهد گشت، و مرا خواهند کشت و نزد رَحُبعام، پادشاهِ یهودا، بازخواهند گشت. پس پادشاه مشورت کرد و دو گوسالهٔ زرّین ساخت و به ایشان گفت: برآمدن به اورشلیم برای شما بسی دشوار است؛ اینک خدایانِ تو، ای اسرائیل، که تو را از سرزمینِ مصر بیرون آوردند. و یکی را در بیت‌ئیل نهاد و دیگری را در دان قرار داد. و این امر گناه گردید، زیرا قوم برای پرستش در برابر یکی از آنها، تا دان، می‌رفتند. و او خانه‌ای از مکان‌های بلند ساخت و از فروترینِ طبقاتِ قوم، که از پسرانِ لاوی نبودند، کاهنانی برگماشت. و یَرُبعام در ماهِ هشتم، در روزِ پانزدهمِ ماه، عیدی مقرر داشت، مانند عیدی که در یهودا بود، و بر مذبح قربانی گذرانید. همچنین در بیت‌ئیل چنین کرد، و برای گوساله‌هایی که ساخته بود قربانی گذرانید؛ و در بیت‌ئیل کاهنانِ مکان‌های بلندی را که ساخته بود مستقر ساخت. پس در روزِ پانزدهمِ ماهِ هشتم، یعنی در همان ماهی که از دلِ خود ابداع کرده بود، بر مذبحی که در بیت‌ئیل ساخته بود قربانی گذرانید؛ و برای بنی‌اسرائیل عیدی برپا داشت؛ و بر مذبح قربانی گذرانید و بخور سوزانید. اول پادشاهان 12:25–33.</w:t>
      </w:r>
    </w:p>
    <w:p>
      <w:pPr>
        <w:pStyle w:val="ArticleBody"/>
        <w:jc w:val="left"/>
      </w:pPr>
      <w:r>
        <w:rPr>
          <w:rFonts w:ascii="Times New Roman" w:hAnsi="Times New Roman" w:eastAsia="Times New Roman" w:cs="Times New Roman"/>
        </w:rPr>
        <w:t>نَعشین نِمِرِی بَکّی وُہُورِی تَشِیرِی دَ عَشْرَة شِمَالِی قَبَائِلِن تَمَل تَارِیخِندَ، اِسرائیلِن خُدَانِی پادشاه اولاراق رَدّ ائتمَسی اِلَه، هَمچِنین هارونون و قیزیل بُزاغین عِصیانِی اِلَه نُمُونَه‌لَندیریلمیش بئر عِصیان وار ایدی. هارونون عِصیانِی قَدیم اِسرائیلِن تَمَل تَارِیخِندَ ایدی، یَروُبعامِنکی اَیسَه عَشْرَة شِمَالِی قَبَائِلِن تَمَل تَارِیخِندَ ایدی. «سَطیر اوستونه سَطیر» قیاسینا گؤرَه، هارون، بئر باش کاهِن اولاراق، کِلیسانی تَمثیل ائدیر و یَروُبعام، پادشاه اولاراق، دَولَتی تَمثیل ائدیر. بو ائکی تَمَل عِصیان، اِسرائیل خَلقینِن اِنسانی بئر پادشاه آرزولاماقلا ائدیگی تَمَل عِصیانینی دا اؤزُونَه داخِل ائدَن بئر خَطّdır.</w:t>
      </w:r>
    </w:p>
    <w:p>
      <w:pPr>
        <w:pStyle w:val="ArticleHeading"/>
        <w:jc w:val="left"/>
      </w:pPr>
      <w:r>
        <w:rPr>
          <w:rFonts w:ascii="Arial" w:hAnsi="Arial" w:eastAsia="Arial" w:cs="Arial"/>
        </w:rPr>
        <w:t>490</w:t>
      </w:r>
    </w:p>
    <w:p>
      <w:pPr>
        <w:pStyle w:val="ArticleBody"/>
        <w:jc w:val="left"/>
      </w:pPr>
      <w:r>
        <w:rPr>
          <w:rFonts w:ascii="Nirmala UI" w:hAnsi="Nirmala UI" w:eastAsia="Nirmala UI" w:cs="Nirmala UI"/>
        </w:rPr>
        <w:t>उकम्याक़</w:t>
      </w:r>
      <w:r>
        <w:rPr>
          <w:rFonts w:ascii="Times New Roman" w:hAnsi="Times New Roman" w:eastAsia="Times New Roman" w:cs="Times New Roman"/>
        </w:rPr>
        <w:t xml:space="preserve"> </w:t>
      </w:r>
      <w:r>
        <w:rPr>
          <w:rFonts w:ascii="Nirmala UI" w:hAnsi="Nirmala UI" w:eastAsia="Nirmala UI" w:cs="Nirmala UI"/>
        </w:rPr>
        <w:t>एज़ीक़िएल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वरिकोरा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तारीख़े</w:t>
      </w:r>
      <w:r>
        <w:rPr>
          <w:rFonts w:ascii="Times New Roman" w:hAnsi="Times New Roman" w:eastAsia="Times New Roman" w:cs="Times New Roman"/>
        </w:rPr>
        <w:t xml:space="preserve"> </w:t>
      </w:r>
      <w:r>
        <w:rPr>
          <w:rFonts w:ascii="Nirmala UI" w:hAnsi="Nirmala UI" w:eastAsia="Nirmala UI" w:cs="Nirmala UI"/>
        </w:rPr>
        <w:t>रबा</w:t>
      </w:r>
      <w:r>
        <w:rPr>
          <w:rFonts w:ascii="Times New Roman" w:hAnsi="Times New Roman" w:eastAsia="Times New Roman" w:cs="Times New Roman"/>
        </w:rPr>
        <w:t xml:space="preserve"> </w:t>
      </w:r>
      <w:r>
        <w:rPr>
          <w:rFonts w:ascii="Nirmala UI" w:hAnsi="Nirmala UI" w:eastAsia="Nirmala UI" w:cs="Nirmala UI"/>
        </w:rPr>
        <w:t>चुवार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नव्वद</w:t>
      </w:r>
      <w:r>
        <w:rPr>
          <w:rFonts w:ascii="Times New Roman" w:hAnsi="Times New Roman" w:eastAsia="Times New Roman" w:cs="Times New Roman"/>
        </w:rPr>
        <w:t xml:space="preserve"> </w:t>
      </w:r>
      <w:r>
        <w:rPr>
          <w:rFonts w:ascii="Nirmala UI" w:hAnsi="Nirmala UI" w:eastAsia="Nirmala UI" w:cs="Nirmala UI"/>
        </w:rPr>
        <w:t>बरसरा</w:t>
      </w:r>
      <w:r>
        <w:rPr>
          <w:rFonts w:ascii="Times New Roman" w:hAnsi="Times New Roman" w:eastAsia="Times New Roman" w:cs="Times New Roman"/>
        </w:rPr>
        <w:t xml:space="preserve"> </w:t>
      </w:r>
      <w:r>
        <w:rPr>
          <w:rFonts w:ascii="Nirmala UI" w:hAnsi="Nirmala UI" w:eastAsia="Nirmala UI" w:cs="Nirmala UI"/>
        </w:rPr>
        <w:t>तिरिन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जुड़ेलो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तिरिन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बग़ावत</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शाऊल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बग़ावत</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यारोबआम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बग़ावत</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नबी</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तिरिन</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शाऊल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नबूवत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पहिचाणायो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यारोबआम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होतो।</w:t>
      </w:r>
    </w:p>
    <w:p>
      <w:pPr>
        <w:pStyle w:val="ArticleScripture"/>
        <w:jc w:val="left"/>
      </w:pPr>
      <w:r>
        <w:rPr>
          <w:rFonts w:ascii="Times New Roman" w:hAnsi="Times New Roman" w:eastAsia="Times New Roman" w:cs="Times New Roman"/>
        </w:rPr>
        <w:t>E fez-se que, quando todos os que dantes o conheciam viram que, eis que ele profetizava entre os profetas, então o povo disse uns aos outros: Que é isto que sucedeu ao filho de Quis? Está também Saul entre os profetas? E um do mesmo lugar respondeu e disse: Mas quem é o pai deles? Portanto, se tornou provérbio: Está também Saul entre os profetas? 1 Samuel 10:11, 12.</w:t>
      </w:r>
    </w:p>
    <w:p>
      <w:pPr>
        <w:pStyle w:val="ArticleBody"/>
        <w:jc w:val="left"/>
      </w:pPr>
      <w:r>
        <w:rPr>
          <w:rFonts w:ascii="Times New Roman" w:hAnsi="Times New Roman" w:eastAsia="Times New Roman" w:cs="Times New Roman"/>
        </w:rPr>
        <w:t>ꞌakọ́ọ́táí gádágání tꞌáa’é́í nitsáhákees doo naaltsoos bee haneʼígíí dooleełgo, tʼááłáʼí tʼááłáʼí tʼááłáʼí tʼááłáʼí tʼááłáʼí tʼááłáʼí tʼááłáʼí nidi naaki áłtsʼíísí bee éí yił náhástʼéí: tʼááłáʼí hastą́ą́ bił náhástʼéí chʼosh, tʼááłáʼí łį́į́ʼígíí hataałii, dóó tʼááłáʼí łaʼ asdzání bá hooghanígíí naatʼáanii; Ezekiel biyiʼ yéego haneʼígíí, tʼááłáʼí hastą́ą́ binááhai yilzhishgo yáʼátʼéehgo yáʼátʼéehgo yikááʼ adáhodíílnih, Joseph tʼááłáʼí hastą́ą́ binááhai yilzhishgo bee hazʼą́ągi kʼad dah naashá, dóó David naatʼáanii tʼááłáʼí hastą́ą́ binááhai yilzhishgo ádiníłʼį́į́ł. Ezekiel naaltsoos biyiʼ haneʼígíí bichʼįʼ éí nátʼáanii yázhí íiyisí naaki dóó tseebííʼnáníínáhástʼáán ałtsʼádaalwołígíí biyiʼ, ꞌakọ́ọ́táí gádágání éí kéyah bikááʼ dah naaznilígíí kinteel dooleełgo yiyiinááł, dóó ꞌakọ́ọ́táí gádágání éí Philadelphia yinishyééłígíí, áádóó tsostsʼid dóó naakiłtaʼígíí tʼáá ajiłiiʼígíí aadóó tʼááłáʼí tseebííʼnáníínáhástʼáánígíí.</w:t>
      </w:r>
    </w:p>
    <w:p>
      <w:pPr>
        <w:pStyle w:val="ArticleBody"/>
        <w:jc w:val="left"/>
      </w:pP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သမိုင်းမျဉ်းသည်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၉၇၇</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သန့်စင်ခြင်းနှင့်</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သက်သေနှစ်ပါးကို</w:t>
      </w:r>
      <w:r>
        <w:rPr>
          <w:rFonts w:ascii="Times New Roman" w:hAnsi="Times New Roman" w:eastAsia="Times New Roman" w:cs="Times New Roman"/>
        </w:rPr>
        <w:t xml:space="preserve"> </w:t>
      </w:r>
      <w:r>
        <w:rPr>
          <w:rFonts w:ascii="Myanmar Text" w:hAnsi="Myanmar Text" w:eastAsia="Myanmar Text" w:cs="Myanmar Text"/>
        </w:rPr>
        <w:t>ရှင်ပြန်ထမြောက်စေရန်</w:t>
      </w:r>
      <w:r>
        <w:rPr>
          <w:rFonts w:ascii="Times New Roman" w:hAnsi="Times New Roman" w:eastAsia="Times New Roman" w:cs="Times New Roman"/>
        </w:rPr>
        <w:t xml:space="preserve"> </w:t>
      </w:r>
      <w:r>
        <w:rPr>
          <w:rFonts w:ascii="Myanmar Text" w:hAnsi="Myanmar Text" w:eastAsia="Myanmar Text" w:cs="Myanmar Text"/>
        </w:rPr>
        <w:t>မိက္ခေလ</w:t>
      </w:r>
      <w:r>
        <w:rPr>
          <w:rFonts w:ascii="Times New Roman" w:hAnsi="Times New Roman" w:eastAsia="Times New Roman" w:cs="Times New Roman"/>
        </w:rPr>
        <w:t xml:space="preserve"> </w:t>
      </w:r>
      <w:r>
        <w:rPr>
          <w:rFonts w:ascii="Myanmar Text" w:hAnsi="Myanmar Text" w:eastAsia="Myanmar Text" w:cs="Myanmar Text"/>
        </w:rPr>
        <w:t>ဆင်းသက်လာသောအခါ</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နှစ်နှစ်ဆယ့်နှစ်နှစ်အကြာ၌</w:t>
      </w:r>
      <w:r>
        <w:rPr>
          <w:rFonts w:ascii="Times New Roman" w:hAnsi="Times New Roman" w:eastAsia="Times New Roman" w:cs="Times New Roman"/>
        </w:rPr>
        <w:t xml:space="preserve"> </w:t>
      </w:r>
      <w:r>
        <w:rPr>
          <w:rFonts w:ascii="Myanmar Text" w:hAnsi="Myanmar Text" w:eastAsia="Myanmar Text" w:cs="Myanmar Text"/>
        </w:rPr>
        <w:t>ရောက်လာသကဲ့သို့၊</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Alien and Sedition Acts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၁၇၇၆</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လွတ်လပ်ရေးကြေညာစာတမ်း၏</w:t>
      </w:r>
      <w:r>
        <w:rPr>
          <w:rFonts w:ascii="Times New Roman" w:hAnsi="Times New Roman" w:eastAsia="Times New Roman" w:cs="Times New Roman"/>
        </w:rPr>
        <w:t xml:space="preserve"> </w:t>
      </w:r>
      <w:r>
        <w:rPr>
          <w:rFonts w:ascii="Myanmar Text" w:hAnsi="Myanmar Text" w:eastAsia="Myanmar Text" w:cs="Myanmar Text"/>
        </w:rPr>
        <w:t>နှစ်နှစ်ဆယ့်နှစ်နှစ်အကြာ၌</w:t>
      </w:r>
      <w:r>
        <w:rPr>
          <w:rFonts w:ascii="Times New Roman" w:hAnsi="Times New Roman" w:eastAsia="Times New Roman" w:cs="Times New Roman"/>
        </w:rPr>
        <w:t xml:space="preserve"> </w:t>
      </w:r>
      <w:r>
        <w:rPr>
          <w:rFonts w:ascii="Myanmar Text" w:hAnsi="Myanmar Text" w:eastAsia="Myanmar Text" w:cs="Myanmar Text"/>
        </w:rPr>
        <w:t>ရောက်လာသည်။</w:t>
      </w:r>
      <w:r>
        <w:rPr>
          <w:rFonts w:ascii="Times New Roman" w:hAnsi="Times New Roman" w:eastAsia="Times New Roman" w:cs="Times New Roman"/>
        </w:rPr>
        <w:t xml:space="preserve"> </w:t>
      </w:r>
      <w:r>
        <w:rPr>
          <w:rFonts w:ascii="Myanmar Text" w:hAnsi="Myanmar Text" w:eastAsia="Myanmar Text" w:cs="Myanmar Text"/>
        </w:rPr>
        <w:t>ယေရောဗောင်၏</w:t>
      </w:r>
      <w:r>
        <w:rPr>
          <w:rFonts w:ascii="Times New Roman" w:hAnsi="Times New Roman" w:eastAsia="Times New Roman" w:cs="Times New Roman"/>
        </w:rPr>
        <w:t xml:space="preserve"> </w:t>
      </w:r>
      <w:r>
        <w:rPr>
          <w:rFonts w:ascii="Myanmar Text" w:hAnsi="Myanmar Text" w:eastAsia="Myanmar Text" w:cs="Myanmar Text"/>
        </w:rPr>
        <w:t>နှစ်နှစ်ဆယ့်နှစ်နှစ်စိုးစံမှုသည်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ထုတ်ဖော်ကြေညာခဲ့သော</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၉၇၇</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1 Kings </w:t>
      </w:r>
      <w:r>
        <w:rPr>
          <w:rFonts w:ascii="Myanmar Text" w:hAnsi="Myanmar Text" w:eastAsia="Myanmar Text" w:cs="Myanmar Text"/>
        </w:rPr>
        <w:t>အခန်း</w:t>
      </w:r>
      <w:r>
        <w:rPr>
          <w:rFonts w:ascii="Times New Roman" w:hAnsi="Times New Roman" w:eastAsia="Times New Roman" w:cs="Times New Roman"/>
        </w:rPr>
        <w:t xml:space="preserve"> 13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နာခံမှုမရှိသော</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ယေရောဗောင်၏</w:t>
      </w:r>
      <w:r>
        <w:rPr>
          <w:rFonts w:ascii="Times New Roman" w:hAnsi="Times New Roman" w:eastAsia="Times New Roman" w:cs="Times New Roman"/>
        </w:rPr>
        <w:t xml:space="preserve"> </w:t>
      </w:r>
      <w:r>
        <w:rPr>
          <w:rFonts w:ascii="Myanmar Text" w:hAnsi="Myanmar Text" w:eastAsia="Myanmar Text" w:cs="Myanmar Text"/>
        </w:rPr>
        <w:t>ဖောက်ပြန်ခြင်းကို</w:t>
      </w:r>
      <w:r>
        <w:rPr>
          <w:rFonts w:ascii="Times New Roman" w:hAnsi="Times New Roman" w:eastAsia="Times New Roman" w:cs="Times New Roman"/>
        </w:rPr>
        <w:t xml:space="preserve"> </w:t>
      </w:r>
      <w:r>
        <w:rPr>
          <w:rFonts w:ascii="Myanmar Text" w:hAnsi="Myanmar Text" w:eastAsia="Myanmar Text" w:cs="Myanmar Text"/>
        </w:rPr>
        <w:t>ရင်ဆိုင်ခဲ့သည်မှာ</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အာရုန်၏</w:t>
      </w:r>
      <w:r>
        <w:rPr>
          <w:rFonts w:ascii="Times New Roman" w:hAnsi="Times New Roman" w:eastAsia="Times New Roman" w:cs="Times New Roman"/>
        </w:rPr>
        <w:t xml:space="preserve"> </w:t>
      </w:r>
      <w:r>
        <w:rPr>
          <w:rFonts w:ascii="Myanmar Text" w:hAnsi="Myanmar Text" w:eastAsia="Myanmar Text" w:cs="Myanmar Text"/>
        </w:rPr>
        <w:t>ဖောက်ပြန်ခြင်းကို</w:t>
      </w:r>
      <w:r>
        <w:rPr>
          <w:rFonts w:ascii="Times New Roman" w:hAnsi="Times New Roman" w:eastAsia="Times New Roman" w:cs="Times New Roman"/>
        </w:rPr>
        <w:t xml:space="preserve"> </w:t>
      </w:r>
      <w:r>
        <w:rPr>
          <w:rFonts w:ascii="Myanmar Text" w:hAnsi="Myanmar Text" w:eastAsia="Myanmar Text" w:cs="Myanmar Text"/>
        </w:rPr>
        <w:t>ရင်ဆိုင်ခဲ့သကဲ့သို့လည်းကောင်း၊</w:t>
      </w:r>
      <w:r>
        <w:rPr>
          <w:rFonts w:ascii="Times New Roman" w:hAnsi="Times New Roman" w:eastAsia="Times New Roman" w:cs="Times New Roman"/>
        </w:rPr>
        <w:t xml:space="preserve"> </w:t>
      </w:r>
      <w:r>
        <w:rPr>
          <w:rFonts w:ascii="Myanmar Text" w:hAnsi="Myanmar Text" w:eastAsia="Myanmar Text" w:cs="Myanmar Text"/>
        </w:rPr>
        <w:t>ရှမွေလသည်</w:t>
      </w:r>
      <w:r>
        <w:rPr>
          <w:rFonts w:ascii="Times New Roman" w:hAnsi="Times New Roman" w:eastAsia="Times New Roman" w:cs="Times New Roman"/>
        </w:rPr>
        <w:t xml:space="preserve"> </w:t>
      </w:r>
      <w:r>
        <w:rPr>
          <w:rFonts w:ascii="Myanmar Text" w:hAnsi="Myanmar Text" w:eastAsia="Myanmar Text" w:cs="Myanmar Text"/>
        </w:rPr>
        <w:t>ရှင်ဘုရင်တစ်ပါးကို</w:t>
      </w:r>
      <w:r>
        <w:rPr>
          <w:rFonts w:ascii="Times New Roman" w:hAnsi="Times New Roman" w:eastAsia="Times New Roman" w:cs="Times New Roman"/>
        </w:rPr>
        <w:t xml:space="preserve"> </w:t>
      </w:r>
      <w:r>
        <w:rPr>
          <w:rFonts w:ascii="Myanmar Text" w:hAnsi="Myanmar Text" w:eastAsia="Myanmar Text" w:cs="Myanmar Text"/>
        </w:rPr>
        <w:t>အလိုရှိခဲ့သော</w:t>
      </w:r>
      <w:r>
        <w:rPr>
          <w:rFonts w:ascii="Times New Roman" w:hAnsi="Times New Roman" w:eastAsia="Times New Roman" w:cs="Times New Roman"/>
        </w:rPr>
        <w:t xml:space="preserve"> </w:t>
      </w:r>
      <w:r>
        <w:rPr>
          <w:rFonts w:ascii="Myanmar Text" w:hAnsi="Myanmar Text" w:eastAsia="Myanmar Text" w:cs="Myanmar Text"/>
        </w:rPr>
        <w:t>လူအုပ်ကို</w:t>
      </w:r>
      <w:r>
        <w:rPr>
          <w:rFonts w:ascii="Times New Roman" w:hAnsi="Times New Roman" w:eastAsia="Times New Roman" w:cs="Times New Roman"/>
        </w:rPr>
        <w:t xml:space="preserve"> </w:t>
      </w:r>
      <w:r>
        <w:rPr>
          <w:rFonts w:ascii="Myanmar Text" w:hAnsi="Myanmar Text" w:eastAsia="Myanmar Text" w:cs="Myanmar Text"/>
        </w:rPr>
        <w:t>ရင်ဆိုင်ခဲ့သကဲ့သို့လည်းကောင်း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နာခံမှုမရှိသော</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ရှမွေလတို့၏</w:t>
      </w:r>
      <w:r>
        <w:rPr>
          <w:rFonts w:ascii="Times New Roman" w:hAnsi="Times New Roman" w:eastAsia="Times New Roman" w:cs="Times New Roman"/>
        </w:rPr>
        <w:t xml:space="preserve"> </w:t>
      </w:r>
      <w:r>
        <w:rPr>
          <w:rFonts w:ascii="Myanmar Text" w:hAnsi="Myanmar Text" w:eastAsia="Myanmar Text" w:cs="Myanmar Text"/>
        </w:rPr>
        <w:t>သတင်းစကားဖြင့်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အခြေခံဖောက်ပြန်မှုများကို</w:t>
      </w:r>
      <w:r>
        <w:rPr>
          <w:rFonts w:ascii="Times New Roman" w:hAnsi="Times New Roman" w:eastAsia="Times New Roman" w:cs="Times New Roman"/>
        </w:rPr>
        <w:t xml:space="preserve"> </w:t>
      </w:r>
      <w:r>
        <w:rPr>
          <w:rFonts w:ascii="Myanmar Text" w:hAnsi="Myanmar Text" w:eastAsia="Myanmar Text" w:cs="Myanmar Text"/>
        </w:rPr>
        <w:t>ဆန့်ကျင်သည့်</w:t>
      </w:r>
      <w:r>
        <w:rPr>
          <w:rFonts w:ascii="Times New Roman" w:hAnsi="Times New Roman" w:eastAsia="Times New Roman" w:cs="Times New Roman"/>
        </w:rPr>
        <w:t xml:space="preserve"> </w:t>
      </w:r>
      <w:r>
        <w:rPr>
          <w:rFonts w:ascii="Myanmar Text" w:hAnsi="Myanmar Text" w:eastAsia="Myanmar Text" w:cs="Myanmar Text"/>
        </w:rPr>
        <w:t>ထိုရင်ဆိုင်မှုများသည်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အော်ဟစ်သံကြီးကို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အလံတော်ဖြင့်</w:t>
      </w:r>
      <w:r>
        <w:rPr>
          <w:rFonts w:ascii="Times New Roman" w:hAnsi="Times New Roman" w:eastAsia="Times New Roman" w:cs="Times New Roman"/>
        </w:rPr>
        <w:t xml:space="preserve"> </w:t>
      </w:r>
      <w:r>
        <w:rPr>
          <w:rFonts w:ascii="Myanmar Text" w:hAnsi="Myanmar Text" w:eastAsia="Myanmar Text" w:cs="Myanmar Text"/>
        </w:rPr>
        <w:t>ကြေညာထားသော</w:t>
      </w:r>
      <w:r>
        <w:rPr>
          <w:rFonts w:ascii="Times New Roman" w:hAnsi="Times New Roman" w:eastAsia="Times New Roman" w:cs="Times New Roman"/>
        </w:rPr>
        <w:t xml:space="preserve"> </w:t>
      </w:r>
      <w:r>
        <w:rPr>
          <w:rFonts w:ascii="Myanmar Text" w:hAnsi="Myanmar Text" w:eastAsia="Myanmar Text" w:cs="Myanmar Text"/>
        </w:rPr>
        <w:t>သတိပေးသတင်းစကားဖြစ်ပြီး၊</w:t>
      </w:r>
      <w:r>
        <w:rPr>
          <w:rFonts w:ascii="Times New Roman" w:hAnsi="Times New Roman" w:eastAsia="Times New Roman" w:cs="Times New Roman"/>
        </w:rPr>
        <w:t xml:space="preserve"> </w:t>
      </w:r>
      <w:r>
        <w:rPr>
          <w:rFonts w:ascii="Myanmar Text" w:hAnsi="Myanmar Text" w:eastAsia="Myanmar Text" w:cs="Myanmar Text"/>
        </w:rPr>
        <w:t>ယေရောဗောင်၏</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နိမိတ်လက္ခဏာ</w:t>
      </w:r>
      <w:r>
        <w:rPr>
          <w:rFonts w:ascii="Times New Roman" w:hAnsi="Times New Roman" w:eastAsia="Times New Roman" w:cs="Times New Roman"/>
        </w:rPr>
        <w:t xml:space="preserve">” </w:t>
      </w:r>
      <w:r>
        <w:rPr>
          <w:rFonts w:ascii="Myanmar Text" w:hAnsi="Myanmar Text" w:eastAsia="Myanmar Text" w:cs="Myanmar Text"/>
        </w:rPr>
        <w:t>တစ်ရပ်နှင့်အတူ</w:t>
      </w:r>
      <w:r>
        <w:rPr>
          <w:rFonts w:ascii="Times New Roman" w:hAnsi="Times New Roman" w:eastAsia="Times New Roman" w:cs="Times New Roman"/>
        </w:rPr>
        <w:t xml:space="preserve"> </w:t>
      </w:r>
      <w:r>
        <w:rPr>
          <w:rFonts w:ascii="Myanmar Text" w:hAnsi="Myanmar Text" w:eastAsia="Myanmar Text" w:cs="Myanmar Text"/>
        </w:rPr>
        <w:t>တွဲဖက်ဖော်ပြထားသော</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ကြိုတင်ဟောကြားချက်အဖြစ်</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Scripture"/>
        <w:jc w:val="left"/>
      </w:pPr>
      <w:r>
        <w:rPr>
          <w:rFonts w:ascii="Times New Roman" w:hAnsi="Times New Roman" w:eastAsia="Times New Roman" w:cs="Times New Roman"/>
        </w:rPr>
        <w:t>U A, khmih, la wan u briew jong U Blei na Judah da ka ktien U Trai sha Bethel: bad Jeroboam u la ieng harud ka duwan ban thang jingiwbih. Bad u la pyrta pyrshah ïa ka duwan ha ka ktien U Trai, bad u la ong, A duwan, duwan, kumne ong U Trai; Khamai, yn sa kha ïa u khun sha ïing u Dabid, Josiah ka kyrteng jong u; bad halor jong me un sa ainguh uwei ïa ki lyngdoh jong ki jaka lum kiba ju thang jingiwbih halor jong me, bad ïa ki shyieng briew yn sa thang halor jong me. Bad ha kata ka sngi hi u la ai ïa ka dak, da kaba ong, Kane ka long ka dak kaba U Trai u la kren; Khamai, ïa ka duwan yn sa pwdiah, bad ïa ka dpei kaba don halor ka yn sa kyrtoh noh. Bad ka la jia, haba u syiem Jeroboam u la ïohsngew ïa ka jingkren jong uta u briew jong U Blei, uba la pyrta pyrshah ïa ka duwan ha Bethel, ba u la kner la ka kti na ka duwan, da kaba ong, Kem ïa u. Bad ka kti jong u, ïa kaba u la kner pyrshah ïa u, ka la tyrkhong noh, haduh ba um lah shuh ban tan pat ïa ka sha lade.</w:t>
      </w:r>
    </w:p>
    <w:p>
      <w:pPr>
        <w:pStyle w:val="ArticleScripture"/>
        <w:jc w:val="left"/>
      </w:pPr>
      <w:r>
        <w:rPr>
          <w:rFonts w:ascii="Times New Roman" w:hAnsi="Times New Roman" w:eastAsia="Times New Roman" w:cs="Times New Roman"/>
        </w:rPr>
        <w:t>مەزگێوتەکەش دڕانەوە، و خۆڵەمێشەکانی سەر مەزگێوتەکە ڕژان، بە پێی ئەو نیشانەیەی کە پیاوی خودا بە وشەی یەزدان دابوو. پاشان پاشا وەڵامی دایەوە و بە پیاوی خودا وت: تکا دەکەم ئێستا ڕووی یەزدانی خودی خۆت بپارێزە و بۆ من نوێژ بکە، تاکو دەستم دووبارە بۆم بگەڕێتەوە. ئەوجا پیاوی خودا لە یەزدان پاڕایەوە، و دەستی پاشا دووبارە بۆی گەڕایەوە و وەک پێشوو بووەوە. و پاشا بە پیاوی خودا وت: لەگەڵم بێ بۆ ماڵ، و خۆت تازە بکەرەوە، و من دیارییەکت پێ دەدەم. بەڵام پیاوی خودا بە پاشا وت: ئەگەر نیوەی ماڵەکەتیشم پێ بدەیت، لەگەڵت ناچمە ژوورەوە، و لەم شوێنەدا نە نان دەخۆم و نە ئاودەخۆم؛ چونکە بە وشەی یەزدان ئاوا فەرمانم پێ کراوە، کە دەفەرمووێت: نان مەخۆ، ئاو مەخۆ، و بە هەمان ڕێگایەوە مەگەڕێوە کە پێیدا هاتوویت. جا بە ڕێگایەکی دیکە ڕۆیشت، و بەو ڕێگایەدا نەگەڕایەوە کە پێیدا هاتبوو بۆ بەیت‌ئێل. ١ پاشایان ١٣:١–١٠.</w:t>
      </w:r>
    </w:p>
    <w:p>
      <w:pPr>
        <w:pStyle w:val="ArticleBody"/>
        <w:jc w:val="left"/>
      </w:pPr>
      <w:r>
        <w:rPr>
          <w:rFonts w:ascii="Times New Roman" w:hAnsi="Times New Roman" w:eastAsia="Times New Roman" w:cs="Times New Roman"/>
        </w:rPr>
        <w:t>Pyõngmyongko na Jeroboam ara mähamhai “nang no in mamat phek” ti thei tumna hnûm lo a sawr, Herod-in Salome hnenah a ram ṭha hnuai phek a pe ang ti a tiamna nen a inrem a ni.</w:t>
      </w:r>
    </w:p>
    <w:p>
      <w:pPr>
        <w:pStyle w:val="ArticleScripture"/>
        <w:jc w:val="left"/>
      </w:pPr>
      <w:r>
        <w:rPr>
          <w:rFonts w:ascii="Times New Roman" w:hAnsi="Times New Roman" w:eastAsia="Times New Roman" w:cs="Times New Roman"/>
        </w:rPr>
        <w:t>Et quant un jorn favorable foguèt vengut, Heròde, lo jorn de son aniversari, faguèt un festenal per sos grands, sos caps militars e los principals de Galilèa; e quand la filha d’aquela Herodiàs intrèt e dancèt, e agradèt a Heròde e a aqueles que se tenián a taula amb el, lo rei diguèt a la joina filha: Demanda-me çò que voldràs, e te o balharai. E li jurèt: Tot çò que me demandaràs, te o balharai, fins a la mitat de mon reialme. E ela sortiguèt e diguèt a sa maire: Qué demandarai? E ela diguèt: Lo cap de Joan Baptista. Marc 6:21–24.</w:t>
      </w:r>
    </w:p>
    <w:p>
      <w:pPr>
        <w:pStyle w:val="ArticleBody"/>
        <w:jc w:val="left"/>
      </w:pPr>
      <w:r>
        <w:rPr>
          <w:rFonts w:ascii="Times New Roman" w:hAnsi="Times New Roman" w:eastAsia="Times New Roman" w:cs="Times New Roman"/>
        </w:rPr>
        <w:t>ۋەرُدەسنىڭ پادىشاھلىقىنىڭ يېرىمىنى بېرىش توغرىسىدىكى ۋەدىسى ئۇنىڭ تۇغۇلغان كۈنىدە يۈز بەرگەن. ۋەرُدەس رومىنىڭ بىر سىمۋولىدۇر، ۋە ۋەھىي كىتابىنىڭ ئون يەتتىنچى بابىدىكى ئون پادىشاھ، دانىيالنىڭ يەتتىنچى بابىدىكى رومىنىڭ ئون قېتىملىق بۆلۈنۈشى ۋە ئىككىنچى بابىدىكى ئون بارماق ئارقىلىق ئالدىن-بېشارەت قىلىنغان. ئۇنىڭ تۇغۇلغان كۈنى، ئالتىنچى پادىشاھلىق يەكشەنبە قانۇنىدا يەتتىنچى پادىشاھلىق بىلەن ئالماشتۇرۇلغان چاغدا بەلگىلىنىدۇ؛ بۇ مەنىدە، ئۇ ئىنجىل پەيغەمبەرلىكىدىكى يەتتىنچى پادىشاھلىق بولغان ب د ت نىڭ تۇغۇلغان كۈنىدۇر. يېقىندا كېلىدىغان يەكشەنبە قانۇنىدا، يەروبوئامنىڭ شىمالدىكى ئون قەبىلىسى بىلەن ئىپادىلەنگەن ئون پادىشاھ، ۋەھىي «ئون يەتتىنچى» بابىدا بىر سائەت ئۈچۈن ئۆز پادىشاھلىقىنى ھايۋانغا بېرىشكە بىر پىكىرگە كېلىدۇ.</w:t>
      </w:r>
    </w:p>
    <w:p>
      <w:pPr>
        <w:pStyle w:val="ArticleScripture"/>
        <w:jc w:val="left"/>
      </w:pPr>
      <w:r>
        <w:rPr>
          <w:rFonts w:ascii="Times New Roman" w:hAnsi="Times New Roman" w:eastAsia="Times New Roman" w:cs="Times New Roman"/>
        </w:rPr>
        <w:t>Chính Đức Chúa Trời đã đặt vào lòng chúng để thi hành ý muốn Ngài, để hiệp một mà trao vương quốc mình cho con thú, cho đến khi những lời của Đức Chúa Trời được ứng nghiệm. Khải Huyền 17:17.</w:t>
      </w:r>
    </w:p>
    <w:p>
      <w:pPr>
        <w:pStyle w:val="ArticleBody"/>
        <w:jc w:val="left"/>
      </w:pPr>
      <w:r>
        <w:rPr>
          <w:rFonts w:ascii="Myanmar Text" w:hAnsi="Myanmar Text" w:eastAsia="Myanmar Text" w:cs="Myanmar Text"/>
        </w:rPr>
        <w:t>အီဇကေလအနာဂတ္တိကျမ်း၏</w:t>
      </w:r>
      <w:r>
        <w:rPr>
          <w:rFonts w:ascii="Times New Roman" w:hAnsi="Times New Roman" w:eastAsia="Times New Roman" w:cs="Times New Roman"/>
        </w:rPr>
        <w:t xml:space="preserve"> </w:t>
      </w:r>
      <w:r>
        <w:rPr>
          <w:rFonts w:ascii="Myanmar Text" w:hAnsi="Myanmar Text" w:eastAsia="Myanmar Text" w:cs="Myanmar Text"/>
        </w:rPr>
        <w:t>အခန်းလေးကို</w:t>
      </w:r>
      <w:r>
        <w:rPr>
          <w:rFonts w:ascii="Times New Roman" w:hAnsi="Times New Roman" w:eastAsia="Times New Roman" w:cs="Times New Roman"/>
        </w:rPr>
        <w:t xml:space="preserve"> </w:t>
      </w:r>
      <w:r>
        <w:rPr>
          <w:rFonts w:ascii="Myanmar Text" w:hAnsi="Myanmar Text" w:eastAsia="Myanmar Text" w:cs="Myanmar Text"/>
        </w:rPr>
        <w:t>မလေ့လာမီ၊</w:t>
      </w:r>
      <w:r>
        <w:rPr>
          <w:rFonts w:ascii="Times New Roman" w:hAnsi="Times New Roman" w:eastAsia="Times New Roman" w:cs="Times New Roman"/>
        </w:rPr>
        <w:t xml:space="preserve"> </w:t>
      </w:r>
      <w:r>
        <w:rPr>
          <w:rFonts w:ascii="Myanmar Text" w:hAnsi="Myanmar Text" w:eastAsia="Myanmar Text" w:cs="Myanmar Text"/>
        </w:rPr>
        <w:t>အီဇကေလက</w:t>
      </w:r>
      <w:r>
        <w:rPr>
          <w:rFonts w:ascii="Times New Roman" w:hAnsi="Times New Roman" w:eastAsia="Times New Roman" w:cs="Times New Roman"/>
        </w:rPr>
        <w:t xml:space="preserve"> </w:t>
      </w:r>
      <w:r>
        <w:rPr>
          <w:rFonts w:ascii="Myanmar Text" w:hAnsi="Myanmar Text" w:eastAsia="Myanmar Text" w:cs="Myanmar Text"/>
        </w:rPr>
        <w:t>ရက်စွဲတစ်ရပ်ကို</w:t>
      </w:r>
      <w:r>
        <w:rPr>
          <w:rFonts w:ascii="Times New Roman" w:hAnsi="Times New Roman" w:eastAsia="Times New Roman" w:cs="Times New Roman"/>
        </w:rPr>
        <w:t xml:space="preserve"> </w:t>
      </w:r>
      <w:r>
        <w:rPr>
          <w:rFonts w:ascii="Myanmar Text" w:hAnsi="Myanmar Text" w:eastAsia="Myanmar Text" w:cs="Myanmar Text"/>
        </w:rPr>
        <w:t>တိုက်ရိုက်ဖော်ပြထားသည့်</w:t>
      </w:r>
      <w:r>
        <w:rPr>
          <w:rFonts w:ascii="Times New Roman" w:hAnsi="Times New Roman" w:eastAsia="Times New Roman" w:cs="Times New Roman"/>
        </w:rPr>
        <w:t xml:space="preserve"> </w:t>
      </w:r>
      <w:r>
        <w:rPr>
          <w:rFonts w:ascii="Myanmar Text" w:hAnsi="Myanmar Text" w:eastAsia="Myanmar Text" w:cs="Myanmar Text"/>
        </w:rPr>
        <w:t>အကြိမ်</w:t>
      </w:r>
      <w:r>
        <w:rPr>
          <w:rFonts w:ascii="Times New Roman" w:hAnsi="Times New Roman" w:eastAsia="Times New Roman" w:cs="Times New Roman"/>
        </w:rPr>
        <w:t xml:space="preserve"> “</w:t>
      </w:r>
      <w:r>
        <w:rPr>
          <w:rFonts w:ascii="Myanmar Text" w:hAnsi="Myanmar Text" w:eastAsia="Myanmar Text" w:cs="Myanmar Text"/>
        </w:rPr>
        <w:t>ဆယ့်သုံး</w:t>
      </w:r>
      <w:r>
        <w:rPr>
          <w:rFonts w:ascii="Times New Roman" w:hAnsi="Times New Roman" w:eastAsia="Times New Roman" w:cs="Times New Roman"/>
        </w:rPr>
        <w:t xml:space="preserve">” </w:t>
      </w:r>
      <w:r>
        <w:rPr>
          <w:rFonts w:ascii="Myanmar Text" w:hAnsi="Myanmar Text" w:eastAsia="Myanmar Text" w:cs="Myanmar Text"/>
        </w:rPr>
        <w:t>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သတ်မှတ်ဖော်ထုတ်မည်။</w:t>
      </w:r>
      <w:r>
        <w:rPr>
          <w:rFonts w:ascii="Times New Roman" w:hAnsi="Times New Roman" w:eastAsia="Times New Roman" w:cs="Times New Roman"/>
        </w:rPr>
        <w:t xml:space="preserve"> </w:t>
      </w:r>
      <w:r>
        <w:rPr>
          <w:rFonts w:ascii="Myanmar Text" w:hAnsi="Myanmar Text" w:eastAsia="Myanmar Text" w:cs="Myanmar Text"/>
        </w:rPr>
        <w:t>ထိုလမ်းမှတ်ဆယ့်သုံးခုကို</w:t>
      </w:r>
      <w:r>
        <w:rPr>
          <w:rFonts w:ascii="Times New Roman" w:hAnsi="Times New Roman" w:eastAsia="Times New Roman" w:cs="Times New Roman"/>
        </w:rPr>
        <w:t xml:space="preserve"> </w:t>
      </w:r>
      <w:r>
        <w:rPr>
          <w:rFonts w:ascii="Myanmar Text" w:hAnsi="Myanmar Text" w:eastAsia="Myanmar Text" w:cs="Myanmar Text"/>
        </w:rPr>
        <w:t>ယေဘုယျအားဖြင့်</w:t>
      </w:r>
      <w:r>
        <w:rPr>
          <w:rFonts w:ascii="Times New Roman" w:hAnsi="Times New Roman" w:eastAsia="Times New Roman" w:cs="Times New Roman"/>
        </w:rPr>
        <w:t xml:space="preserve"> </w:t>
      </w:r>
      <w:r>
        <w:rPr>
          <w:rFonts w:ascii="Myanmar Text" w:hAnsi="Myanmar Text" w:eastAsia="Myanmar Text" w:cs="Myanmar Text"/>
        </w:rPr>
        <w:t>လောကနှင့်</w:t>
      </w:r>
      <w:r>
        <w:rPr>
          <w:rFonts w:ascii="Times New Roman" w:hAnsi="Times New Roman" w:eastAsia="Times New Roman" w:cs="Times New Roman"/>
        </w:rPr>
        <w:t xml:space="preserve"> </w:t>
      </w:r>
      <w:r>
        <w:rPr>
          <w:rFonts w:ascii="Myanmar Text" w:hAnsi="Myanmar Text" w:eastAsia="Myanmar Text" w:cs="Myanmar Text"/>
        </w:rPr>
        <w:t>ဘုရားသခင်၏လူမျိုးအကြား</w:t>
      </w:r>
      <w:r>
        <w:rPr>
          <w:rFonts w:ascii="Times New Roman" w:hAnsi="Times New Roman" w:eastAsia="Times New Roman" w:cs="Times New Roman"/>
        </w:rPr>
        <w:t xml:space="preserve"> </w:t>
      </w:r>
      <w:r>
        <w:rPr>
          <w:rFonts w:ascii="Myanmar Text" w:hAnsi="Myanmar Text" w:eastAsia="Myanmar Text" w:cs="Myanmar Text"/>
        </w:rPr>
        <w:t>ခွဲခြားနိုင်သည်။</w:t>
      </w:r>
      <w:r>
        <w:rPr>
          <w:rFonts w:ascii="Times New Roman" w:hAnsi="Times New Roman" w:eastAsia="Times New Roman" w:cs="Times New Roman"/>
        </w:rPr>
        <w:t xml:space="preserve"> </w:t>
      </w:r>
      <w:r>
        <w:rPr>
          <w:rFonts w:ascii="Myanmar Text" w:hAnsi="Myanmar Text" w:eastAsia="Myanmar Text" w:cs="Myanmar Text"/>
        </w:rPr>
        <w:t>အီဂျစ်အားဖြင့်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တိုက်ရိုက်ရက်စွဲတစ်ရပ်နှင့်</w:t>
      </w:r>
      <w:r>
        <w:rPr>
          <w:rFonts w:ascii="Times New Roman" w:hAnsi="Times New Roman" w:eastAsia="Times New Roman" w:cs="Times New Roman"/>
        </w:rPr>
        <w:t xml:space="preserve"> </w:t>
      </w:r>
      <w:r>
        <w:rPr>
          <w:rFonts w:ascii="Myanmar Text" w:hAnsi="Myanmar Text" w:eastAsia="Myanmar Text" w:cs="Myanmar Text"/>
        </w:rPr>
        <w:t>ချိတ်ဆက်ဖော်ပြထားသည်မှာ</w:t>
      </w:r>
      <w:r>
        <w:rPr>
          <w:rFonts w:ascii="Times New Roman" w:hAnsi="Times New Roman" w:eastAsia="Times New Roman" w:cs="Times New Roman"/>
        </w:rPr>
        <w:t xml:space="preserve"> </w:t>
      </w:r>
      <w:r>
        <w:rPr>
          <w:rFonts w:ascii="Myanmar Text" w:hAnsi="Myanmar Text" w:eastAsia="Myanmar Text" w:cs="Myanmar Text"/>
        </w:rPr>
        <w:t>ခြောက်ကြိမ်ဖြစ်ပြီး၊</w:t>
      </w:r>
      <w:r>
        <w:rPr>
          <w:rFonts w:ascii="Times New Roman" w:hAnsi="Times New Roman" w:eastAsia="Times New Roman" w:cs="Times New Roman"/>
        </w:rPr>
        <w:t xml:space="preserve"> </w:t>
      </w:r>
      <w:r>
        <w:rPr>
          <w:rFonts w:ascii="Myanmar Text" w:hAnsi="Myanmar Text" w:eastAsia="Myanmar Text" w:cs="Myanmar Text"/>
        </w:rPr>
        <w:t>တိုင်ယာကို</w:t>
      </w:r>
      <w:r>
        <w:rPr>
          <w:rFonts w:ascii="Times New Roman" w:hAnsi="Times New Roman" w:eastAsia="Times New Roman" w:cs="Times New Roman"/>
        </w:rPr>
        <w:t xml:space="preserve"> </w:t>
      </w:r>
      <w:r>
        <w:rPr>
          <w:rFonts w:ascii="Myanmar Text" w:hAnsi="Myanmar Text" w:eastAsia="Myanmar Text" w:cs="Myanmar Text"/>
        </w:rPr>
        <w:t>တစ်ကြိမ်</w:t>
      </w:r>
      <w:r>
        <w:rPr>
          <w:rFonts w:ascii="Times New Roman" w:hAnsi="Times New Roman" w:eastAsia="Times New Roman" w:cs="Times New Roman"/>
        </w:rPr>
        <w:t xml:space="preserve"> </w:t>
      </w:r>
      <w:r>
        <w:rPr>
          <w:rFonts w:ascii="Myanmar Text" w:hAnsi="Myanmar Text" w:eastAsia="Myanmar Text" w:cs="Myanmar Text"/>
        </w:rPr>
        <w:t>ရည်ညွှန်းထားကာ၊</w:t>
      </w:r>
      <w:r>
        <w:rPr>
          <w:rFonts w:ascii="Times New Roman" w:hAnsi="Times New Roman" w:eastAsia="Times New Roman" w:cs="Times New Roman"/>
        </w:rPr>
        <w:t xml:space="preserve"> </w:t>
      </w:r>
      <w:r>
        <w:rPr>
          <w:rFonts w:ascii="Myanmar Text" w:hAnsi="Myanmar Text" w:eastAsia="Myanmar Text" w:cs="Myanmar Text"/>
        </w:rPr>
        <w:t>အခြားခြောက်ကြိမ်တွင်</w:t>
      </w:r>
      <w:r>
        <w:rPr>
          <w:rFonts w:ascii="Times New Roman" w:hAnsi="Times New Roman" w:eastAsia="Times New Roman" w:cs="Times New Roman"/>
        </w:rPr>
        <w:t xml:space="preserve"> </w:t>
      </w:r>
      <w:r>
        <w:rPr>
          <w:rFonts w:ascii="Myanmar Text" w:hAnsi="Myanmar Text" w:eastAsia="Myanmar Text" w:cs="Myanmar Text"/>
        </w:rPr>
        <w:t>ယေရုရှလင်မြို့သည်</w:t>
      </w:r>
      <w:r>
        <w:rPr>
          <w:rFonts w:ascii="Times New Roman" w:hAnsi="Times New Roman" w:eastAsia="Times New Roman" w:cs="Times New Roman"/>
        </w:rPr>
        <w:t xml:space="preserve"> </w:t>
      </w:r>
      <w:r>
        <w:rPr>
          <w:rFonts w:ascii="Myanmar Text" w:hAnsi="Myanmar Text" w:eastAsia="Myanmar Text" w:cs="Myanmar Text"/>
        </w:rPr>
        <w:t>အကြောင်းအရာဖြစ်သည်။</w:t>
      </w:r>
      <w:r>
        <w:rPr>
          <w:rFonts w:ascii="Times New Roman" w:hAnsi="Times New Roman" w:eastAsia="Times New Roman" w:cs="Times New Roman"/>
        </w:rPr>
        <w:t xml:space="preserve"> </w:t>
      </w:r>
      <w:r>
        <w:rPr>
          <w:rFonts w:ascii="Myanmar Text" w:hAnsi="Myanmar Text" w:eastAsia="Myanmar Text" w:cs="Myanmar Text"/>
        </w:rPr>
        <w:t>ဤကျမ်းသည်</w:t>
      </w:r>
      <w:r>
        <w:rPr>
          <w:rFonts w:ascii="Times New Roman" w:hAnsi="Times New Roman" w:eastAsia="Times New Roman" w:cs="Times New Roman"/>
        </w:rPr>
        <w:t xml:space="preserve"> </w:t>
      </w:r>
      <w:r>
        <w:rPr>
          <w:rFonts w:ascii="Myanmar Text" w:hAnsi="Myanmar Text" w:eastAsia="Myanmar Text" w:cs="Myanmar Text"/>
        </w:rPr>
        <w:t>ခရစ်မပေါ်မီ</w:t>
      </w:r>
      <w:r>
        <w:rPr>
          <w:rFonts w:ascii="Times New Roman" w:hAnsi="Times New Roman" w:eastAsia="Times New Roman" w:cs="Times New Roman"/>
        </w:rPr>
        <w:t xml:space="preserve"> </w:t>
      </w:r>
      <w:r>
        <w:rPr>
          <w:rFonts w:ascii="Myanmar Text" w:hAnsi="Myanmar Text" w:eastAsia="Myanmar Text" w:cs="Myanmar Text"/>
        </w:rPr>
        <w:t>၅၉၂</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စတင်ထားပြီး၊</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ယုဘိလသံသရာ</w:t>
      </w:r>
      <w:r>
        <w:rPr>
          <w:rFonts w:ascii="Times New Roman" w:hAnsi="Times New Roman" w:eastAsia="Times New Roman" w:cs="Times New Roman"/>
        </w:rPr>
        <w:t xml:space="preserve"> </w:t>
      </w:r>
      <w:r>
        <w:rPr>
          <w:rFonts w:ascii="Myanmar Text" w:hAnsi="Myanmar Text" w:eastAsia="Myanmar Text" w:cs="Myanmar Text"/>
        </w:rPr>
        <w:t>ဆယ့်ခုနစ်ကြိမ်မြောက်၏</w:t>
      </w:r>
      <w:r>
        <w:rPr>
          <w:rFonts w:ascii="Times New Roman" w:hAnsi="Times New Roman" w:eastAsia="Times New Roman" w:cs="Times New Roman"/>
        </w:rPr>
        <w:t xml:space="preserve"> </w:t>
      </w:r>
      <w:r>
        <w:rPr>
          <w:rFonts w:ascii="Myanmar Text" w:hAnsi="Myanmar Text" w:eastAsia="Myanmar Text" w:cs="Myanmar Text"/>
        </w:rPr>
        <w:t>သုံးဆယ်မြောက်နှစ်ဖြစ်သည်။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အီဇကေလအခန်းလေးဆယ်၏</w:t>
      </w:r>
      <w:r>
        <w:rPr>
          <w:rFonts w:ascii="Times New Roman" w:hAnsi="Times New Roman" w:eastAsia="Times New Roman" w:cs="Times New Roman"/>
        </w:rPr>
        <w:t xml:space="preserve"> </w:t>
      </w:r>
      <w:r>
        <w:rPr>
          <w:rFonts w:ascii="Myanmar Text" w:hAnsi="Myanmar Text" w:eastAsia="Myanmar Text" w:cs="Myanmar Text"/>
        </w:rPr>
        <w:t>ပထမပိုဒ်တွင်</w:t>
      </w:r>
      <w:r>
        <w:rPr>
          <w:rFonts w:ascii="Times New Roman" w:hAnsi="Times New Roman" w:eastAsia="Times New Roman" w:cs="Times New Roman"/>
        </w:rPr>
        <w:t xml:space="preserve"> </w:t>
      </w:r>
      <w:r>
        <w:rPr>
          <w:rFonts w:ascii="Myanmar Text" w:hAnsi="Myanmar Text" w:eastAsia="Myanmar Text" w:cs="Myanmar Text"/>
        </w:rPr>
        <w:t>ခရစ်မပေါ်မီ</w:t>
      </w:r>
      <w:r>
        <w:rPr>
          <w:rFonts w:ascii="Times New Roman" w:hAnsi="Times New Roman" w:eastAsia="Times New Roman" w:cs="Times New Roman"/>
        </w:rPr>
        <w:t xml:space="preserve"> </w:t>
      </w:r>
      <w:r>
        <w:rPr>
          <w:rFonts w:ascii="Myanmar Text" w:hAnsi="Myanmar Text" w:eastAsia="Myanmar Text" w:cs="Myanmar Text"/>
        </w:rPr>
        <w:t>၅၇၃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ရက်ကို</w:t>
      </w:r>
      <w:r>
        <w:rPr>
          <w:rFonts w:ascii="Times New Roman" w:hAnsi="Times New Roman" w:eastAsia="Times New Roman" w:cs="Times New Roman"/>
        </w:rPr>
        <w:t xml:space="preserve"> </w:t>
      </w:r>
      <w:r>
        <w:rPr>
          <w:rFonts w:ascii="Myanmar Text" w:hAnsi="Myanmar Text" w:eastAsia="Myanmar Text" w:cs="Myanmar Text"/>
        </w:rPr>
        <w:t>ထိုသံသရာ၏</w:t>
      </w:r>
      <w:r>
        <w:rPr>
          <w:rFonts w:ascii="Times New Roman" w:hAnsi="Times New Roman" w:eastAsia="Times New Roman" w:cs="Times New Roman"/>
        </w:rPr>
        <w:t xml:space="preserve"> </w:t>
      </w:r>
      <w:r>
        <w:rPr>
          <w:rFonts w:ascii="Myanmar Text" w:hAnsi="Myanmar Text" w:eastAsia="Myanmar Text" w:cs="Myanmar Text"/>
        </w:rPr>
        <w:t>အဆုံးအဖြစ်</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ယုဘိလသံသရာသည်</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တနင်္ဂနွေဥပဒေတိုင်အောင်</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တံဆိပ်ခတ်ခြင်းအချိန်ကို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ထိုသမိုင်းတိုင်အတွင်းရှိ</w:t>
      </w:r>
      <w:r>
        <w:rPr>
          <w:rFonts w:ascii="Times New Roman" w:hAnsi="Times New Roman" w:eastAsia="Times New Roman" w:cs="Times New Roman"/>
        </w:rPr>
        <w:t xml:space="preserve"> </w:t>
      </w:r>
      <w:r>
        <w:rPr>
          <w:rFonts w:ascii="Myanmar Text" w:hAnsi="Myanmar Text" w:eastAsia="Myanmar Text" w:cs="Myanmar Text"/>
        </w:rPr>
        <w:t>အတူတူသော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ဖရက်တယ်ပုံစံတစ်ရပ်၌လည်း</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တနင်္ဂနွေဥပဒေတိုင်အောင်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ကာလနှစ်ခုလုံးကို</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အထိသော</w:t>
      </w:r>
      <w:r>
        <w:rPr>
          <w:rFonts w:ascii="Times New Roman" w:hAnsi="Times New Roman" w:eastAsia="Times New Roman" w:cs="Times New Roman"/>
        </w:rPr>
        <w:t xml:space="preserve"> </w:t>
      </w:r>
      <w:r>
        <w:rPr>
          <w:rFonts w:ascii="Myanmar Text" w:hAnsi="Myanmar Text" w:eastAsia="Myanmar Text" w:cs="Myanmar Text"/>
        </w:rPr>
        <w:t>ကာလအားဖြင့်</w:t>
      </w:r>
      <w:r>
        <w:rPr>
          <w:rFonts w:ascii="Times New Roman" w:hAnsi="Times New Roman" w:eastAsia="Times New Roman" w:cs="Times New Roman"/>
        </w:rPr>
        <w:t xml:space="preserve"> </w:t>
      </w:r>
      <w:r>
        <w:rPr>
          <w:rFonts w:ascii="Myanmar Text" w:hAnsi="Myanmar Text" w:eastAsia="Myanmar Text" w:cs="Myanmar Text"/>
        </w:rPr>
        <w:t>ပုံသဏ္ဍာန်တင်ပြထားခဲ့သည်။</w:t>
      </w:r>
    </w:p>
    <w:p>
      <w:pPr>
        <w:pStyle w:val="ArticleBody"/>
        <w:jc w:val="left"/>
      </w:pPr>
      <w:r>
        <w:rPr>
          <w:rFonts w:ascii="Times New Roman" w:hAnsi="Times New Roman" w:eastAsia="Times New Roman" w:cs="Times New Roman"/>
        </w:rPr>
        <w:t>1840 gı 11 Augustos no menos que si Jesucristo mismo ang bumaba bilang gamhanan nga anghel sang Revelation diez nga nagdala sang gamay nga libro nga dapat kuhaon kag kaunon sang katawhan sang Dios. Ang amo man nga anghel nagpanaug liwat sang 9/11 agud markahan ang pagsugod sang tion sang pagtatak. Ang amo man nga anghel nagpanaug sang 31 December 2023 agud banhawon ang duha ka mga saksi nga ginpatay sa dalan sang daku nga siyudad sang Sodoma kag Egipto, sa diin man ang Ginoo ginlansang sa krus. Ang amo nga pagpanaug nagtimaan sang pangwakas nga bahin sang tion sang pagtatak. Sa sulod sang fractal nga tion halin 31 December 2023 tubtob sa Sunday law, si Ezekiel nga saserdote ginhatagan sing isa ka panan-awon sang templo sa langit. Sa amo nga tion, ginpipi siya kag nagahambal lamang kon ginasugo siya sang Dios nga maghimo sini. Ang iya kahimtangan nagapadayon tubtob sa madali na lamang nga magaabot nga Sunday law, nga ginarepresentar sang pagkalaglag sang Jerusalem.</w:t>
      </w:r>
    </w:p>
    <w:p>
      <w:pPr>
        <w:pStyle w:val="ArticleBody"/>
        <w:jc w:val="left"/>
      </w:pPr>
      <w:r>
        <w:rPr>
          <w:rFonts w:ascii="Times New Roman" w:hAnsi="Times New Roman" w:eastAsia="Times New Roman" w:cs="Times New Roman"/>
        </w:rPr>
        <w:t>John ile olduğu gibi, Ezekiel’e de Vahiy on’da aşağı inen meleğin elinde bulunan kitabı alması emredildi; ayrıca ağıt, yas ve vay kitabını yemesi de söylendi.</w:t>
      </w:r>
    </w:p>
    <w:p>
      <w:pPr>
        <w:pStyle w:val="ArticleScripture"/>
        <w:jc w:val="left"/>
      </w:pPr>
      <w:r>
        <w:rPr>
          <w:rFonts w:ascii="Times New Roman" w:hAnsi="Times New Roman" w:eastAsia="Times New Roman" w:cs="Times New Roman"/>
        </w:rPr>
        <w:t>Nän, adam ulı, saña äytkenimdi tıñda; sol buntaqı üy sekildi qarsılaspa: auzıñdı aş ta, sağan bergenimdi je. Men qarap turğanda, mine, mağan bir qol sozıldı; jäne, mine, onda bir kitap şığırşığı bar edi; Ol onı meniñ aldımda jaydı; ol işinen de, sırtınan da jazılğan edi; onda zarlaw, aza twtw jäne qasiret jazılğan edi. Ezekiel 2:8–10.</w:t>
      </w:r>
    </w:p>
    <w:p>
      <w:pPr>
        <w:pStyle w:val="ArticleBody"/>
        <w:jc w:val="left"/>
      </w:pPr>
      <w:r>
        <w:rPr>
          <w:rFonts w:ascii="Times New Roman" w:hAnsi="Times New Roman" w:eastAsia="Times New Roman" w:cs="Times New Roman"/>
        </w:rPr>
        <w:t>در اینجا پیام به‌صورت پیامی سه‌گانه به تصویر کشیده شده است، و بدین‌سان پیام سه فرشتهٔ مکاشفهٔ چهارده را نمونه‌وار می‌نمایاند. ازاین‌رو، این همان پیامِ مُهرگذارِ فرشتهٔ سوم است که کسانی را در درون اورشلیم مُهر می‌زند که بر گناه کلیسا و سرزمین، چنان‌که در باب نهمِ حزقیال و باب هفتمِ مکاشفه نشان داده شده است، نوحه و ماتم می‌کنند.</w:t>
      </w:r>
    </w:p>
    <w:p>
      <w:pPr>
        <w:pStyle w:val="ArticleScripture"/>
        <w:jc w:val="left"/>
      </w:pPr>
      <w:r>
        <w:rPr>
          <w:rFonts w:ascii="Times New Roman" w:hAnsi="Times New Roman" w:eastAsia="Times New Roman" w:cs="Times New Roman"/>
        </w:rPr>
        <w:t>Ne ua tqi velavo mai na lagilagi ni Kalou ni Isireli mai vei na jerupi, na vanua sa tiko kina, ki na katuba ni vale. A sa kacivi koya na tamata sa vakaisulu lineni, o koya sa taura e yasana na tavaya ni vaitusi; A sa kaya vei koya ko Jiova, Lako e na loma ni koro, io e na loma ni Jerusalemi, ka biuta e dua na ivakatakilakila e na mua ni ra matadra na tamata era sa vutugu ka tagi e na vuku ni veika vakasisila kece sa caka tiko e na loma ni koro ko ya. Isikeli 9:3, 4.</w:t>
      </w:r>
    </w:p>
    <w:p>
      <w:pPr>
        <w:pStyle w:val="ArticleBody"/>
        <w:jc w:val="left"/>
      </w:pP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ܕܡܩܒܠܝܢ</w:t>
      </w:r>
      <w:r>
        <w:rPr>
          <w:rFonts w:ascii="Times New Roman" w:hAnsi="Times New Roman" w:eastAsia="Times New Roman" w:cs="Times New Roman"/>
        </w:rPr>
        <w:t xml:space="preserve"> </w:t>
      </w:r>
      <w:r>
        <w:rPr>
          <w:rFonts w:ascii="Segoe UI Historic" w:hAnsi="Segoe UI Historic" w:eastAsia="Segoe UI Historic" w:cs="Segoe UI Historic"/>
        </w:rPr>
        <w:t>ܚܬܡܐ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ܐܒܝܠܝܢ</w:t>
      </w:r>
      <w:r>
        <w:rPr>
          <w:rFonts w:ascii="Times New Roman" w:hAnsi="Times New Roman" w:eastAsia="Times New Roman" w:cs="Times New Roman"/>
        </w:rPr>
        <w:t xml:space="preserve"> </w:t>
      </w:r>
      <w:r>
        <w:rPr>
          <w:rFonts w:ascii="Segoe UI Historic" w:hAnsi="Segoe UI Historic" w:eastAsia="Segoe UI Historic" w:cs="Segoe UI Historic"/>
        </w:rPr>
        <w:t>ܘܟܪܝܗܝܢ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ܚܛܗ</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ܕܥܕܬܐ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ܚܛܗ</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ܘܣܗܕܘܬܗ</w:t>
      </w:r>
      <w:r>
        <w:rPr>
          <w:rFonts w:ascii="Times New Roman" w:hAnsi="Times New Roman" w:eastAsia="Times New Roman" w:cs="Times New Roman"/>
        </w:rPr>
        <w:t xml:space="preserve"> </w:t>
      </w:r>
      <w:r>
        <w:rPr>
          <w:rFonts w:ascii="Segoe UI Historic" w:hAnsi="Segoe UI Historic" w:eastAsia="Segoe UI Historic" w:cs="Segoe UI Historic"/>
        </w:rPr>
        <w:t>ܕܚܙܩܝܐܝܠ</w:t>
      </w:r>
      <w:r>
        <w:rPr>
          <w:rFonts w:ascii="Times New Roman" w:hAnsi="Times New Roman" w:eastAsia="Times New Roman" w:cs="Times New Roman"/>
        </w:rPr>
        <w:t xml:space="preserve"> </w:t>
      </w:r>
      <w:r>
        <w:rPr>
          <w:rFonts w:ascii="Segoe UI Historic" w:hAnsi="Segoe UI Historic" w:eastAsia="Segoe UI Historic" w:cs="Segoe UI Historic"/>
        </w:rPr>
        <w:t>ܫܒܝܟܐ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ܬܫܥܝܬܗ</w:t>
      </w:r>
      <w:r>
        <w:rPr>
          <w:rFonts w:ascii="Times New Roman" w:hAnsi="Times New Roman" w:eastAsia="Times New Roman" w:cs="Times New Roman"/>
        </w:rPr>
        <w:t xml:space="preserve">̇ </w:t>
      </w:r>
      <w:r>
        <w:rPr>
          <w:rFonts w:ascii="Segoe UI Historic" w:hAnsi="Segoe UI Historic" w:eastAsia="Segoe UI Historic" w:cs="Segoe UI Historic"/>
        </w:rPr>
        <w:t>ܕܐܘܪܫܠܡ</w:t>
      </w:r>
      <w:r>
        <w:rPr>
          <w:rFonts w:ascii="Times New Roman" w:hAnsi="Times New Roman" w:eastAsia="Times New Roman" w:cs="Times New Roman"/>
        </w:rPr>
        <w:t xml:space="preserve"> </w:t>
      </w:r>
      <w:r>
        <w:rPr>
          <w:rFonts w:ascii="Segoe UI Historic" w:hAnsi="Segoe UI Historic" w:eastAsia="Segoe UI Historic" w:cs="Segoe UI Historic"/>
        </w:rPr>
        <w:t>ܘܕܡܨܪܝܢ</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ܕܐܝܬܝܗܝܢ</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ܡܙܐ</w:t>
      </w:r>
      <w:r>
        <w:rPr>
          <w:rFonts w:ascii="Times New Roman" w:hAnsi="Times New Roman" w:eastAsia="Times New Roman" w:cs="Times New Roman"/>
        </w:rPr>
        <w:t xml:space="preserve"> </w:t>
      </w:r>
      <w:r>
        <w:rPr>
          <w:rFonts w:ascii="Segoe UI Historic" w:hAnsi="Segoe UI Historic" w:eastAsia="Segoe UI Historic" w:cs="Segoe UI Historic"/>
        </w:rPr>
        <w:t>ܕܥܕܬܐ</w:t>
      </w:r>
      <w:r>
        <w:rPr>
          <w:rFonts w:ascii="Times New Roman" w:hAnsi="Times New Roman" w:eastAsia="Times New Roman" w:cs="Times New Roman"/>
        </w:rPr>
        <w:t xml:space="preserve"> </w:t>
      </w:r>
      <w:r>
        <w:rPr>
          <w:rFonts w:ascii="Segoe UI Historic" w:hAnsi="Segoe UI Historic" w:eastAsia="Segoe UI Historic" w:cs="Segoe UI Historic"/>
        </w:rPr>
        <w:t>ܘܕܥܠܡܐ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«ئاللاھقا تەقۋالىقنىڭ ئېچىتقۇسى ئۆز قۇدرىتىنى پۈتۈنلەي يوقاتقىنى يوق. چېركاۋنىڭ خەۋپى ۋە چۈشكۈنلۈكى ئەڭ زور بولغان ۋاقىتتا، نۇردا تۇرۇۋاتقان ئازغىنە جامائەت زېمىندا قىلىنىۋاتقان يىرگىنچلىك ئىشلار ئۈچۈن ئاھ چېكىپ، پەرياد قىلىدۇ. ئەمما بولۇپمۇ ئۇلارنىڭ دۇئالىرى چېركاۋ ئۈچۈن كۆتۈرۈلىدۇ، چۈنكى ئۇنىڭ ئەزالىرى دۇنيانىڭ يول-يوسۇنى بويىچە ئىش قىلماقتا. …»</w:t>
      </w:r>
    </w:p>
    <w:p>
      <w:pPr>
        <w:pStyle w:val="ArticleScripture"/>
        <w:jc w:val="left"/>
      </w:pPr>
      <w:r>
        <w:rPr>
          <w:rFonts w:ascii="Microsoft YaHei" w:hAnsi="Microsoft YaHei" w:eastAsia="Microsoft YaHei" w:cs="Microsoft YaHei"/>
        </w:rPr>
        <w:t>命令</w:t>
      </w:r>
      <w:r>
        <w:rPr>
          <w:rFonts w:ascii="Leelawadee UI" w:hAnsi="Leelawadee UI" w:eastAsia="Leelawadee UI" w:cs="Leelawadee UI"/>
        </w:rPr>
        <w:t>คือ</w:t>
      </w:r>
      <w:r>
        <w:rPr>
          <w:rFonts w:ascii="Times New Roman" w:hAnsi="Times New Roman" w:eastAsia="Times New Roman" w:cs="Times New Roman"/>
        </w:rPr>
        <w:t>: “</w:t>
      </w:r>
      <w:r>
        <w:rPr>
          <w:rFonts w:ascii="Leelawadee UI" w:hAnsi="Leelawadee UI" w:eastAsia="Leelawadee UI" w:cs="Leelawadee UI"/>
        </w:rPr>
        <w:t>จงผ่านไปท่ามกลางนคร</w:t>
      </w:r>
      <w:r>
        <w:rPr>
          <w:rFonts w:ascii="Times New Roman" w:hAnsi="Times New Roman" w:eastAsia="Times New Roman" w:cs="Times New Roman"/>
        </w:rPr>
        <w:t xml:space="preserve"> </w:t>
      </w:r>
      <w:r>
        <w:rPr>
          <w:rFonts w:ascii="Leelawadee UI" w:hAnsi="Leelawadee UI" w:eastAsia="Leelawadee UI" w:cs="Leelawadee UI"/>
        </w:rPr>
        <w:t>คือท่ามกลางกรุงเยรูซาเล็ม</w:t>
      </w:r>
      <w:r>
        <w:rPr>
          <w:rFonts w:ascii="Times New Roman" w:hAnsi="Times New Roman" w:eastAsia="Times New Roman" w:cs="Times New Roman"/>
        </w:rPr>
        <w:t xml:space="preserve"> </w:t>
      </w:r>
      <w:r>
        <w:rPr>
          <w:rFonts w:ascii="Leelawadee UI" w:hAnsi="Leelawadee UI" w:eastAsia="Leelawadee UI" w:cs="Leelawadee UI"/>
        </w:rPr>
        <w:t>และจงทำเครื่องหมายไว้ที่หน้าผากของบรรดาชายผู้ที่ถอนหายใจและร้องไห้เพราะสิ่งน่าสะอิดสะเอียนทั้งปวงซึ่งกระทำกันอยู่ท่ามกลางนครนั้น</w:t>
      </w:r>
      <w:r>
        <w:rPr>
          <w:rFonts w:ascii="Times New Roman" w:hAnsi="Times New Roman" w:eastAsia="Times New Roman" w:cs="Times New Roman"/>
        </w:rPr>
        <w:t xml:space="preserve">” </w:t>
      </w:r>
      <w:r>
        <w:rPr>
          <w:rFonts w:ascii="Leelawadee UI" w:hAnsi="Leelawadee UI" w:eastAsia="Leelawadee UI" w:cs="Leelawadee UI"/>
        </w:rPr>
        <w:t>คนเหล่านี้ที่ถอนหายใจและร้องไห้</w:t>
      </w:r>
      <w:r>
        <w:rPr>
          <w:rFonts w:ascii="Times New Roman" w:hAnsi="Times New Roman" w:eastAsia="Times New Roman" w:cs="Times New Roman"/>
        </w:rPr>
        <w:t xml:space="preserve"> </w:t>
      </w:r>
      <w:r>
        <w:rPr>
          <w:rFonts w:ascii="Leelawadee UI" w:hAnsi="Leelawadee UI" w:eastAsia="Leelawadee UI" w:cs="Leelawadee UI"/>
        </w:rPr>
        <w:t>ได้ประกาศถ้อยคำแห่งชีวิตอยู่แล้ว</w:t>
      </w:r>
      <w:r>
        <w:rPr>
          <w:rFonts w:ascii="Times New Roman" w:hAnsi="Times New Roman" w:eastAsia="Times New Roman" w:cs="Times New Roman"/>
        </w:rPr>
        <w:t xml:space="preserve">; </w:t>
      </w:r>
      <w:r>
        <w:rPr>
          <w:rFonts w:ascii="Leelawadee UI" w:hAnsi="Leelawadee UI" w:eastAsia="Leelawadee UI" w:cs="Leelawadee UI"/>
        </w:rPr>
        <w:t>พวกเขาได้ตักเตือน</w:t>
      </w:r>
      <w:r>
        <w:rPr>
          <w:rFonts w:ascii="Times New Roman" w:hAnsi="Times New Roman" w:eastAsia="Times New Roman" w:cs="Times New Roman"/>
        </w:rPr>
        <w:t xml:space="preserve"> </w:t>
      </w:r>
      <w:r>
        <w:rPr>
          <w:rFonts w:ascii="Leelawadee UI" w:hAnsi="Leelawadee UI" w:eastAsia="Leelawadee UI" w:cs="Leelawadee UI"/>
        </w:rPr>
        <w:t>ให้คำปรึกษา</w:t>
      </w:r>
      <w:r>
        <w:rPr>
          <w:rFonts w:ascii="Times New Roman" w:hAnsi="Times New Roman" w:eastAsia="Times New Roman" w:cs="Times New Roman"/>
        </w:rPr>
        <w:t xml:space="preserve"> </w:t>
      </w:r>
      <w:r>
        <w:rPr>
          <w:rFonts w:ascii="Leelawadee UI" w:hAnsi="Leelawadee UI" w:eastAsia="Leelawadee UI" w:cs="Leelawadee UI"/>
        </w:rPr>
        <w:t>และวิงวอนแล้ว</w:t>
      </w:r>
      <w:r>
        <w:rPr>
          <w:rFonts w:ascii="Times New Roman" w:hAnsi="Times New Roman" w:eastAsia="Times New Roman" w:cs="Times New Roman"/>
        </w:rPr>
        <w:t xml:space="preserve">. </w:t>
      </w:r>
      <w:r>
        <w:rPr>
          <w:rFonts w:ascii="Leelawadee UI" w:hAnsi="Leelawadee UI" w:eastAsia="Leelawadee UI" w:cs="Leelawadee UI"/>
        </w:rPr>
        <w:t>บางคนซึ่งเคยลบหลู่พระเจ้าได้กลับใจและถ่อมใจลงเฉพาะพระพักตร์พระองค์</w:t>
      </w:r>
      <w:r>
        <w:rPr>
          <w:rFonts w:ascii="Times New Roman" w:hAnsi="Times New Roman" w:eastAsia="Times New Roman" w:cs="Times New Roman"/>
        </w:rPr>
        <w:t xml:space="preserve">. </w:t>
      </w:r>
      <w:r>
        <w:rPr>
          <w:rFonts w:ascii="Leelawadee UI" w:hAnsi="Leelawadee UI" w:eastAsia="Leelawadee UI" w:cs="Leelawadee UI"/>
        </w:rPr>
        <w:t>แต่พระสิริขององค์พระผู้เป็นเจ้าได้จากอิสราเอลไปแล้ว</w:t>
      </w:r>
      <w:r>
        <w:rPr>
          <w:rFonts w:ascii="Times New Roman" w:hAnsi="Times New Roman" w:eastAsia="Times New Roman" w:cs="Times New Roman"/>
        </w:rPr>
        <w:t xml:space="preserve">; </w:t>
      </w:r>
      <w:r>
        <w:rPr>
          <w:rFonts w:ascii="Leelawadee UI" w:hAnsi="Leelawadee UI" w:eastAsia="Leelawadee UI" w:cs="Leelawadee UI"/>
        </w:rPr>
        <w:t>แม้ว่าหลายคนยังคงดำเนินตามแบบพิธีทางศาสนาต่อไป</w:t>
      </w:r>
      <w:r>
        <w:rPr>
          <w:rFonts w:ascii="Times New Roman" w:hAnsi="Times New Roman" w:eastAsia="Times New Roman" w:cs="Times New Roman"/>
        </w:rPr>
        <w:t xml:space="preserve"> </w:t>
      </w:r>
      <w:r>
        <w:rPr>
          <w:rFonts w:ascii="Leelawadee UI" w:hAnsi="Leelawadee UI" w:eastAsia="Leelawadee UI" w:cs="Leelawadee UI"/>
        </w:rPr>
        <w:t>แต่ฤทธานุภาพและการทรงสถิตของพระองค์ได้ขาดหายไป</w:t>
      </w:r>
      <w:r>
        <w:rPr>
          <w:rFonts w:ascii="Times New Roman" w:hAnsi="Times New Roman" w:eastAsia="Times New Roman" w:cs="Times New Roman"/>
        </w:rPr>
        <w:t xml:space="preserve">” </w:t>
      </w:r>
      <w:r>
        <w:rPr>
          <w:rFonts w:ascii="Leelawadee UI" w:hAnsi="Leelawadee UI" w:eastAsia="Leelawadee UI" w:cs="Leelawadee UI"/>
        </w:rPr>
        <w:t>คำพยาน</w:t>
      </w:r>
      <w:r>
        <w:rPr>
          <w:rFonts w:ascii="Times New Roman" w:hAnsi="Times New Roman" w:eastAsia="Times New Roman" w:cs="Times New Roman"/>
        </w:rPr>
        <w:t xml:space="preserve">, </w:t>
      </w:r>
      <w:r>
        <w:rPr>
          <w:rFonts w:ascii="Leelawadee UI" w:hAnsi="Leelawadee UI" w:eastAsia="Leelawadee UI" w:cs="Leelawadee UI"/>
        </w:rPr>
        <w:t>เล่ม</w:t>
      </w:r>
      <w:r>
        <w:rPr>
          <w:rFonts w:ascii="Times New Roman" w:hAnsi="Times New Roman" w:eastAsia="Times New Roman" w:cs="Times New Roman"/>
        </w:rPr>
        <w:t xml:space="preserve"> 5, 209, 210.</w:t>
      </w:r>
    </w:p>
    <w:p>
      <w:pPr>
        <w:pStyle w:val="ArticleBody"/>
        <w:jc w:val="left"/>
      </w:pPr>
      <w:r>
        <w:rPr>
          <w:rFonts w:ascii="Times New Roman" w:hAnsi="Times New Roman" w:eastAsia="Times New Roman" w:cs="Times New Roman"/>
        </w:rPr>
        <w:t>Në kontekstin e librit të Vajtimit, vajtimi dhe mjerimi, që tipizojnë tre engjëjt e Zbulesës katërmbëdhjetë, vajtimet dhe vajtimi i përkasin engjëllit të parë dhe të dytë, ndërsa i treti është mesazhi i mjerimit, një simbol i erës së lindjes që mbahet nën fre nga katër engjëjt përmbajtës të Zbulesës shtatë.</w:t>
      </w:r>
    </w:p>
    <w:p>
      <w:pPr>
        <w:pStyle w:val="ArticleHeading"/>
        <w:jc w:val="left"/>
      </w:pPr>
      <w:r>
        <w:rPr>
          <w:rFonts w:ascii="Nirmala UI" w:hAnsi="Nirmala UI" w:eastAsia="Nirmala UI" w:cs="Nirmala UI"/>
        </w:rPr>
        <w:t>मिस्र</w:t>
      </w:r>
    </w:p>
    <w:p>
      <w:pPr>
        <w:pStyle w:val="ArticleBody"/>
        <w:jc w:val="left"/>
      </w:pPr>
      <w:r>
        <w:rPr>
          <w:rFonts w:ascii="Times New Roman" w:hAnsi="Times New Roman" w:eastAsia="Times New Roman" w:cs="Times New Roman"/>
        </w:rPr>
        <w:t>Taq Ezequiel qillqapi chunka kinsayuq p’unchawkuna riqsichisqa kashan. Egipto nisqa p’unchawkunamanta ñawpaq kaqmi Ezequiel 29:1, chaytaq 587 ñawpaq Cristo paqarinmanta watata rikuchirqan.</w:t>
      </w:r>
    </w:p>
    <w:p>
      <w:pPr>
        <w:pStyle w:val="ArticleScripture"/>
        <w:jc w:val="left"/>
      </w:pPr>
      <w:r>
        <w:rPr>
          <w:rFonts w:ascii="Times New Roman" w:hAnsi="Times New Roman" w:eastAsia="Times New Roman" w:cs="Times New Roman"/>
        </w:rPr>
        <w:t>دەهەمین ساڵدا، دەهەمین مانگدا، لە دوازدەهەمین ڕۆژی مانگەکەدا، وشەی یەزدان هات بۆ من و فەرموو: کوڕی ئادەم، ڕووت لە دژی فیرعەونی پاشای میسر دابنێ، و پێشبینی لە دژی ئەو و هەموو میسر بکە؛ قسە بکە و بڵێ: ئەمە دەفەرمووێت خاوەن یەزدان؛ ئاگاداربە، من لە دژی تۆم، ئەی فیرعەونی پاشای میسر، ئەی ئەژدەها گەورەیەی کە لە ناو ڕووبارەکانی خۆی پاڵکەوتووە، ئەوەی وتووێتی: ڕووبارەکەم هی خۆمە، و من بۆ خۆم دروستم کردووە. حزقیال 29:1–3.</w:t>
      </w:r>
    </w:p>
    <w:p>
      <w:pPr>
        <w:pStyle w:val="ArticleBody"/>
        <w:jc w:val="left"/>
      </w:pPr>
      <w:r>
        <w:rPr>
          <w:rFonts w:ascii="Times New Roman" w:hAnsi="Times New Roman" w:eastAsia="Times New Roman" w:cs="Times New Roman"/>
        </w:rPr>
        <w:t>587 BC waa sannadkii go’doominta, taas oo bilaabatay hal sano iyo badh ka hor burburkii Yeruusaalem. Waqtigaas ayaa Yexesqeel ku dhawaaqayaa in Ilaah Masar afgembiyi doono, iyo in afgembigaasu uu dadka Ilaah u muujin doono nacasnimadooda ay ku aammineen masduulaagga Masar. Dhammaadka cutubka waxaa lagu dhawaaqaa in Masar loo gacangelin doono Baabuloon, sidaasna lagu aqoonsanayo goorta tobanka boqor ay boqortooyadoodii toddobaad ee wax sii sheegidda Baybalka siinayaan Baabuloonta casriga ah—boqortooyada siddeedaad ee ka mid ah toddobada. Wax sii sheegiddaas waxay rumoowday “toddoba iyo toban” sano ka dib, 571 BC, sida lagu sheegay dhammaadka cutubka. Sidaa darteed cutubka 29 waxa ku jira tixraaca ugu horreeya iyo kan ugu dambeeya ee taariikheyn la xidhiidha Masar.</w:t>
      </w:r>
    </w:p>
    <w:p>
      <w:pPr>
        <w:pStyle w:val="ArticleScripture"/>
        <w:jc w:val="left"/>
      </w:pPr>
      <w:r>
        <w:rPr>
          <w:rFonts w:ascii="Times New Roman" w:hAnsi="Times New Roman" w:eastAsia="Times New Roman" w:cs="Times New Roman"/>
        </w:rPr>
        <w:t>А двадцат жети йылда, биринчи айҙа, айҙың биринчи көнөндә, маған Ходайҙың һүҙе килде: «Инсан улы, Бабил батшаһы Невухадреццар үҙенең ғәскәрен Тирға ҡаршы ауыр хеҙмәткә салды: һәр баш таҡырланды, һәр иң тирелеп бөттө; шулай ҙа Тир өсөн, уға ҡаршы атқарған хеҙмәте өсөн, ни үҙенә, ни ғәскәренә хаҡ булманы. Шуға күрә Хоҙай Раббы былай ти: бына, Мин Мысыр ерен Бабил батшаһы Невухадреццарға бирәм; ул уның күплеген алып китер, уның табышын алыр, уның олжаһын алыр; һәм был уның ғәскәре өсөн хеҙмәт хаҡы булыр. Уға Мысыр ерен Мин уның унда башҡарған хеҙмәте өсөн бирҙем, сөнки улар Минең өсөн эшләнеләр, — ти Хоҙай Раббы. Ул көндә Мин Израиль йортоноң мөғөҙөн бөрөләндерермен, һәм һиңә улар араһында ауыҙың асылыуын бирермен; һәм улар Минең Раббы икәнемде белерҙәр». Иезекииль 29:17–21.</w:t>
      </w:r>
    </w:p>
    <w:p>
      <w:pPr>
        <w:pStyle w:val="ArticleBody"/>
        <w:jc w:val="left"/>
      </w:pPr>
      <w:r>
        <w:rPr>
          <w:rFonts w:ascii="Times New Roman" w:hAnsi="Times New Roman" w:eastAsia="Times New Roman" w:cs="Times New Roman"/>
        </w:rPr>
        <w:t>بېست یەمین ساڵ، لە مانگی یەکەمدا، لە رۆژی یەکەمی ئایەتی حەڤدەدا، دوایین بەرواری ئەو سیزدە بەروارەی حزقیالە نیشان دەدات، و تەنها ئەو بەروارەیە کە دوای ٢٢ی ئۆکتۆبەری ٥٧٣ پ.ز. دەکەوێت. ئەو کاتە نیشان دەدات کە پاشای باکوور لە دانیال ١١:٤٢–٤٣ میسر پێ دەدرێت، هەروەها ئەو خاڵەی کە دە پاشا حەوتەمین شانشینی خۆیان دەدەن بە هەشتەمین شانشین، کە لەو حەوتەیە. ئەوە لەو کاتەدا تەواو دەبێت کە «شاخی ماڵی ئیسرائیل» پۆپ دەکات. لە ئیشعیا ئیسرائیل لە رۆژی بای رۆژهەڵاتدا پۆپ دەکات.</w:t>
      </w:r>
    </w:p>
    <w:p>
      <w:pPr>
        <w:pStyle w:val="ArticleScripture"/>
        <w:jc w:val="left"/>
      </w:pPr>
      <w:r>
        <w:rPr>
          <w:rFonts w:ascii="Times New Roman" w:hAnsi="Times New Roman" w:eastAsia="Times New Roman" w:cs="Times New Roman"/>
        </w:rPr>
        <w:t>Уар, иааиакоб аҟынтә иаазқәа аҵаҵәҟьа рыманы иҟалоит; Израиль ашәҭлаҳҳәаауа, абӷьыркраҳҳәаауа, адунеи зегьы аҿаԥхьада даҽазныкгьы алыхәҭа иҭәуеит. Исаиа 27:8.</w:t>
      </w:r>
    </w:p>
    <w:p>
      <w:pPr>
        <w:pStyle w:val="ArticleBody"/>
        <w:jc w:val="left"/>
      </w:pPr>
      <w:r>
        <w:rPr>
          <w:rFonts w:ascii="Times New Roman" w:hAnsi="Times New Roman" w:eastAsia="Times New Roman" w:cs="Times New Roman"/>
        </w:rPr>
        <w:t>Nia woykaŋley la Ezekiel 29:17 mitȟa waŋžíya yuhá, na mísun oyáte Míseri kiŋ papal beast kiŋ él wačhíŋyanke šni šni Sunday law tȟáŋka héhaŋ mitȟáwa, maȟpíya iyúha waŋžíya tȟaŋíŋyaŋ oyás’iŋ Israel él waštešte šni kiŋ hé waŋžíya kéya šni. Hé maȟpíya 9/11 él itókagya waŋžíya waŋžíla iyéčheča kiŋ hé Christ tópa kiŋ él waŋyáŋke yuhá heháŋ tópa kiŋ él íyaye, mitȟáwa Ate kiŋ él waŋbláke čhaŋté waŋžíya owáŋka kiŋ hé oyúwaŋyaŋyaŋ wówašte tȟáŋka waŋží yuhá.</w:t>
      </w:r>
    </w:p>
    <w:p>
      <w:pPr>
        <w:pStyle w:val="ArticleScripture"/>
        <w:jc w:val="left"/>
      </w:pPr>
      <w:r>
        <w:rPr>
          <w:rFonts w:ascii="Times New Roman" w:hAnsi="Times New Roman" w:eastAsia="Times New Roman" w:cs="Times New Roman"/>
        </w:rPr>
        <w:t>«مسیح نے اپنے شاگردوں پر روح القدس پھونکنے اور اپنی سلامتی انہیں عطا کرنے کا جو عمل کیا، وہ اُس فراواں بارش کے مقابلے میں چند قطروں کے مانند تھا جو یومِ پنتیکوست پر دی جانی تھی۔» Spirit of Prophecy, volume 3, 243.</w:t>
      </w:r>
    </w:p>
    <w:p>
      <w:pPr>
        <w:pStyle w:val="ArticleBody"/>
        <w:jc w:val="left"/>
      </w:pPr>
      <w:r>
        <w:rPr>
          <w:rFonts w:ascii="Times New Roman" w:hAnsi="Times New Roman" w:eastAsia="Times New Roman" w:cs="Times New Roman"/>
        </w:rPr>
        <w:t>تەخمىنى يىقىلىشى توغرىسىدىكى ھەزقىيالنىڭ بېشارىتى مىلادىدىن ئىلگىرىكى 587-يىلى، مۇھاسىرە يىلىدە ئېلان قىلىنغان بولۇپ، «ئون يەتتە» يىلدىن كېيىن بۇ بېشارەت ئەمەلگە ئاشتى. ئۇ «ئون يەتتە» سانى ئىپادىلەيدىغان دەۋردە ئەمەلگە ئاشىدۇ؛ شۇ ئارقىلىق دانىيال 11-بابنىڭ قىرىق-ئايىتىدىكى يوشۇرۇن تارىخنى ئىپادىلەيدۇ. ئۇ ھەزقىيال 9-بابتا تەسۋىرلەنگەن بىر يۈز قىرىق تۆت مىڭ كىشىنىڭ مۆھرلىنىش ۋاقتىدا ئەمەلگە ئاشۇرۇلماقتا. مۆھرلىنىش ۋاقتىدا كېيىنكى يامغۇر تۆكۈلىدۇ، ئاۋۋال 9/11 دە سەپىش شەكلىدە، ئاندىن يەكشەنبە قانۇنىدا تولۇق تۆكۈلۈش شەكلىدە. ئىسايا بويىچە، ئۇ «شەرق شامىلى كۈنى»دە ئەمەلگە ئاشىدۇ، شەرق شامىلى بولسا ئىسلامدۇر، ۋە ئىسلام ئۈچىنچى «ۋاي»دۇر. ھەزقىيال يېيىشكە تېگىشلىك بولغان خەۋەر ئۈچ قاتلاملىق بىر خەۋەر بولۇپ، ئۇنىڭ ئۈچىنچى قىسمى ۋاي خەۋىرى ئىدى.</w:t>
      </w:r>
    </w:p>
    <w:p>
      <w:pPr>
        <w:pStyle w:val="ArticleBody"/>
        <w:jc w:val="left"/>
      </w:pPr>
      <w:r>
        <w:rPr>
          <w:rFonts w:ascii="Times New Roman" w:hAnsi="Times New Roman" w:eastAsia="Times New Roman" w:cs="Times New Roman"/>
        </w:rPr>
        <w:t>تەنبێژەری سێزدە مێژوودارەکانی حەزقیال لە پەیوەندییەکدا لەگەڵ ئۆرشەلیم، میسر و سور خراونەتەڕوو. هەموویان ڕوو لە یاخیبوون دەکەن، وەک لە ژمارەی «سێزدە»دا نیشان دەدرێت.</w:t>
      </w:r>
    </w:p>
    <w:p>
      <w:pPr>
        <w:pStyle w:val="ArticleBody"/>
        <w:jc w:val="left"/>
      </w:pPr>
      <w:r>
        <w:rPr>
          <w:rFonts w:ascii="Times New Roman" w:hAnsi="Times New Roman" w:eastAsia="Times New Roman" w:cs="Times New Roman"/>
        </w:rPr>
        <w:t>Bebost hemûyê tarihkirina Hezekîelê di gotara pêş de berdewam bikin.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Hitori Yabishwe y’Icya Mirongo Ine — Umubare wa Makumyabiri na Gatandatu</dc:title>
  <dc:subject>ئېزەكىيەل يەتتىنچى سانى</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