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یۆئیل و کڵێسای لائۆدیقیایی ئێوەنتیستی ڕۆژی حەوتەم - ژمارە یەکەم</w:t>
      </w:r>
    </w:p>
    <w:p>
      <w:pPr>
        <w:pStyle w:val="ArticleSubtitle"/>
        <w:jc w:val="left"/>
      </w:pPr>
      <w:r>
        <w:rPr>
          <w:rFonts w:ascii="Nirmala UI" w:hAnsi="Nirmala UI" w:eastAsia="Nirmala UI" w:cs="Nirmala UI"/>
        </w:rPr>
        <w:t>ᱱᱤᱛᱚᱜ</w:t>
      </w:r>
      <w:r>
        <w:rPr>
          <w:rFonts w:ascii="Arial" w:hAnsi="Arial" w:eastAsia="Arial" w:cs="Arial"/>
        </w:rPr>
        <w:t xml:space="preserve"> </w:t>
      </w:r>
      <w:r>
        <w:rPr>
          <w:rFonts w:ascii="Nirmala UI" w:hAnsi="Nirmala UI" w:eastAsia="Nirmala UI" w:cs="Nirmala UI"/>
        </w:rPr>
        <w:t>ᱥᱟᱹᱹᱛᱤᱭᱟ</w:t>
      </w:r>
      <w:r>
        <w:rPr>
          <w:rFonts w:ascii="Arial" w:hAnsi="Arial" w:eastAsia="Arial" w:cs="Arial"/>
        </w:rPr>
        <w:t xml:space="preserve"> </w:t>
      </w:r>
      <w:r>
        <w:rPr>
          <w:rFonts w:ascii="Nirmala UI" w:hAnsi="Nirmala UI" w:eastAsia="Nirmala UI" w:cs="Nirmala UI"/>
        </w:rPr>
        <w:t>ᱵᱤᱲᱤᱡ</w:t>
      </w:r>
      <w:r>
        <w:rPr>
          <w:rFonts w:ascii="Arial" w:hAnsi="Arial" w:eastAsia="Arial" w:cs="Arial"/>
        </w:rPr>
        <w:t xml:space="preserve"> </w:t>
      </w:r>
      <w:r>
        <w:rPr>
          <w:rFonts w:ascii="Nirmala UI" w:hAnsi="Nirmala UI" w:eastAsia="Nirmala UI" w:cs="Nirmala UI"/>
        </w:rPr>
        <w:t>ᱞᱮ</w:t>
      </w:r>
      <w:r>
        <w:rPr>
          <w:rFonts w:ascii="Arial" w:hAnsi="Arial" w:eastAsia="Arial" w:cs="Arial"/>
        </w:rPr>
        <w:t xml:space="preserve"> </w:t>
      </w:r>
      <w:r>
        <w:rPr>
          <w:rFonts w:ascii="Nirmala UI" w:hAnsi="Nirmala UI" w:eastAsia="Nirmala UI" w:cs="Nirmala UI"/>
        </w:rPr>
        <w:t>ᱵᱤᱰᱟᱹᱣ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«Номҳоед дар Навиштаҳо баъзе чизҳое, ки фаҳмидани онҳо душвор аст ва, ба гуфтаи Петрус, ноомӯхтагон ва ноустуворон онҳоро ба ҳалокати худ таҳриф мекунанд. Шояд мо дар ин зиндагӣ қодир набошем маънии ҳар порчаи Навиштаро шарҳ диҳем; аммо ҳеҷ нуктаи ҳаётан муҳими ҳақиқати амалӣ нест, ки дар асрор пӯшида бимонад. Вақте ки, дар инояти Худо, замон фаро расад, ки ҷаҳон бо ҳақиқати барои он замон озмуда шавад, зеҳнҳо ба василаи Рӯҳи Ӯ барангехта хоҳанд шуд, то Навиштаҳоро, ҳатто бо рӯзадорӣ ва бо дуо, биҷӯянд, то он даме ки ҳалқа пас аз ҳалқа ёфта ва дар як занҷири комил ба ҳам пайваста гардад. Ҳар воқеияте, ки бевосита ба наҷоти ҷонҳо дахл дорад, чунон равшан хоҳад гардид, ки ҳеҷ кас лозим наёбад гумроҳ шавад ё дар торикӣ роҳ биравад.</w:t>
      </w:r>
    </w:p>
    <w:p>
      <w:pPr>
        <w:pStyle w:val="ArticleScripture"/>
        <w:jc w:val="left"/>
      </w:pPr>
      <w:r>
        <w:rPr>
          <w:rFonts w:ascii="Times New Roman" w:hAnsi="Times New Roman" w:eastAsia="Times New Roman" w:cs="Times New Roman"/>
        </w:rPr>
        <w:t>“Barəxetəne nəbuwət zənzəlay dəybu, ḥaqiqat təgəllilə lə-zəmanən bə-gəlits yətəʾəyyə wə-təfəssərə. Nəḥna məsʾulīn ʿab zəlonəna məftəḥat wə-ʿab bərhān zəfənnəʿ ʿalā məngədna. Illu zəxəyu bəzəmanat ḥaləftu məsʾulīn ʿab bərhān zə-təfqeḍ ləhəm yəbriq ʿalayhəm nəbbəru. ʿAqlatəhəm bə-məlləs ʿab mələxəktat məxəttəfələf məkatəb qaddus zə-fəttənu ʾənnətu təʿassəbu. ʾƏlla ḥaqiqatat zə-nəḥna nəfəhm do ʾayfəhmuhən. ʾƏnnətu ʾaykənu məsʾulīn ʿab bərhān zə-ʾaykəlləwom. Məṣḥaf qaddus ʿəndom nəbbər, kəmā ləna ʿəndəna; ʾəlla zəman fəthi ḥaqiqat xasiṣit bə-zəʿalləq bəmashahid xətəmti tarix hāḏihi l-ʾarḍ ʾab axər zəmənat, ʾəlli ḥayyin yəqbəlu ʿalā l-ʾarḍ, ʾəyyu.”</w:t>
      </w:r>
    </w:p>
    <w:p>
      <w:pPr>
        <w:pStyle w:val="ArticleScripture"/>
        <w:jc w:val="left"/>
      </w:pPr>
      <w:r>
        <w:rPr>
          <w:rFonts w:ascii="Times New Roman" w:hAnsi="Times New Roman" w:eastAsia="Times New Roman" w:cs="Times New Roman"/>
        </w:rPr>
        <w:t>«Ճշմարտության հատուկ հատվածները համապատասխանեցվել են սերունդների վիճակներին, ինչպես որ նրանք եղել են։ Ներկայ ճշմարտությունը, որը փորձություն է այս սերնդի ժողովրդի համար, փորձություն չէր հեռավոր անցյալի սերունդների ժողովրդի համար։ Եթե այն լույսը, որ այժմ շողում է մեզ վրա՝ չորրորդ պատվիրանի շաբաթի վերաբերյալ, տրված լիներ անցյալի սերունդներին, Աստված նրանց պատասխանատու կպահեր այդ լույսի համար»։ Վկայություններ, հատոր 2, 692, 693.</w:t>
      </w:r>
    </w:p>
    <w:p>
      <w:pPr>
        <w:pStyle w:val="ArticleHeading"/>
        <w:jc w:val="left"/>
      </w:pPr>
      <w:r>
        <w:rPr>
          <w:rFonts w:ascii="Arial" w:hAnsi="Arial" w:eastAsia="Arial" w:cs="Arial"/>
        </w:rPr>
        <w:t>Nye og gamle</w:t>
      </w:r>
    </w:p>
    <w:p>
      <w:pPr>
        <w:pStyle w:val="ArticleScripture"/>
        <w:jc w:val="left"/>
      </w:pPr>
      <w:r>
        <w:rPr>
          <w:rFonts w:ascii="Times New Roman" w:hAnsi="Times New Roman" w:eastAsia="Times New Roman" w:cs="Times New Roman"/>
        </w:rPr>
        <w:t>«همیشه در هر عصر گشایشِ تازه‌ای از حقیقت وجود دارد؛ پیامی از جانب خدا برای مردمِ آن نسل. حقایقِ کهن همگی اساسی‌اند؛ حقیقتِ نو مستقل از حقیقتِ کهن نیست، بلکه گشوده‌شدنِ آن است. تنها هنگامی که حقایقِ کهن فهمیده شوند، می‌توانیم حقیقتِ نو را دریابیم. وقتی مسیح خواست حقیقتِ رستاخیزِ خود را بر شاگردانش آشکار سازد، «از موسی و همهٔ انبیا آغاز کرد» و «در همهٔ کتب، امور مربوط به خود را برای ایشان شرح داد.» لوقا 24:27. اما این نوری است که در گشایشِ تازهٔ حقیقت می‌تابد و کهن را جلال می‌بخشد. آن‌که نو را رد کند یا از آن غفلت ورزد، در حقیقت کهن را نیز به‌راستی در اختیار ندارد. برای او، آن حقیقت نیروی حیاتیِ خود را از دست می‌دهد و جز صورتی بی‌جان نمی‌گردد.»</w:t>
      </w:r>
    </w:p>
    <w:p>
      <w:pPr>
        <w:pStyle w:val="ArticleScripture"/>
        <w:jc w:val="left"/>
      </w:pPr>
      <w:r>
        <w:rPr>
          <w:rFonts w:ascii="Times New Roman" w:hAnsi="Times New Roman" w:eastAsia="Times New Roman" w:cs="Times New Roman"/>
        </w:rPr>
        <w:t>“Yra tokių, kurie išpažįsta tikį ir moką Senojo Testamento tiesų, tačiau atmeta Naująjį. Bet atsisakydami priimti Kristaus mokymą, jie parodo, kad netiki tuo, ką kalbėjo patriarchai ir pranašai. „Jei būtumėte tikėję Moze, būtumėte tikėję ir Manimi, nes jis rašė apie Mane“, — tarė Kristus. Jn 5, 46. Todėl jų mokyme net apie Senąjį Testamentą nėra jokios tikros galios.</w:t>
      </w:r>
    </w:p>
    <w:p>
      <w:pPr>
        <w:pStyle w:val="ArticleScripture"/>
        <w:jc w:val="left"/>
      </w:pPr>
      <w:r>
        <w:rPr>
          <w:rFonts w:ascii="Times New Roman" w:hAnsi="Times New Roman" w:eastAsia="Times New Roman" w:cs="Times New Roman"/>
        </w:rPr>
        <w:t>«Уағызға сенеміз әрі оны үйретеміз деп мәлімдейтіндердің көбі осыған ұқсас адасуда жүр. Олар Ескі Өсиет Жазбаларын бір шетке ысырады; ал Мәсіх солар туралы: “Олар Мен туралы куәлік етеді”,— деп жариялаған. Жохан 5:39. Ескіні теріске шығару арқылы олар іс жүзінде Жаңаны да теріске шығарады; өйткені екеуі де ажырамас біртұтастың бөліктері. Құдай заңын Інжілсіз де, Інжілді заңсыз да ешбір адам дұрыс түрде ұсына алмайды. Заң — тұлғаланған Ізгі хабар, ал Ізгі хабар — ашылып көрсетілген заң. Заң — тамыр, ал Інжіл — одан шығатын хош иісті гүл мен жеміс.»</w:t>
      </w:r>
    </w:p>
    <w:p>
      <w:pPr>
        <w:pStyle w:val="ArticleScripture"/>
        <w:jc w:val="left"/>
      </w:pPr>
      <w:r>
        <w:rPr>
          <w:rFonts w:ascii="Times New Roman" w:hAnsi="Times New Roman" w:eastAsia="Times New Roman" w:cs="Times New Roman"/>
        </w:rPr>
        <w:t>«العهد القديم يُلقي نورًا على العهد الجديد، والجديد على القديم. وكلٌّ منهما إعلانٌ لمجد الله في المسيح. وكلاهما يقدّمان حقائق ستواصل الكشف عن أعماق جديدة من المعنى للطالب الجاد». أمثال المسيح، 128.</w:t>
      </w:r>
    </w:p>
    <w:p>
      <w:pPr>
        <w:pStyle w:val="ArticleBody"/>
        <w:jc w:val="left"/>
      </w:pPr>
      <w:r>
        <w:rPr>
          <w:rFonts w:ascii="Times New Roman" w:hAnsi="Times New Roman" w:eastAsia="Times New Roman" w:cs="Times New Roman"/>
        </w:rPr>
        <w:t>La verdad presente es, por definición, la “verdad revelada” para un período específico de tiempo, que es “claramente vista y explicada”. La generación que vive en el tiempo en que la “verdad presente” es revelada es tenida por “responsable” de aceptar esa verdad o morir. Las verdades combinadas que constituyen la “verdad presente de prueba” para “esta generación” están representadas en “el despliegue de verdades especiales” “en relación con las escenas finales de la historia de esta tierra”. La verdad, y por lo tanto la “verdad presente”, es tipificada por el Nuevo Testamento en relación con el Antiguo Testamento. La verdad se establece sobre dos testigos y la verdad tiene un principio y un fin, un literal y un espiritual, un antiguo y un moderno, un alfa y una omega, un primero y un último.</w:t>
      </w:r>
    </w:p>
    <w:p>
      <w:pPr>
        <w:pStyle w:val="ArticleBody"/>
        <w:jc w:val="left"/>
      </w:pPr>
      <w:r>
        <w:rPr>
          <w:rFonts w:ascii="Times New Roman" w:hAnsi="Times New Roman" w:eastAsia="Times New Roman" w:cs="Times New Roman"/>
        </w:rPr>
        <w:t>بنیادی میلریِ پیام فرشتۀ اول، در نسبت با پیام «حقیقت حاضر»ِ فرشتۀ سوم، همان «قدیم» است. آنان که «قدیم را رد می‌کنند»، «در عمل جدید را نیز رد می‌کنند»، زیرا هر دو اجزای یک کلیتِ جدایی‌ناپذیرند.</w:t>
      </w:r>
    </w:p>
    <w:p>
      <w:pPr>
        <w:pStyle w:val="ArticleScripture"/>
        <w:jc w:val="left"/>
      </w:pPr>
      <w:r>
        <w:rPr>
          <w:rFonts w:ascii="Times New Roman" w:hAnsi="Times New Roman" w:eastAsia="Times New Roman" w:cs="Times New Roman"/>
        </w:rPr>
        <w:t>“Ḱ m̀ rí dandan fún àwọn òjíṣẹ́ náà, ní pàtàkì, kí wọ́n máa ṣọ́ra, kí wọ́n sì máa ṣàyẹ̀wò gbogbo ìfẹ́kúfẹ̀ẹ́ aṣiwèrè níbikíbi tí wọ́n bá rí i pé ó ń dìde. Sátánì ń tẹ̀ wọlé láti gbogbo ọ̀nà, àti bí a kò bá ṣọ́ra sí i, tí a kò sì ní ojú wa sílẹ̀ sí àwọn ète àti ìdẹkùn rẹ̀, tí a kò sì wọ gbogbo ihamọ́ra Ọlọ́run, àwọn ọfà iná ti ẹni búburú yóò gbá wa. Ọ̀pọ̀lọpọ̀ òtítọ́ iyebíye ni ó wà nínú Ọ̀rọ̀ Ọlọ́run, ṣùgbọ́n ‘òtítọ́ ìsinsin yìí’ ni agbo náà nílò báyìí. Mo ti rí ewu tí ó wà nínú bí àwọn òjíṣẹ́ ṣe lè yà kúrò lórí àwọn kókó pàtàkì ti òtítọ́ ìsinsin yìí, kí wọ́n sì máa gbé lé àwọn kókó-ọrọ̀ tí kò lè mú agbo náà ṣọ̀kan, tí kò sì lè sọ ọkàn di mímọ́. Níhìn-ín ni Sátánì yóò ti lo gbogbo ànfààní tí ó bá ṣeé ṣe láti pa iṣẹ́ náà lára.”</w:t>
      </w:r>
    </w:p>
    <w:p>
      <w:pPr>
        <w:pStyle w:val="ArticleScripture"/>
        <w:jc w:val="left"/>
      </w:pPr>
      <w:r>
        <w:rPr>
          <w:rFonts w:ascii="Times New Roman" w:hAnsi="Times New Roman" w:eastAsia="Times New Roman" w:cs="Times New Roman"/>
        </w:rPr>
        <w:t>“Aymá amta yatiyawinakax santuario tuqita, 2300 urunamp chikachata, Diosan kamachinakapampi ukhamarak Jesusan iyawsäwipampi, wali sum wakicht’atawa nayra Advento saräwita qhanañchañataki ukhamarak jichhax kawkinktan uñacht’ayañataki, payachasirinakan iyawsäwip sayt’ayañataki, ukhamarak k’aja jutïri uruta chiqapa yatiyäwi churañataki. Akanakawa, nayax walja kuti uñjta, qillqirinakax juk’amp qhanañcht’apxañapa wakiskir jach’a amtanakäna.” Early Writings, 63.</w:t>
      </w:r>
    </w:p>
    <w:p>
      <w:pPr>
        <w:pStyle w:val="ArticleBody"/>
        <w:jc w:val="left"/>
      </w:pPr>
      <w:r>
        <w:rPr>
          <w:rFonts w:ascii="Times New Roman" w:hAnsi="Times New Roman" w:eastAsia="Times New Roman" w:cs="Times New Roman"/>
        </w:rPr>
        <w:t>«معبدگاه»، در پیوند با 2300 روز، احکام خدا و ایمان عیسی، کلید تبیین «جنبش ادونتی گذشته»ی میلری‌هاست و بدین‌وسیله، برای تبیین «به‌طور کاملِ» این‌که «موقعیت کنونی ما چیست». کسانی که در «جنبش ادونتی گذشته» «تردید» می‌کنند، در آنچه به «آیندهٔ پرجلال» «یقین» می‌بخشد، «تردید» می‌کنند. آنچه به آینده یقین می‌بخشد، گذشته است.</w:t>
      </w:r>
    </w:p>
    <w:p>
      <w:pPr>
        <w:pStyle w:val="ArticleBody"/>
        <w:jc w:val="left"/>
      </w:pPr>
      <w:r>
        <w:rPr>
          <w:rFonts w:ascii="Times New Roman" w:hAnsi="Times New Roman" w:eastAsia="Times New Roman" w:cs="Times New Roman"/>
        </w:rPr>
        <w:t>کتاب یوئیل پیامی از حقیقتِ آزمون‌کنندهٔ حاضر است. این امر به‌واسطهٔ شاهدان متعدد تأیید می‌شود. روحِ نبوت، یوئیل را به‌عنوان «حقیقتِ حاضر» معرفی می‌کند؛ و این همان است که یوحنا در کتاب مکاشفه، مطابقِ شهادتِ عیسی، بیان می‌دارد.</w:t>
      </w:r>
    </w:p>
    <w:p>
      <w:pPr>
        <w:pStyle w:val="ArticleScripture"/>
        <w:jc w:val="left"/>
      </w:pPr>
      <w:r>
        <w:rPr>
          <w:rFonts w:ascii="Times New Roman" w:hAnsi="Times New Roman" w:eastAsia="Times New Roman" w:cs="Times New Roman"/>
        </w:rPr>
        <w:t>وحيُ يسوعَ المسيحِ الذي أعطاه اللهُ له، لِيُرِيَ عبيدَه ما لا بُدَّ أن يكون عن قريب؛ وقد أرسله وبيَّنه بملاكِه لعبدِه يوحنا، الذي شَهِدَ لكلمةِ الله، ولشهادةِ يسوعَ المسيح، ولكلِّ ما رآه. رؤيا 1:1، 2.</w:t>
      </w:r>
    </w:p>
    <w:p>
      <w:pPr>
        <w:pStyle w:val="ArticleBody"/>
        <w:jc w:val="left"/>
      </w:pPr>
      <w:r>
        <w:rPr>
          <w:rFonts w:ascii="Times New Roman" w:hAnsi="Times New Roman" w:eastAsia="Times New Roman" w:cs="Times New Roman"/>
        </w:rPr>
        <w:t>„Yatsujtiriäwi” Juananxa (kawkïr yatiyäwinakti qhanañchäna), kimsa t’aqaru uñacht’ayatänwa. Jupax “Diosan arupa”, “Jesusan yatsuqtäwipa” ukat “kuna yänakatï jupax uñjkäna” ukanak qillqäna. Apocalipsis qillqatan nayrïr pä jisk’a t’aqanakanxa, Juanax khititï “profecían ajayupa” churatäkäna ukham uñacht’ayasi. Uka churatäwix Diosan Arupan mä especial qhanañchäwipa utjayi, ukhamaraki Criston arunakap tuqi profetar apayat especial qhanañchäwinakampiw utjaraki; (Cristo pachpata jan ukax angelanakap tuqi) ukat uka churatäwix samkanaka ukhamarak visióananaka taypi uñacht’ayata chiqäwimpirakiw utjaraki. Profecían ajayupax Criston yatsuqtäwipawa, ukax profetar apayatawa, ukat mä angelasa jan ukax Cristosa uka arunak arsunkaspäna ukhama pachpa autoridadaniwa.</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सहदास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19:10</w:t>
      </w:r>
      <w:r>
        <w:rPr>
          <w:rFonts w:ascii="Nirmala UI" w:hAnsi="Nirmala UI" w:eastAsia="Nirmala UI" w:cs="Nirmala UI"/>
        </w:rPr>
        <w:t>।</w:t>
      </w:r>
    </w:p>
    <w:p>
      <w:pPr>
        <w:pStyle w:val="ArticleBody"/>
        <w:jc w:val="left"/>
      </w:pPr>
      <w:r>
        <w:rPr>
          <w:rFonts w:ascii="Times New Roman" w:hAnsi="Times New Roman" w:eastAsia="Times New Roman" w:cs="Times New Roman"/>
        </w:rPr>
        <w:t>Gabriel ohechauka ha’eha peteĩ tembiguái irũngua Juan ndive, ha ndojeadorái va’erã chupe. Gabriel avei ohechauka umi “joyke’y” Juan orepresentáva “oguerekoha Jesús testimonio”, ha upéva hína “marandu hag̃uáva espíritu”. Umi “joyke’y” Juan orepresentáva hína umi cien cuarenta y cuatro mil, ha enterove umi joyke’y oguereko pe “marandu hag̃uáva espíritu”.</w:t>
      </w:r>
    </w:p>
    <w:p>
      <w:pPr>
        <w:pStyle w:val="ArticleScripture"/>
        <w:jc w:val="left"/>
      </w:pPr>
      <w:r>
        <w:rPr>
          <w:rFonts w:ascii="Times New Roman" w:hAnsi="Times New Roman" w:eastAsia="Times New Roman" w:cs="Times New Roman"/>
        </w:rPr>
        <w:t>“Натревон эрэни эртэ босож, Текоагийн цөл уруу одов. Тэднийг явж байхад Иехошафат босон зогсоод: Намайг сонсогтун, Иуда аа, мөн Иерусалимын оршин суугчид аа; ЭЗЭН Бурхандаа итгэгтүн, тэгвэл та нар бат бэх тогтоогдох болно; Түүний эш үзүүлэгчдэд итгэгтүн, тэгвэл та нар амжилт олох болно” гэж хэлэв. Шастирын дэд 20:20.</w:t>
      </w:r>
    </w:p>
    <w:p>
      <w:pPr>
        <w:pStyle w:val="ArticleScripture"/>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አምላካችሁን</w:t>
      </w:r>
      <w:r>
        <w:rPr>
          <w:rFonts w:ascii="Times New Roman" w:hAnsi="Times New Roman" w:eastAsia="Times New Roman" w:cs="Times New Roman"/>
        </w:rPr>
        <w:t xml:space="preserve"> </w:t>
      </w:r>
      <w:r>
        <w:rPr>
          <w:rFonts w:ascii="Ebrima" w:hAnsi="Ebrima" w:eastAsia="Ebrima" w:cs="Ebrima"/>
        </w:rPr>
        <w:t>እመኑ፥</w:t>
      </w:r>
      <w:r>
        <w:rPr>
          <w:rFonts w:ascii="Times New Roman" w:hAnsi="Times New Roman" w:eastAsia="Times New Roman" w:cs="Times New Roman"/>
        </w:rPr>
        <w:t xml:space="preserve"> </w:t>
      </w:r>
      <w:r>
        <w:rPr>
          <w:rFonts w:ascii="Ebrima" w:hAnsi="Ebrima" w:eastAsia="Ebrima" w:cs="Ebrima"/>
        </w:rPr>
        <w:t>ትጸናላችሁ፤</w:t>
      </w:r>
      <w:r>
        <w:rPr>
          <w:rFonts w:ascii="Times New Roman" w:hAnsi="Times New Roman" w:eastAsia="Times New Roman" w:cs="Times New Roman"/>
        </w:rPr>
        <w:t xml:space="preserve"> </w:t>
      </w:r>
      <w:r>
        <w:rPr>
          <w:rFonts w:ascii="Ebrima" w:hAnsi="Ebrima" w:eastAsia="Ebrima" w:cs="Ebrima"/>
        </w:rPr>
        <w:t>ነቢያቱንም</w:t>
      </w:r>
      <w:r>
        <w:rPr>
          <w:rFonts w:ascii="Times New Roman" w:hAnsi="Times New Roman" w:eastAsia="Times New Roman" w:cs="Times New Roman"/>
        </w:rPr>
        <w:t xml:space="preserve"> </w:t>
      </w:r>
      <w:r>
        <w:rPr>
          <w:rFonts w:ascii="Ebrima" w:hAnsi="Ebrima" w:eastAsia="Ebrima" w:cs="Ebrima"/>
        </w:rPr>
        <w:t>እመኑ፥</w:t>
      </w:r>
      <w:r>
        <w:rPr>
          <w:rFonts w:ascii="Times New Roman" w:hAnsi="Times New Roman" w:eastAsia="Times New Roman" w:cs="Times New Roman"/>
        </w:rPr>
        <w:t xml:space="preserve"> </w:t>
      </w:r>
      <w:r>
        <w:rPr>
          <w:rFonts w:ascii="Ebrima" w:hAnsi="Ebrima" w:eastAsia="Ebrima" w:cs="Ebrima"/>
        </w:rPr>
        <w:t>ትለምልማላችሁ።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«Ишая 8:20. „Къыралгъа эм шаадеткъе; эгер олар бу сёзге коре сёйлемеселер, бу оларда ярыкъ олмагъаны себебиндендир.“ Мында Алланы халкъыны алдында эки текст къоюлгъанды: муваффакъият ичюн эки шарт. Йегованы́н озю айтхан къануну ве пейгъамберлик руху — Они́н халкъыны эр бир теҗрибеде ёллаштырмакъ ичюн икъметнинъ эки менбаасыдыр. Теснийе 4:6. „Бу сизнинъ икъметиниз ве фикир-идракинъиздир миллетлернинъ козю алдында; олар айтаджакълар: Шек-сиз, бу буюк миллет икъметли ве анълагъан бир халкътыр.“»</w:t>
      </w:r>
    </w:p>
    <w:p>
      <w:pPr>
        <w:pStyle w:val="ArticleScripture"/>
        <w:jc w:val="left"/>
      </w:pPr>
      <w:r>
        <w:rPr>
          <w:rFonts w:ascii="Times New Roman" w:hAnsi="Times New Roman" w:eastAsia="Times New Roman" w:cs="Times New Roman"/>
        </w:rPr>
        <w:t>«Azəngir Êzdanî û Ruhê Pêxemberiyê bi dest bi dest diçin da ku dêrê rêberî û şîret bikin; û kengê dêrê vê yekê bi girtina qanûna Wî nas kiriye, ruhê pêxemberiyê hatî şandin da ku wê di rêya rastiyê de rêberî bike.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ឯ</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ហើយនាគក៏ខឹងសម្បារនឹងស្ត្រីនោះ</w:t>
      </w:r>
      <w:r>
        <w:rPr>
          <w:rFonts w:ascii="Times New Roman" w:hAnsi="Times New Roman" w:eastAsia="Times New Roman" w:cs="Times New Roman"/>
        </w:rPr>
        <w:t xml:space="preserve"> </w:t>
      </w:r>
      <w:r>
        <w:rPr>
          <w:rFonts w:ascii="Leelawadee UI" w:hAnsi="Leelawadee UI" w:eastAsia="Leelawadee UI" w:cs="Leelawadee UI"/>
        </w:rPr>
        <w:t>ហើយទៅធ្វើសង្គ្រាមនឹងពួកសំណល់នៃពូជរបស់នាង</w:t>
      </w:r>
      <w:r>
        <w:rPr>
          <w:rFonts w:ascii="Times New Roman" w:hAnsi="Times New Roman" w:eastAsia="Times New Roman" w:cs="Times New Roman"/>
        </w:rPr>
        <w:t xml:space="preserve"> </w:t>
      </w:r>
      <w:r>
        <w:rPr>
          <w:rFonts w:ascii="Leelawadee UI" w:hAnsi="Leelawadee UI" w:eastAsia="Leelawadee UI" w:cs="Leelawadee UI"/>
        </w:rPr>
        <w:t>គឺអ្នកដែលកាន់តាមបញ្ញត្តិរបស់ព្រះ</w:t>
      </w:r>
      <w:r>
        <w:rPr>
          <w:rFonts w:ascii="Times New Roman" w:hAnsi="Times New Roman" w:eastAsia="Times New Roman" w:cs="Times New Roman"/>
        </w:rPr>
        <w:t xml:space="preserve"> </w:t>
      </w:r>
      <w:r>
        <w:rPr>
          <w:rFonts w:ascii="Leelawadee UI" w:hAnsi="Leelawadee UI" w:eastAsia="Leelawadee UI" w:cs="Leelawadee UI"/>
        </w:rPr>
        <w:t>ហើយមានទីបន្ទាល់របស់ព្រះយេស៊ូវគ្រីស្ទ។</w:t>
      </w:r>
      <w:r>
        <w:rPr>
          <w:rFonts w:ascii="Times New Roman" w:hAnsi="Times New Roman" w:eastAsia="Times New Roman" w:cs="Times New Roman"/>
        </w:rPr>
        <w:t xml:space="preserve">” </w:t>
      </w:r>
      <w:r>
        <w:rPr>
          <w:rFonts w:ascii="Leelawadee UI" w:hAnsi="Leelawadee UI" w:eastAsia="Leelawadee UI" w:cs="Leelawadee UI"/>
        </w:rPr>
        <w:t>ព្រះបន្ទូលទំនាយនេះបង្ហាញយ៉ាងច្បាស់ថា</w:t>
      </w:r>
      <w:r>
        <w:rPr>
          <w:rFonts w:ascii="Times New Roman" w:hAnsi="Times New Roman" w:eastAsia="Times New Roman" w:cs="Times New Roman"/>
        </w:rPr>
        <w:t xml:space="preserve"> </w:t>
      </w:r>
      <w:r>
        <w:rPr>
          <w:rFonts w:ascii="Leelawadee UI" w:hAnsi="Leelawadee UI" w:eastAsia="Leelawadee UI" w:cs="Leelawadee UI"/>
        </w:rPr>
        <w:t>ក្រុមជំនុំសំណល់នឹងទទួលស្គាល់ព្រះនៅក្នុងក្រឹត្យវិន័យរបស់ទ្រង់</w:t>
      </w:r>
      <w:r>
        <w:rPr>
          <w:rFonts w:ascii="Times New Roman" w:hAnsi="Times New Roman" w:eastAsia="Times New Roman" w:cs="Times New Roman"/>
        </w:rPr>
        <w:t xml:space="preserve"> </w:t>
      </w:r>
      <w:r>
        <w:rPr>
          <w:rFonts w:ascii="Leelawadee UI" w:hAnsi="Leelawadee UI" w:eastAsia="Leelawadee UI" w:cs="Leelawadee UI"/>
        </w:rPr>
        <w:t>ហើយនឹងមានអំណោយទានខាងទំនាយ។</w:t>
      </w:r>
      <w:r>
        <w:rPr>
          <w:rFonts w:ascii="Times New Roman" w:hAnsi="Times New Roman" w:eastAsia="Times New Roman" w:cs="Times New Roman"/>
        </w:rPr>
        <w:t xml:space="preserve"> </w:t>
      </w:r>
      <w:r>
        <w:rPr>
          <w:rFonts w:ascii="Leelawadee UI" w:hAnsi="Leelawadee UI" w:eastAsia="Leelawadee UI" w:cs="Leelawadee UI"/>
        </w:rPr>
        <w:t>ការគោរពតាមក្រឹត្យវិន័យរបស់ព្រះ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និងវិញ្ញាណនៃទំនាយ</w:t>
      </w:r>
      <w:r>
        <w:rPr>
          <w:rFonts w:ascii="Times New Roman" w:hAnsi="Times New Roman" w:eastAsia="Times New Roman" w:cs="Times New Roman"/>
        </w:rPr>
        <w:t xml:space="preserve"> </w:t>
      </w:r>
      <w:r>
        <w:rPr>
          <w:rFonts w:ascii="Leelawadee UI" w:hAnsi="Leelawadee UI" w:eastAsia="Leelawadee UI" w:cs="Leelawadee UI"/>
        </w:rPr>
        <w:t>តែងតែជាសញ្ញាសម្គាល់ប្រជារាស្ត្រពិតរបស់ព្រះ</w:t>
      </w:r>
      <w:r>
        <w:rPr>
          <w:rFonts w:ascii="Times New Roman" w:hAnsi="Times New Roman" w:eastAsia="Times New Roman" w:cs="Times New Roman"/>
        </w:rPr>
        <w:t xml:space="preserve"> </w:t>
      </w:r>
      <w:r>
        <w:rPr>
          <w:rFonts w:ascii="Leelawadee UI" w:hAnsi="Leelawadee UI" w:eastAsia="Leelawadee UI" w:cs="Leelawadee UI"/>
        </w:rPr>
        <w:t>ហើយការល្បងលត្រូវបានប្រទានជាទូទៅតាមរយៈការសម្ដែងនៅសម័យបច្ចុប្បន្ន។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«در روزگار ارمیا، قوم دربارهٔ پیام موسی، ایلیا یا الیشع هیچ تردیدی نداشتند؛ اما پیامی را که خدا به‌واسطهٔ ارمیا فرستاده بود، مورد تردید قرار دادند و کنار نهادند، تا آنکه اثر و قوت آن تباه شد و دیگر هیچ چاره‌ای نماند جز اینکه خدا ایشان را به اسارت ببرد.»</w:t>
      </w:r>
    </w:p>
    <w:p>
      <w:pPr>
        <w:pStyle w:val="ArticleScripture"/>
        <w:jc w:val="left"/>
      </w:pPr>
      <w:r>
        <w:rPr>
          <w:rFonts w:ascii="Times New Roman" w:hAnsi="Times New Roman" w:eastAsia="Times New Roman" w:cs="Times New Roman"/>
        </w:rPr>
        <w:t>“Уи Христос анцәақәа рхаангьы ауаа Иеремиа иаҳәамҭа ҵабыргуп ҳәа еилыркаахьан, насгьы урҭ рхала ирадырц абас ргәы иадырхәаԥшуан: дара рбаадыр рхаан иҟанаҵызҭгьы, уи иаҳәамҭа ирыдыркылон ҳәа; аха убри аамҭазы дара Христос иаҳәамҭа мап ацәыркит, иаразнак азы аԥааимбарцәа зегьы ирыҩхьаз.”</w:t>
      </w:r>
    </w:p>
    <w:p>
      <w:pPr>
        <w:pStyle w:val="ArticleScripture"/>
        <w:jc w:val="left"/>
      </w:pPr>
      <w:r>
        <w:rPr>
          <w:rFonts w:ascii="Times New Roman" w:hAnsi="Times New Roman" w:eastAsia="Times New Roman" w:cs="Times New Roman"/>
        </w:rPr>
        <w:t>«چوون په جیهاندا دەنگی سێیەمین فریشتە هاتە هەڵدان، ئەوەی کە بۆ ئەوەیە شەریعەتی خودا بە تەواوی و بە هێزی خۆی بۆ کڵێسا ئاشکرا بکات، هەروەها بەخشینی پێشبینییەکەش لە هەمان کاتدا دووبارە گەڕایەوە. ئەم بەخشینە ڕۆڵێکی زۆر دیار و گرنگی بینیوە لە پەرەپێدان و پێشبردنی ئەم پەیامەدا.»</w:t>
      </w:r>
    </w:p>
    <w:p>
      <w:pPr>
        <w:pStyle w:val="ArticleScripture"/>
        <w:jc w:val="left"/>
      </w:pPr>
      <w:r>
        <w:rPr>
          <w:rFonts w:ascii="Times New Roman" w:hAnsi="Times New Roman" w:eastAsia="Times New Roman" w:cs="Times New Roman"/>
        </w:rPr>
        <w:t>«Mívwul ra sa ka ngaihthlakna tihsual lo tak takte chungchang leh hnathawh dânte chungchanga ngaihthlakna danglamna te a lo awm a, chûngte chuan thuchah ringtute rinna tihbuai tûr leh hnathawhnaah inthenna hring tûrin an siam hnuah, hrilhlâwknaa thlarau chuan dinhmun chu engtin nge a nih tih a hrilhfiah zêl ṭhîn a ni. Chû thlarau chuan ringtute pawl hnenah ngaihtuahna inpumkhatna leh thiltihah inpumkhatna a thlen zêl ṭhîn. Thuchah lo ṭhanglian dân leh hnathawh lo pun chak dân kawnga harsatna tinrêng a lo chhuah tawh apiangah, Pathian dân lamah leh hrilhlâwknaa Thlarau êng lamah nghet takin ding tlatte chuan hnehna an chang a, hnathawh pawh an kutah a hmuingîl zêl ṭhîn a ni.» Loma Linda Messages, 33, 34.</w:t>
      </w:r>
    </w:p>
    <w:p>
      <w:pPr>
        <w:pStyle w:val="ArticleBody"/>
        <w:jc w:val="left"/>
      </w:pPr>
      <w:r>
        <w:rPr>
          <w:rFonts w:ascii="Times New Roman" w:hAnsi="Times New Roman" w:eastAsia="Times New Roman" w:cs="Times New Roman"/>
        </w:rPr>
        <w:t>Yoel kitābk “amān zamānā” der ruh al-nubuwwa čēn šenāsāyi kerdeya, ki ba ḥasb-e qawl-e Yuḥannā dar kitāb-e Mukāšafa, hamān shahādat-e ʿĪsā ast. Hamčanīn dar Kalām-e Ḵodā be sūrāt-e mustaqīm taʾyīd šode ast. Har do, Kitāb-e Muqaddas wa Ruh al-Nubuwwa, kitāb-e Yoel rā be rūz-hā-ye āḵir be sūrāt-e mustaqīm tatbīq mīkunand.</w:t>
      </w:r>
    </w:p>
    <w:p>
      <w:pPr>
        <w:pStyle w:val="ArticleScripture"/>
        <w:jc w:val="left"/>
      </w:pPr>
      <w:r>
        <w:rPr>
          <w:rFonts w:ascii="Times New Roman" w:hAnsi="Times New Roman" w:eastAsia="Times New Roman" w:cs="Times New Roman"/>
        </w:rPr>
        <w:t>«Wakīla ba annabawān na dā sun yi magana ne ba sosai domin zamaninsu ba kamar yadda suka yi domin namu, har ya zama annabcin da suka yi yana da ƙarfi a gare mu. “To, duk waɗannan abubuwa sun faru da su domin su zama misalai: kuma an rubuta su domin gargaɗinmu, mu waɗanda ƙarshen zamanai ya zo mana.” 1 Korintiyawa 10:11. “Ba domin kansu ba ne, amma dominmu suka yi hidimar waɗannan abubuwa, waɗanda yanzu aka sanar muku ta wurin waɗanda suka yi muku wa’azin bishara da Ruhu Mai Tsarki wanda aka aiko daga sama; waɗannan abubuwa kuwa mala’iku suna marmarin dubawa cikinsu.” 1 Bitrus 1:12. …»</w:t>
      </w:r>
    </w:p>
    <w:p>
      <w:pPr>
        <w:pStyle w:val="ArticleScripture"/>
        <w:jc w:val="left"/>
      </w:pPr>
      <w:r>
        <w:rPr>
          <w:rFonts w:ascii="Times New Roman" w:hAnsi="Times New Roman" w:eastAsia="Times New Roman" w:cs="Times New Roman"/>
        </w:rPr>
        <w:t>«الكتاب المقدس قد جمع كنوزه وربطها معًا لأجل هذا الجيل الأخير. إن جميع الأحداث العظيمة والمعاملات المهيبة في تاريخ العهد القديم قد كانت، وما تزال، تتكرر في الكنيسة في هذه الأيام الأخيرة». الرسائل المختارة، الكتاب 3، 338، 339.</w:t>
      </w:r>
    </w:p>
    <w:p>
      <w:pPr>
        <w:pStyle w:val="ArticleBody"/>
        <w:jc w:val="left"/>
      </w:pPr>
      <w:r>
        <w:rPr>
          <w:rFonts w:ascii="Nirmala UI" w:hAnsi="Nirmala UI" w:eastAsia="Nirmala UI" w:cs="Nirmala UI"/>
        </w:rPr>
        <w:t>യോവേലിന്റെ</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ലോകത്തിന്റെ</w:t>
      </w:r>
      <w:r>
        <w:rPr>
          <w:rFonts w:ascii="Times New Roman" w:hAnsi="Times New Roman" w:eastAsia="Times New Roman" w:cs="Times New Roman"/>
        </w:rPr>
        <w:t xml:space="preserve"> </w:t>
      </w:r>
      <w:r>
        <w:rPr>
          <w:rFonts w:ascii="Nirmala UI" w:hAnsi="Nirmala UI" w:eastAsia="Nirmala UI" w:cs="Nirmala UI"/>
        </w:rPr>
        <w:t>അറ്റങ്ങൾ</w:t>
      </w:r>
      <w:r>
        <w:rPr>
          <w:rFonts w:ascii="Times New Roman" w:hAnsi="Times New Roman" w:eastAsia="Times New Roman" w:cs="Times New Roman"/>
        </w:rPr>
        <w:t xml:space="preserve"> </w:t>
      </w:r>
      <w:r>
        <w:rPr>
          <w:rFonts w:ascii="Nirmala UI" w:hAnsi="Nirmala UI" w:eastAsia="Nirmala UI" w:cs="Nirmala UI"/>
        </w:rPr>
        <w:t>വന്നിരിക്കുന്ന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മേൽ</w:t>
      </w:r>
      <w:r>
        <w:rPr>
          <w:rFonts w:ascii="Times New Roman" w:hAnsi="Times New Roman" w:eastAsia="Times New Roman" w:cs="Times New Roman"/>
        </w:rPr>
        <w:t>” “</w:t>
      </w:r>
      <w:r>
        <w:rPr>
          <w:rFonts w:ascii="Nirmala UI" w:hAnsi="Nirmala UI" w:eastAsia="Nirmala UI" w:cs="Nirmala UI"/>
        </w:rPr>
        <w:t>പ്രാബല്യത്തിൽ</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w:t>
      </w:r>
      <w:r>
        <w:rPr>
          <w:rFonts w:ascii="Nirmala UI" w:hAnsi="Nirmala UI" w:eastAsia="Nirmala UI" w:cs="Nirmala UI"/>
        </w:rPr>
        <w:t>പ്രാബല്യത്തിൽ</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ഇപ്പോഴത്തെ</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എപ്പോഴും</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പരീക്ഷണമാണെന്ന</w:t>
      </w:r>
      <w:r>
        <w:rPr>
          <w:rFonts w:ascii="Times New Roman" w:hAnsi="Times New Roman" w:eastAsia="Times New Roman" w:cs="Times New Roman"/>
        </w:rPr>
        <w:t xml:space="preserve"> </w:t>
      </w:r>
      <w:r>
        <w:rPr>
          <w:rFonts w:ascii="Nirmala UI" w:hAnsi="Nirmala UI" w:eastAsia="Nirmala UI" w:cs="Nirmala UI"/>
        </w:rPr>
        <w:t>കാര്യം</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ഊന്നിപ്പറയുന്നതാണ്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പരീക്ഷണത്തിൽ</w:t>
      </w:r>
      <w:r>
        <w:rPr>
          <w:rFonts w:ascii="Times New Roman" w:hAnsi="Times New Roman" w:eastAsia="Times New Roman" w:cs="Times New Roman"/>
        </w:rPr>
        <w:t xml:space="preserve"> </w:t>
      </w:r>
      <w:r>
        <w:rPr>
          <w:rFonts w:ascii="Nirmala UI" w:hAnsi="Nirmala UI" w:eastAsia="Nirmala UI" w:cs="Nirmala UI"/>
        </w:rPr>
        <w:t>പരാജയപ്പെടുന്നവർ</w:t>
      </w:r>
      <w:r>
        <w:rPr>
          <w:rFonts w:ascii="Times New Roman" w:hAnsi="Times New Roman" w:eastAsia="Times New Roman" w:cs="Times New Roman"/>
        </w:rPr>
        <w:t xml:space="preserve"> </w:t>
      </w:r>
      <w:r>
        <w:rPr>
          <w:rFonts w:ascii="Nirmala UI" w:hAnsi="Nirmala UI" w:eastAsia="Nirmala UI" w:cs="Nirmala UI"/>
        </w:rPr>
        <w:t>യൂദാസ്</w:t>
      </w:r>
      <w:r>
        <w:rPr>
          <w:rFonts w:ascii="Times New Roman" w:hAnsi="Times New Roman" w:eastAsia="Times New Roman" w:cs="Times New Roman"/>
        </w:rPr>
        <w:t xml:space="preserve"> </w:t>
      </w:r>
      <w:r>
        <w:rPr>
          <w:rFonts w:ascii="Nirmala UI" w:hAnsi="Nirmala UI" w:eastAsia="Nirmala UI" w:cs="Nirmala UI"/>
        </w:rPr>
        <w:t>പോലുള്ള</w:t>
      </w:r>
      <w:r>
        <w:rPr>
          <w:rFonts w:ascii="Times New Roman" w:hAnsi="Times New Roman" w:eastAsia="Times New Roman" w:cs="Times New Roman"/>
        </w:rPr>
        <w:t xml:space="preserve"> </w:t>
      </w:r>
      <w:r>
        <w:rPr>
          <w:rFonts w:ascii="Nirmala UI" w:hAnsi="Nirmala UI" w:eastAsia="Nirmala UI" w:cs="Nirmala UI"/>
        </w:rPr>
        <w:t>ബൈബിളിലെ</w:t>
      </w:r>
      <w:r>
        <w:rPr>
          <w:rFonts w:ascii="Times New Roman" w:hAnsi="Times New Roman" w:eastAsia="Times New Roman" w:cs="Times New Roman"/>
        </w:rPr>
        <w:t xml:space="preserve"> </w:t>
      </w:r>
      <w:r>
        <w:rPr>
          <w:rFonts w:ascii="Nirmala UI" w:hAnsi="Nirmala UI" w:eastAsia="Nirmala UI" w:cs="Nirmala UI"/>
        </w:rPr>
        <w:t>വ്യക്തികളാൽ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“Lección tras lección cayó sin ser atendida en los oídos de Judas. ¡Cuántos hoy siguen sus pasos! A la luz de la ley de Dios, los hombres egoístas ven sus malos caracteres, pero no realizan la reforma requerida, y continúan pasando de un estado de pecado a otro.</w:t>
      </w:r>
    </w:p>
    <w:p>
      <w:pPr>
        <w:pStyle w:val="ArticleScripture"/>
        <w:jc w:val="left"/>
      </w:pPr>
      <w:r>
        <w:rPr>
          <w:rFonts w:ascii="Times New Roman" w:hAnsi="Times New Roman" w:eastAsia="Times New Roman" w:cs="Times New Roman"/>
        </w:rPr>
        <w:t>«Мәсихтің тәлімдері біздің өз дәуіріміз бен ұрпағымызға да қатысты. Ол былай деді: “Мен тек осылар үшін ғана емес, олардың сөзі арқылы Маған сенетіндер үшін де дұға етемін”. Соңғы күндерде бізге де Яһудаға жеткізілген сол куәлік жеткізілуде. Ол өз өмірінде іс жүзінде қолдана алмаған сол сабақтар естуші адамдарға да беріледі, бірақ олар да сондай-ақ сәтсіздікке ұшырайды, өйткені өз күнәларын тастамайды». Review and Herald, March 17, 1891.</w:t>
      </w:r>
    </w:p>
    <w:p>
      <w:pPr>
        <w:pStyle w:val="ArticleBody"/>
        <w:jc w:val="left"/>
      </w:pPr>
      <w:r>
        <w:rPr>
          <w:rFonts w:ascii="Times New Roman" w:hAnsi="Times New Roman" w:eastAsia="Times New Roman" w:cs="Times New Roman"/>
        </w:rPr>
        <w:t>Yohanis mul’ata Raajjiin Waaqayyoo fi dhugaa ba’umsa Yesus Kiristoosiif jedhee kitaaba Mul’ataa guutuu keessatti saba Waaqayyoo warra guyyaa dhumaa bakka bu’a; akkasumas Phaxmoositti ari’atamuun isaa warra balaa seera Dilbataa keessatti ari’ataman ni bakka bu’a. Inni sababii itti hidhametti ture ni ibsa.</w:t>
      </w:r>
    </w:p>
    <w:p>
      <w:pPr>
        <w:pStyle w:val="ArticleScripture"/>
        <w:jc w:val="left"/>
      </w:pPr>
      <w:r>
        <w:rPr>
          <w:rFonts w:ascii="Times New Roman" w:hAnsi="Times New Roman" w:eastAsia="Times New Roman" w:cs="Times New Roman"/>
        </w:rPr>
        <w:t>من، یوحنا، که برادر شما نیز هستم و در مصیبت و در ملکوت و صبرِ عیسی مسیح شریک شما می‌باشم، به سبب کلام خدا و به جهت شهادتِ عیسی مسیح، در جزیره‌ای بودم که پَطمُس نامیده می‌شود. مکاشفه ۱:۹</w:t>
      </w:r>
    </w:p>
    <w:p>
      <w:pPr>
        <w:pStyle w:val="ArticleBody"/>
        <w:jc w:val="left"/>
      </w:pPr>
      <w:r>
        <w:rPr>
          <w:rFonts w:ascii="Times New Roman" w:hAnsi="Times New Roman" w:eastAsia="Times New Roman" w:cs="Times New Roman"/>
        </w:rPr>
        <w:t>John a Bible ne Nkɔmhyɛ Honhom no nti na wɔtaa no. Adɛn nti na wɔtaa ɔha ɔwɔtwe aduanan anan no esiane Nkɔmhyɛ Honhom no nti? Nokware a edi kan a odiyifo Yoel da no adi ne Seventh-day Adventist asafo no awaresɔe. Bere a ɔsomafo Petro kyerɛe sɛ Pentekoste yɛ Yoel nhoma no mmamu no, Petro yɛɛ saa de buaa Yudafo a na wɔreto nsa ahyɛ “kasa foforo” no adaedie no so no. Yudafo no, a saa bere no wɔyɛɛ Seventh-day Adventists a wɔwɔ nna a edi akyiri no ho sɛnkyerɛnne no, na wɔreka sɛ Petro ne wɔn a wɔreka asɛmpa no “aboro.” Seventh-day Adventists bɛko atia osutɔ a edi akyiri no nkrasɛm sɛnea Yudafo a wɔwɔ Petro bere so yɛe no. Wɔyɛ saa efisɛ wɔn a wɔreka osutɔ a edi akyiri no “mprempren nokware” sɔhwɛ nkrasɛm no kura “dedaw” fapem nokware ahorow no, na nokware foforo nyinaa gyina nokware dedaw so bere nyinaa. Yeremia frɛɛ Onyankopɔn nkurɔfo a wɔwɔ osutɔ a edi akyiri no bere mu sɛ wɔnantew akwan dedaw no mu na wontie ɔwɛmfo no torobɛnto nnyegyee no, nanso wɔpow. Fapem “dedaw” nokware nkrasɛm no gyina hɔ sɛnkyerɛnne kwan so wɔ Leviticus aduonu asia no “mmere ason” no mu, a ɛda apam abusuabɔ no adi wɔ homeda a ɛfa asase no ho no mu.</w:t>
      </w:r>
    </w:p>
    <w:p>
      <w:pPr>
        <w:pStyle w:val="ArticleScripture"/>
        <w:jc w:val="left"/>
      </w:pPr>
      <w:r>
        <w:rPr>
          <w:rFonts w:ascii="Times New Roman" w:hAnsi="Times New Roman" w:eastAsia="Times New Roman" w:cs="Times New Roman"/>
        </w:rPr>
        <w:t>“Makuona kangkere ya mwandamo na Waadventista wa mwandamo, kama Yuda, wataitusaliti kwa Wakatoliki ili wapate mvuto wao wa kuja kinyume na kweli. Wakati huo watakatifu watakuwa watu wasiojulikana sana, wanaojulikana kidogo kwa Wakatoliki; lakini makanisa na Waadventista wa mwandamo wanaoijua imani na desturi zetu (kwa maana walituchukia kwa sababu ya Sabato, kwa kuwa hawakuweza kuipinga) watawasaliti watakatifu na kuwatoa taarifa kwa Wakatoliki kuwa ni wale wanaopuuza taasisi za watu; yaani, kwamba wanaishika Sabato na kuipuuza Jumapili.</w:t>
      </w:r>
    </w:p>
    <w:p>
      <w:pPr>
        <w:pStyle w:val="ArticleScripture"/>
        <w:jc w:val="left"/>
      </w:pP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Spalding and Magan, 1, 2.</w:t>
      </w:r>
    </w:p>
    <w:p>
      <w:pPr>
        <w:pStyle w:val="ArticleBody"/>
        <w:jc w:val="left"/>
      </w:pPr>
      <w:r>
        <w:rPr>
          <w:rFonts w:ascii="Gadugi" w:hAnsi="Gadugi" w:eastAsia="Gadugi" w:cs="Gadugi"/>
        </w:rPr>
        <w:t>ᎢᏔᎵᏁ</w:t>
      </w:r>
      <w:r>
        <w:rPr>
          <w:rFonts w:ascii="Times New Roman" w:hAnsi="Times New Roman" w:eastAsia="Times New Roman" w:cs="Times New Roman"/>
        </w:rPr>
        <w:t xml:space="preserve"> </w:t>
      </w:r>
      <w:r>
        <w:rPr>
          <w:rFonts w:ascii="Gadugi" w:hAnsi="Gadugi" w:eastAsia="Gadugi" w:cs="Gadugi"/>
        </w:rPr>
        <w:t>ᏌᏍᏓ</w:t>
      </w:r>
      <w:r>
        <w:rPr>
          <w:rFonts w:ascii="Times New Roman" w:hAnsi="Times New Roman" w:eastAsia="Times New Roman" w:cs="Times New Roman"/>
        </w:rPr>
        <w:t xml:space="preserve"> </w:t>
      </w:r>
      <w:r>
        <w:rPr>
          <w:rFonts w:ascii="Gadugi" w:hAnsi="Gadugi" w:eastAsia="Gadugi" w:cs="Gadugi"/>
        </w:rPr>
        <w:t>ᏭᎦᎾᏩᏛᎯ</w:t>
      </w:r>
      <w:r>
        <w:rPr>
          <w:rFonts w:ascii="Times New Roman" w:hAnsi="Times New Roman" w:eastAsia="Times New Roman" w:cs="Times New Roman"/>
        </w:rPr>
        <w:t xml:space="preserve"> </w:t>
      </w:r>
      <w:r>
        <w:rPr>
          <w:rFonts w:ascii="Gadugi" w:hAnsi="Gadugi" w:eastAsia="Gadugi" w:cs="Gadugi"/>
        </w:rPr>
        <w:t>ᎤᏬᏂᏍᎬᎢ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“nominal church”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“nominal Adventists,”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ᎤᏬᏎᎸᎢ</w:t>
      </w:r>
      <w:r>
        <w:rPr>
          <w:rFonts w:ascii="Times New Roman" w:hAnsi="Times New Roman" w:eastAsia="Times New Roman" w:cs="Times New Roman"/>
        </w:rPr>
        <w:t xml:space="preserve"> </w:t>
      </w:r>
      <w:r>
        <w:rPr>
          <w:rFonts w:ascii="Gadugi" w:hAnsi="Gadugi" w:eastAsia="Gadugi" w:cs="Gadugi"/>
        </w:rPr>
        <w:t>ᎤᏩᏍᏗ</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“nominal groups”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“Catholics.” </w:t>
      </w:r>
      <w:r>
        <w:rPr>
          <w:rFonts w:ascii="Gadugi" w:hAnsi="Gadugi" w:eastAsia="Gadugi" w:cs="Gadugi"/>
        </w:rPr>
        <w:t>Ꮎ</w:t>
      </w:r>
      <w:r>
        <w:rPr>
          <w:rFonts w:ascii="Times New Roman" w:hAnsi="Times New Roman" w:eastAsia="Times New Roman" w:cs="Times New Roman"/>
        </w:rPr>
        <w:t xml:space="preserve"> “nominal church”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“nominal Adventists,” “hated” </w:t>
      </w:r>
      <w:r>
        <w:rPr>
          <w:rFonts w:ascii="Gadugi" w:hAnsi="Gadugi" w:eastAsia="Gadugi" w:cs="Gadugi"/>
        </w:rPr>
        <w:t>ᎬᏩᏙᎴᎰᎯ</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“on account of the Sabbath, for they could not refute it.” </w:t>
      </w:r>
      <w:r>
        <w:rPr>
          <w:rFonts w:ascii="Gadugi" w:hAnsi="Gadugi" w:eastAsia="Gadugi" w:cs="Gadugi"/>
        </w:rPr>
        <w:t>Ꮎ</w:t>
      </w:r>
      <w:r>
        <w:rPr>
          <w:rFonts w:ascii="Times New Roman" w:hAnsi="Times New Roman" w:eastAsia="Times New Roman" w:cs="Times New Roman"/>
        </w:rPr>
        <w:t xml:space="preserve"> nominal church </w:t>
      </w:r>
      <w:r>
        <w:rPr>
          <w:rFonts w:ascii="Gadugi" w:hAnsi="Gadugi" w:eastAsia="Gadugi" w:cs="Gadugi"/>
        </w:rPr>
        <w:t>ᎠᎴ</w:t>
      </w:r>
      <w:r>
        <w:rPr>
          <w:rFonts w:ascii="Times New Roman" w:hAnsi="Times New Roman" w:eastAsia="Times New Roman" w:cs="Times New Roman"/>
        </w:rPr>
        <w:t xml:space="preserve"> Catholics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ᏱᎬᏩᏂᏍᏗ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“refute”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ᏆᏍᎬ</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“nominal Adventists”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ᏱᎬᏩᏂᏍᏗ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“refute” </w:t>
      </w:r>
      <w:r>
        <w:rPr>
          <w:rFonts w:ascii="Gadugi" w:hAnsi="Gadugi" w:eastAsia="Gadugi" w:cs="Gadugi"/>
        </w:rPr>
        <w:t>Ꮎ</w:t>
      </w:r>
      <w:r>
        <w:rPr>
          <w:rFonts w:ascii="Times New Roman" w:hAnsi="Times New Roman" w:eastAsia="Times New Roman" w:cs="Times New Roman"/>
        </w:rPr>
        <w:t xml:space="preserve"> “seven times” </w:t>
      </w:r>
      <w:r>
        <w:rPr>
          <w:rFonts w:ascii="Gadugi" w:hAnsi="Gadugi" w:eastAsia="Gadugi" w:cs="Gadugi"/>
        </w:rPr>
        <w:t>ᎤᏪᎵᎩ</w:t>
      </w:r>
      <w:r>
        <w:rPr>
          <w:rFonts w:ascii="Times New Roman" w:hAnsi="Times New Roman" w:eastAsia="Times New Roman" w:cs="Times New Roman"/>
        </w:rPr>
        <w:t xml:space="preserve"> </w:t>
      </w:r>
      <w:r>
        <w:rPr>
          <w:rFonts w:ascii="Gadugi" w:hAnsi="Gadugi" w:eastAsia="Gadugi" w:cs="Gadugi"/>
        </w:rPr>
        <w:t>ᎵᏫᏔᎦ</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ᏆᏍᎬ</w:t>
      </w:r>
      <w:r>
        <w:rPr>
          <w:rFonts w:ascii="Times New Roman" w:hAnsi="Times New Roman" w:eastAsia="Times New Roman" w:cs="Times New Roman"/>
        </w:rPr>
        <w:t xml:space="preserve"> </w:t>
      </w:r>
      <w:r>
        <w:rPr>
          <w:rFonts w:ascii="Gadugi" w:hAnsi="Gadugi" w:eastAsia="Gadugi" w:cs="Gadugi"/>
        </w:rPr>
        <w:t>ᎤᏁᏨᎢ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nominal church </w:t>
      </w:r>
      <w:r>
        <w:rPr>
          <w:rFonts w:ascii="Gadugi" w:hAnsi="Gadugi" w:eastAsia="Gadugi" w:cs="Gadugi"/>
        </w:rPr>
        <w:t>ᎠᎴ</w:t>
      </w:r>
      <w:r>
        <w:rPr>
          <w:rFonts w:ascii="Times New Roman" w:hAnsi="Times New Roman" w:eastAsia="Times New Roman" w:cs="Times New Roman"/>
        </w:rPr>
        <w:t xml:space="preserve"> Catholics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ᏱᎬᏩᏂᏍᏗ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“refute”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ᎠᏆᏍᎬ</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ᏗᎧᎿᎭᏩᏛᎲ</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“nominal Adventists”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ᏱᎬᏩᏂᏍᏗ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“refute”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“seven times” </w:t>
      </w:r>
      <w:r>
        <w:rPr>
          <w:rFonts w:ascii="Gadugi" w:hAnsi="Gadugi" w:eastAsia="Gadugi" w:cs="Gadugi"/>
        </w:rPr>
        <w:t>ᎤᏪᎵᎩ</w:t>
      </w:r>
      <w:r>
        <w:rPr>
          <w:rFonts w:ascii="Times New Roman" w:hAnsi="Times New Roman" w:eastAsia="Times New Roman" w:cs="Times New Roman"/>
        </w:rPr>
        <w:t xml:space="preserve"> </w:t>
      </w:r>
      <w:r>
        <w:rPr>
          <w:rFonts w:ascii="Gadugi" w:hAnsi="Gadugi" w:eastAsia="Gadugi" w:cs="Gadugi"/>
        </w:rPr>
        <w:t>ᎵᏫᏔᎦ</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“foundational” </w:t>
      </w:r>
      <w:r>
        <w:rPr>
          <w:rFonts w:ascii="Gadugi" w:hAnsi="Gadugi" w:eastAsia="Gadugi" w:cs="Gadugi"/>
        </w:rPr>
        <w:t>ᎤᏙᎯᏳᎯ</w:t>
      </w:r>
      <w:r>
        <w:rPr>
          <w:rFonts w:ascii="Times New Roman" w:hAnsi="Times New Roman" w:eastAsia="Times New Roman" w:cs="Times New Roman"/>
        </w:rPr>
        <w:t xml:space="preserve"> Millerite </w:t>
      </w:r>
      <w:r>
        <w:rPr>
          <w:rFonts w:ascii="Gadugi" w:hAnsi="Gadugi" w:eastAsia="Gadugi" w:cs="Gadugi"/>
        </w:rPr>
        <w:t>ᎤᏃᎯᏳᏒᎢ</w:t>
      </w:r>
      <w:r>
        <w:rPr>
          <w:rFonts w:ascii="Times New Roman" w:hAnsi="Times New Roman" w:eastAsia="Times New Roman" w:cs="Times New Roman"/>
        </w:rPr>
        <w:t>.</w:t>
      </w:r>
    </w:p>
    <w:p>
      <w:pPr>
        <w:pStyle w:val="ArticleBody"/>
        <w:jc w:val="left"/>
      </w:pPr>
      <w:r>
        <w:rPr>
          <w:rFonts w:ascii="Nirmala UI" w:hAnsi="Nirmala UI" w:eastAsia="Nirmala UI" w:cs="Nirmala UI"/>
        </w:rPr>
        <w:t>യോഹന്നാന്റെ</w:t>
      </w:r>
      <w:r>
        <w:rPr>
          <w:rFonts w:ascii="Times New Roman" w:hAnsi="Times New Roman" w:eastAsia="Times New Roman" w:cs="Times New Roman"/>
        </w:rPr>
        <w:t xml:space="preserve"> </w:t>
      </w:r>
      <w:r>
        <w:rPr>
          <w:rFonts w:ascii="Nirmala UI" w:hAnsi="Nirmala UI" w:eastAsia="Nirmala UI" w:cs="Nirmala UI"/>
        </w:rPr>
        <w:t>പാത്മൊസിലെ</w:t>
      </w:r>
      <w:r>
        <w:rPr>
          <w:rFonts w:ascii="Times New Roman" w:hAnsi="Times New Roman" w:eastAsia="Times New Roman" w:cs="Times New Roman"/>
        </w:rPr>
        <w:t xml:space="preserve"> </w:t>
      </w:r>
      <w:r>
        <w:rPr>
          <w:rFonts w:ascii="Nirmala UI" w:hAnsi="Nirmala UI" w:eastAsia="Nirmala UI" w:cs="Nirmala UI"/>
        </w:rPr>
        <w:t>തടങ്കൽ</w:t>
      </w:r>
      <w:r>
        <w:rPr>
          <w:rFonts w:ascii="Times New Roman" w:hAnsi="Times New Roman" w:eastAsia="Times New Roman" w:cs="Times New Roman"/>
        </w:rPr>
        <w:t xml:space="preserve">, </w:t>
      </w:r>
      <w:r>
        <w:rPr>
          <w:rFonts w:ascii="Nirmala UI" w:hAnsi="Nirmala UI" w:eastAsia="Nirmala UI" w:cs="Nirmala UI"/>
        </w:rPr>
        <w:t>ബൈബിളിനെയും</w:t>
      </w:r>
      <w:r>
        <w:rPr>
          <w:rFonts w:ascii="Times New Roman" w:hAnsi="Times New Roman" w:eastAsia="Times New Roman" w:cs="Times New Roman"/>
        </w:rPr>
        <w:t xml:space="preserve"> </w:t>
      </w:r>
      <w:r>
        <w:rPr>
          <w:rFonts w:ascii="Nirmala UI" w:hAnsi="Nirmala UI" w:eastAsia="Nirmala UI" w:cs="Nirmala UI"/>
        </w:rPr>
        <w:t>പ്രവചനാത്മാവിനെയും</w:t>
      </w:r>
      <w:r>
        <w:rPr>
          <w:rFonts w:ascii="Times New Roman" w:hAnsi="Times New Roman" w:eastAsia="Times New Roman" w:cs="Times New Roman"/>
        </w:rPr>
        <w:t xml:space="preserve"> </w:t>
      </w:r>
      <w:r>
        <w:rPr>
          <w:rFonts w:ascii="Nirmala UI" w:hAnsi="Nirmala UI" w:eastAsia="Nirmala UI" w:cs="Nirmala UI"/>
        </w:rPr>
        <w:t>ഒരുപോലെ</w:t>
      </w:r>
      <w:r>
        <w:rPr>
          <w:rFonts w:ascii="Times New Roman" w:hAnsi="Times New Roman" w:eastAsia="Times New Roman" w:cs="Times New Roman"/>
        </w:rPr>
        <w:t xml:space="preserve"> </w:t>
      </w:r>
      <w:r>
        <w:rPr>
          <w:rFonts w:ascii="Nirmala UI" w:hAnsi="Nirmala UI" w:eastAsia="Nirmala UI" w:cs="Nirmala UI"/>
        </w:rPr>
        <w:t>ഉറച്ചുപിടിക്കുന്ന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നാല്പത്തിനാലായിരത്തെയാണു</w:t>
      </w:r>
      <w:r>
        <w:rPr>
          <w:rFonts w:ascii="Times New Roman" w:hAnsi="Times New Roman" w:eastAsia="Times New Roman" w:cs="Times New Roman"/>
        </w:rPr>
        <w:t xml:space="preserve"> </w:t>
      </w:r>
      <w:r>
        <w:rPr>
          <w:rFonts w:ascii="Nirmala UI" w:hAnsi="Nirmala UI" w:eastAsia="Nirmala UI" w:cs="Nirmala UI"/>
        </w:rPr>
        <w:t>പ്രതിനിധീകരിക്കുന്നത്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ഏഴാംദിവസ</w:t>
      </w:r>
      <w:r>
        <w:rPr>
          <w:rFonts w:ascii="Times New Roman" w:hAnsi="Times New Roman" w:eastAsia="Times New Roman" w:cs="Times New Roman"/>
        </w:rPr>
        <w:t xml:space="preserve"> </w:t>
      </w:r>
      <w:r>
        <w:rPr>
          <w:rFonts w:ascii="Nirmala UI" w:hAnsi="Nirmala UI" w:eastAsia="Nirmala UI" w:cs="Nirmala UI"/>
        </w:rPr>
        <w:t>ശബ്ബത്തിനെക്കുറിച്ചു</w:t>
      </w:r>
      <w:r>
        <w:rPr>
          <w:rFonts w:ascii="Times New Roman" w:hAnsi="Times New Roman" w:eastAsia="Times New Roman" w:cs="Times New Roman"/>
        </w:rPr>
        <w:t xml:space="preserve"> </w:t>
      </w:r>
      <w:r>
        <w:rPr>
          <w:rFonts w:ascii="Nirmala UI" w:hAnsi="Nirmala UI" w:eastAsia="Nirmala UI" w:cs="Nirmala UI"/>
        </w:rPr>
        <w:t>പുറത്തുനിന്നു</w:t>
      </w:r>
      <w:r>
        <w:rPr>
          <w:rFonts w:ascii="Times New Roman" w:hAnsi="Times New Roman" w:eastAsia="Times New Roman" w:cs="Times New Roman"/>
        </w:rPr>
        <w:t xml:space="preserve"> </w:t>
      </w:r>
      <w:r>
        <w:rPr>
          <w:rFonts w:ascii="Nirmala UI" w:hAnsi="Nirmala UI" w:eastAsia="Nirmala UI" w:cs="Nirmala UI"/>
        </w:rPr>
        <w:t>പ്രത്യേകമായി</w:t>
      </w:r>
      <w:r>
        <w:rPr>
          <w:rFonts w:ascii="Times New Roman" w:hAnsi="Times New Roman" w:eastAsia="Times New Roman" w:cs="Times New Roman"/>
        </w:rPr>
        <w:t xml:space="preserve"> </w:t>
      </w:r>
      <w:r>
        <w:rPr>
          <w:rFonts w:ascii="Nirmala UI" w:hAnsi="Nirmala UI" w:eastAsia="Nirmala UI" w:cs="Nirmala UI"/>
        </w:rPr>
        <w:t>ഉപദ്രവിക്കപ്പെടുകയും</w:t>
      </w:r>
      <w:r>
        <w:rPr>
          <w:rFonts w:ascii="Times New Roman" w:hAnsi="Times New Roman" w:eastAsia="Times New Roman" w:cs="Times New Roman"/>
        </w:rPr>
        <w:t xml:space="preserve">, </w:t>
      </w:r>
      <w:r>
        <w:rPr>
          <w:rFonts w:ascii="Nirmala UI" w:hAnsi="Nirmala UI" w:eastAsia="Nirmala UI" w:cs="Nirmala UI"/>
        </w:rPr>
        <w:t>ദേശത്തേക്കുള്ള</w:t>
      </w:r>
      <w:r>
        <w:rPr>
          <w:rFonts w:ascii="Times New Roman" w:hAnsi="Times New Roman" w:eastAsia="Times New Roman" w:cs="Times New Roman"/>
        </w:rPr>
        <w:t xml:space="preserve"> </w:t>
      </w:r>
      <w:r>
        <w:rPr>
          <w:rFonts w:ascii="Nirmala UI" w:hAnsi="Nirmala UI" w:eastAsia="Nirmala UI" w:cs="Nirmala UI"/>
        </w:rPr>
        <w:t>ഏഴാംവർഷ</w:t>
      </w:r>
      <w:r>
        <w:rPr>
          <w:rFonts w:ascii="Times New Roman" w:hAnsi="Times New Roman" w:eastAsia="Times New Roman" w:cs="Times New Roman"/>
        </w:rPr>
        <w:t xml:space="preserve"> </w:t>
      </w:r>
      <w:r>
        <w:rPr>
          <w:rFonts w:ascii="Nirmala UI" w:hAnsi="Nirmala UI" w:eastAsia="Nirmala UI" w:cs="Nirmala UI"/>
        </w:rPr>
        <w:t>ശബ്ബത്തിനെക്കുറിച്ചു</w:t>
      </w:r>
      <w:r>
        <w:rPr>
          <w:rFonts w:ascii="Times New Roman" w:hAnsi="Times New Roman" w:eastAsia="Times New Roman" w:cs="Times New Roman"/>
        </w:rPr>
        <w:t xml:space="preserve"> </w:t>
      </w:r>
      <w:r>
        <w:rPr>
          <w:rFonts w:ascii="Nirmala UI" w:hAnsi="Nirmala UI" w:eastAsia="Nirmala UI" w:cs="Nirmala UI"/>
        </w:rPr>
        <w:t>അകത്തുനിന്നും</w:t>
      </w:r>
      <w:r>
        <w:rPr>
          <w:rFonts w:ascii="Times New Roman" w:hAnsi="Times New Roman" w:eastAsia="Times New Roman" w:cs="Times New Roman"/>
        </w:rPr>
        <w:t xml:space="preserve"> </w:t>
      </w:r>
      <w:r>
        <w:rPr>
          <w:rFonts w:ascii="Nirmala UI" w:hAnsi="Nirmala UI" w:eastAsia="Nirmala UI" w:cs="Nirmala UI"/>
        </w:rPr>
        <w:t>ഉപദ്രവിക്കപ്പെടുകയും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കാരണത്താൽ</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എന്തുകൊണ്ടാണ്</w:t>
      </w:r>
      <w:r>
        <w:rPr>
          <w:rFonts w:ascii="Times New Roman" w:hAnsi="Times New Roman" w:eastAsia="Times New Roman" w:cs="Times New Roman"/>
        </w:rPr>
        <w:t xml:space="preserve"> </w:t>
      </w:r>
      <w:r>
        <w:rPr>
          <w:rFonts w:ascii="Nirmala UI" w:hAnsi="Nirmala UI" w:eastAsia="Nirmala UI" w:cs="Nirmala UI"/>
        </w:rPr>
        <w:t>ഉപദ്രവിക്കപ്പെടുന്നതെന്നതിനെക്കുറിച്ചുള്ള</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യോഹന്നാന്റെ</w:t>
      </w:r>
      <w:r>
        <w:rPr>
          <w:rFonts w:ascii="Times New Roman" w:hAnsi="Times New Roman" w:eastAsia="Times New Roman" w:cs="Times New Roman"/>
        </w:rPr>
        <w:t xml:space="preserve"> </w:t>
      </w:r>
      <w:r>
        <w:rPr>
          <w:rFonts w:ascii="Nirmala UI" w:hAnsi="Nirmala UI" w:eastAsia="Nirmala UI" w:cs="Nirmala UI"/>
        </w:rPr>
        <w:t>സാക്ഷ്യത്തിനു</w:t>
      </w:r>
      <w:r>
        <w:rPr>
          <w:rFonts w:ascii="Times New Roman" w:hAnsi="Times New Roman" w:eastAsia="Times New Roman" w:cs="Times New Roman"/>
        </w:rPr>
        <w:t xml:space="preserve"> </w:t>
      </w:r>
      <w:r>
        <w:rPr>
          <w:rFonts w:ascii="Nirmala UI" w:hAnsi="Nirmala UI" w:eastAsia="Nirmala UI" w:cs="Nirmala UI"/>
        </w:rPr>
        <w:t>പിന്നാലെ</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ശബ്ദത്തിൽനിന്നുള്ള</w:t>
      </w:r>
      <w:r>
        <w:rPr>
          <w:rFonts w:ascii="Times New Roman" w:hAnsi="Times New Roman" w:eastAsia="Times New Roman" w:cs="Times New Roman"/>
        </w:rPr>
        <w:t xml:space="preserve">” </w:t>
      </w:r>
      <w:r>
        <w:rPr>
          <w:rFonts w:ascii="Nirmala UI" w:hAnsi="Nirmala UI" w:eastAsia="Nirmala UI" w:cs="Nirmala UI"/>
        </w:rPr>
        <w:t>കാഹളത്തെപ്പോലെയുള്ള</w:t>
      </w:r>
      <w:r>
        <w:rPr>
          <w:rFonts w:ascii="Times New Roman" w:hAnsi="Times New Roman" w:eastAsia="Times New Roman" w:cs="Times New Roman"/>
        </w:rPr>
        <w:t xml:space="preserve">, </w:t>
      </w:r>
      <w:r>
        <w:rPr>
          <w:rFonts w:ascii="Nirmala UI" w:hAnsi="Nirmala UI" w:eastAsia="Nirmala UI" w:cs="Nirmala UI"/>
        </w:rPr>
        <w:t>ഭൂതകാലത്തിൽനിന്നുള്ള</w:t>
      </w:r>
      <w:r>
        <w:rPr>
          <w:rFonts w:ascii="Times New Roman" w:hAnsi="Times New Roman" w:eastAsia="Times New Roman" w:cs="Times New Roman"/>
        </w:rPr>
        <w:t xml:space="preserve"> (“</w:t>
      </w:r>
      <w:r>
        <w:rPr>
          <w:rFonts w:ascii="Nirmala UI" w:hAnsi="Nirmala UI" w:eastAsia="Nirmala UI" w:cs="Nirmala UI"/>
        </w:rPr>
        <w:t>പിന്നിൽ</w:t>
      </w:r>
      <w:r>
        <w:rPr>
          <w:rFonts w:ascii="Times New Roman" w:hAnsi="Times New Roman" w:eastAsia="Times New Roman" w:cs="Times New Roman"/>
        </w:rPr>
        <w:t xml:space="preserve">”) </w:t>
      </w:r>
      <w:r>
        <w:rPr>
          <w:rFonts w:ascii="Nirmala UI" w:hAnsi="Nirmala UI" w:eastAsia="Nirmala UI" w:cs="Nirmala UI"/>
        </w:rPr>
        <w:t>സന്ദേശവും</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ڎن یوحنا، نا پە ئەمانەندا ستاس ورار اؤزو وارداشینیز، سِقینتیدە، عیسی مسیحنین پادشاهلیغیندا و صبرینده شریک اولان، الله‌ین سؤزو و عیسی مسیحنین شهادتی اوچون پطموس دئیلن آدادا ایدیم. ربّین گونو روحدا ایدیم، و آرقامدان بورازا بنزر بؤیۈک بیر سس اشیتم. مکاشفه ۱:۹، ۱۰.</w:t>
      </w:r>
    </w:p>
    <w:p>
      <w:pPr>
        <w:pStyle w:val="ArticleBody"/>
        <w:jc w:val="left"/>
      </w:pPr>
      <w:r>
        <w:rPr>
          <w:rFonts w:ascii="Times New Roman" w:hAnsi="Times New Roman" w:eastAsia="Times New Roman" w:cs="Times New Roman"/>
        </w:rPr>
        <w:t>Juan representa a aquellos que, en 9/11, oyeron la voz de trompeta del ángel de Apocalipsis dieciocho que llamaba al pueblo de Dios a volver a las «sendas antiguas» de Jeremías. Aquella gran voz fue también la advertencia de la séptima trompeta, que es asimismo el tercer ay.</w:t>
      </w:r>
    </w:p>
    <w:p>
      <w:pPr>
        <w:pStyle w:val="ArticleBody"/>
        <w:jc w:val="left"/>
      </w:pPr>
      <w:r>
        <w:rPr>
          <w:rFonts w:ascii="Times New Roman" w:hAnsi="Times New Roman" w:eastAsia="Times New Roman" w:cs="Times New Roman"/>
        </w:rPr>
        <w:t>Berna White eykwaa se, “Bible has accumulated and bound up together its treasures for this last generation.” Joel buuk so wɔ biblical “treasures” no mu baako a ɔyɛ present truth wɔ “last days” no mu. Pentecost bere mu no, Peter kyerɛɛ sɛ ɛyɛ Joel buuk no na na wɔrehyɛ no ma saa bere no. Peter, sɛnea ɛte wɔ Joel ho no, “spoke less for” Pentecost bere no sen yɛn “time.” Pentecost bere no yɛɛ early rain maa Christian Dispensation no. Pentecost hyɛ Christian Dispensation no ase, na saa ara so na ɛda Christian Dispensation no awiei nso adi. Christian Dispensation no awiei ne latter rain bere no sɛnea Pentecost yɛɛ ho mfonini no. Enti Peter yɛ Onyankopɔn nkurɔfoɔ a wɔwɔ Christian Dispensation no awiei no sɛnkyerɛnne, wɔn a wɔde Joel buuk no di dwuma de hu Honhom Kronkron no hwiegu no mmamu.</w:t>
      </w:r>
    </w:p>
    <w:p>
      <w:pPr>
        <w:pStyle w:val="ArticleScripture"/>
        <w:jc w:val="left"/>
      </w:pPr>
      <w:r>
        <w:rPr>
          <w:rFonts w:ascii="Times New Roman" w:hAnsi="Times New Roman" w:eastAsia="Times New Roman" w:cs="Times New Roman"/>
        </w:rPr>
        <w:t>لەکن پېترۆس، وەستا لەگەڵ یازدەکە، دەنگی خۆی بەرز کردەوە و پێیانی گوتن: ئەی پیاوانی یەهودیا و هەموو ئەوانەی لە ئۆرشەلیم نیشتەجێن، ئەمە بزانن و گوێ لە قسەکانم بگرن: چونکە ئەمانە مست نین وەک ئێوە وەهم دەکەن، لەبەر ئەوەی تەنها کاتی سێهەمی ڕۆژە. بەڵکو ئەمە ئەوەیە کە بە هۆی پێغەمبەر یۆئیل وتراوە؛ «وە دەبێت لە ڕۆژانی دواییدا، خودا دەفەرموێت، لە ڕۆحی خۆم دەڕێژم بەسەر هەموو جەستەیەکدا؛ و کوڕان و کچەکانتان پێشبینی دەکەن، و گەنجەکانتان دیمەن دەبینن، و پیرەکانتان خەون دەبینن؛ هەروەها لەو ڕۆژانەدا لەسەر خزمەتکارانم و کەنێزەکانم لە ڕۆحی خۆم دەڕێژم؛ و ئەوان پێشبینی دەکەن: و سەرسوڕمان لە ئاسمانی سەرەوە و نیشانەکان لە زەویی خوارەوە پیشان دەدەم؛ خوێن، و ئاگر، و هەڵمی دووکەڵ: خۆر دەگۆڕدرێت بۆ تاریکی، و مانگ بۆ خوێن، پێش ئەوەی ئەو ڕۆژی گەورە و بەناوبانگی یەزدان بێت: وە دەبێت، هەرکەس ناوی یەزدان بانگ بکات، ڕزگار دەبێت.» کارەکان 2:14–21.</w:t>
      </w:r>
    </w:p>
    <w:p>
      <w:pPr>
        <w:pStyle w:val="ArticleBody"/>
        <w:jc w:val="left"/>
      </w:pPr>
      <w:r>
        <w:rPr>
          <w:rFonts w:ascii="Nirmala UI" w:hAnsi="Nirmala UI" w:eastAsia="Nirmala UI" w:cs="Nirmala UI"/>
        </w:rPr>
        <w:t>ᱵᱷᱟᱵᱤᱥᱚᱛ</w:t>
      </w:r>
      <w:r>
        <w:rPr>
          <w:rFonts w:ascii="Times New Roman" w:hAnsi="Times New Roman" w:eastAsia="Times New Roman" w:cs="Times New Roman"/>
        </w:rPr>
        <w:t xml:space="preserve"> </w:t>
      </w:r>
      <w:r>
        <w:rPr>
          <w:rFonts w:ascii="Nirmala UI" w:hAnsi="Nirmala UI" w:eastAsia="Nirmala UI" w:cs="Nirmala UI"/>
        </w:rPr>
        <w:t>ᱵᱤᱫᱟᱱ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ᱥᱟᱯᱷᱚᱞ</w:t>
      </w:r>
      <w:r>
        <w:rPr>
          <w:rFonts w:ascii="Times New Roman" w:hAnsi="Times New Roman" w:eastAsia="Times New Roman" w:cs="Times New Roman"/>
        </w:rPr>
        <w:t xml:space="preserve"> </w:t>
      </w:r>
      <w:r>
        <w:rPr>
          <w:rFonts w:ascii="Nirmala UI" w:hAnsi="Nirmala UI" w:eastAsia="Nirmala UI" w:cs="Nirmala UI"/>
        </w:rPr>
        <w:t>ᱪᱟᱛᱨᱟ</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ᱞᱟᱜᱤᱫ</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ᱜᱚᱴᱟ</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ᱛᱷᱤᱨ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ᱡᱚᱜᱚᱛ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ᱫᱷᱚᱨᱚᱢᱯᱚᱛᱷᱤ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ᱜᱚᱞᱯᱚ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ᱥᱟᱨᱤ</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ᱥᱟᱨᱤ</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ᱪᱤᱛᱨᱟᱹᱣ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ᱥᱟᱹᱛᱭ</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ᱡᱳᱲᱟᱣ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ᱵᱷᱟᱵᱤᱥᱚᱛᱵᱟᱠᱛᱟ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ᱯᱨᱚᱛᱤᱱᱤᱫᱷᱤ</w:t>
      </w:r>
      <w:r>
        <w:rPr>
          <w:rFonts w:ascii="Times New Roman" w:hAnsi="Times New Roman" w:eastAsia="Times New Roman" w:cs="Times New Roman"/>
        </w:rPr>
        <w:t xml:space="preserve"> </w:t>
      </w:r>
      <w:r>
        <w:rPr>
          <w:rFonts w:ascii="Nirmala UI" w:hAnsi="Nirmala UI" w:eastAsia="Nirmala UI" w:cs="Nirmala UI"/>
        </w:rPr>
        <w:t>ᱛᱟᱱᱟ।</w:t>
      </w:r>
      <w:r>
        <w:rPr>
          <w:rFonts w:ascii="Times New Roman" w:hAnsi="Times New Roman" w:eastAsia="Times New Roman" w:cs="Times New Roman"/>
        </w:rPr>
        <w:t xml:space="preserve"> </w:t>
      </w:r>
      <w:r>
        <w:rPr>
          <w:rFonts w:ascii="Nirmala UI" w:hAnsi="Nirmala UI" w:eastAsia="Nirmala UI" w:cs="Nirmala UI"/>
        </w:rPr>
        <w:t>ᱡᱳᱭᱮᱞ</w:t>
      </w:r>
      <w:r>
        <w:rPr>
          <w:rFonts w:ascii="Times New Roman" w:hAnsi="Times New Roman" w:eastAsia="Times New Roman" w:cs="Times New Roman"/>
        </w:rPr>
        <w:t xml:space="preserve"> </w:t>
      </w:r>
      <w:r>
        <w:rPr>
          <w:rFonts w:ascii="Nirmala UI" w:hAnsi="Nirmala UI" w:eastAsia="Nirmala UI" w:cs="Nirmala UI"/>
        </w:rPr>
        <w:t>ᱟᱯᱚᱱᱟᱜ</w:t>
      </w:r>
      <w:r>
        <w:rPr>
          <w:rFonts w:ascii="Times New Roman" w:hAnsi="Times New Roman" w:eastAsia="Times New Roman" w:cs="Times New Roman"/>
        </w:rPr>
        <w:t xml:space="preserve"> </w:t>
      </w:r>
      <w:r>
        <w:rPr>
          <w:rFonts w:ascii="Nirmala UI" w:hAnsi="Nirmala UI" w:eastAsia="Nirmala UI" w:cs="Nirmala UI"/>
        </w:rPr>
        <w:t>ᱯᱚᱛᱚᱵ</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ᱯᱨᱟᱵᱷᱩᱣᱟᱜ</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ᱱᱟᱰᱮ</w:t>
      </w:r>
      <w:r>
        <w:rPr>
          <w:rFonts w:ascii="Times New Roman" w:hAnsi="Times New Roman" w:eastAsia="Times New Roman" w:cs="Times New Roman"/>
        </w:rPr>
        <w:t xml:space="preserve"> </w:t>
      </w:r>
      <w:r>
        <w:rPr>
          <w:rFonts w:ascii="Nirmala UI" w:hAnsi="Nirmala UI" w:eastAsia="Nirmala UI" w:cs="Nirmala UI"/>
        </w:rPr>
        <w:t>ᱟᱹᱭᱩᱵ</w:t>
      </w:r>
      <w:r>
        <w:rPr>
          <w:rFonts w:ascii="Times New Roman" w:hAnsi="Times New Roman" w:eastAsia="Times New Roman" w:cs="Times New Roman"/>
        </w:rPr>
        <w:t xml:space="preserve"> </w:t>
      </w:r>
      <w:r>
        <w:rPr>
          <w:rFonts w:ascii="Nirmala UI" w:hAnsi="Nirmala UI" w:eastAsia="Nirmala UI" w:cs="Nirmala UI"/>
        </w:rPr>
        <w:t>ᱠᱟᱱᱟ।</w:t>
      </w:r>
    </w:p>
    <w:p>
      <w:pPr>
        <w:pStyle w:val="ArticleScripture"/>
        <w:jc w:val="left"/>
      </w:pPr>
      <w:r>
        <w:rPr>
          <w:rFonts w:ascii="Times New Roman" w:hAnsi="Times New Roman" w:eastAsia="Times New Roman" w:cs="Times New Roman"/>
        </w:rPr>
        <w:t>Tumutok kayo ng trumpeta sa Zion, at magbigay ng hudyat sa aking banal na bundok: manginig ang lahat ng nananahan sa lupain: sapagkat dumarating ang araw ng Panginoon, sapagkat ito’y malapit na. Joel 2:1.</w:t>
      </w:r>
    </w:p>
    <w:p>
      <w:pPr>
        <w:pStyle w:val="ArticleBody"/>
        <w:jc w:val="left"/>
      </w:pPr>
      <w:r>
        <w:rPr>
          <w:rFonts w:ascii="Microsoft YaHei" w:hAnsi="Microsoft YaHei" w:eastAsia="Microsoft YaHei" w:cs="Microsoft YaHei"/>
        </w:rPr>
        <w:t>「</w:t>
      </w:r>
      <w:r>
        <w:rPr>
          <w:rFonts w:ascii="MS Gothic" w:hAnsi="MS Gothic" w:eastAsia="MS Gothic" w:cs="MS Gothic"/>
        </w:rPr>
        <w:t>タッパル</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象徴</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そのほかの</w:t>
      </w:r>
      <w:r>
        <w:rPr>
          <w:rFonts w:ascii="Microsoft YaHei" w:hAnsi="Microsoft YaHei" w:eastAsia="Microsoft YaHei" w:cs="Microsoft YaHei"/>
        </w:rPr>
        <w:t>意味</w:t>
      </w:r>
      <w:r>
        <w:rPr>
          <w:rFonts w:ascii="MS Gothic" w:hAnsi="MS Gothic" w:eastAsia="MS Gothic" w:cs="MS Gothic"/>
        </w:rPr>
        <w:t>とともに</w:t>
      </w:r>
      <w:r>
        <w:rPr>
          <w:rFonts w:ascii="Microsoft YaHei" w:hAnsi="Microsoft YaHei" w:eastAsia="Microsoft YaHei" w:cs="Microsoft YaHei"/>
        </w:rPr>
        <w:t>、警告</w:t>
      </w:r>
      <w:r>
        <w:rPr>
          <w:rFonts w:ascii="MS Gothic" w:hAnsi="MS Gothic" w:eastAsia="MS Gothic" w:cs="MS Gothic"/>
        </w:rPr>
        <w:t>のメッセージを</w:t>
      </w:r>
      <w:r>
        <w:rPr>
          <w:rFonts w:ascii="Microsoft YaHei" w:hAnsi="Microsoft YaHei" w:eastAsia="Microsoft YaHei" w:cs="Microsoft YaHei"/>
        </w:rPr>
        <w:t>表</w:t>
      </w:r>
      <w:r>
        <w:rPr>
          <w:rFonts w:ascii="MS Gothic" w:hAnsi="MS Gothic" w:eastAsia="MS Gothic" w:cs="MS Gothic"/>
        </w:rPr>
        <w:t>す</w:t>
      </w:r>
      <w:r>
        <w:rPr>
          <w:rFonts w:ascii="Times New Roman" w:hAnsi="Times New Roman" w:eastAsia="Times New Roman" w:cs="Times New Roman"/>
        </w:rPr>
        <w:t>.</w:t>
      </w:r>
      <w:r>
        <w:rPr>
          <w:rFonts w:ascii="Microsoft YaHei" w:hAnsi="Microsoft YaHei" w:eastAsia="Microsoft YaHei" w:cs="Microsoft YaHei"/>
        </w:rPr>
        <w:t>象徴</w:t>
      </w:r>
      <w:r>
        <w:rPr>
          <w:rFonts w:ascii="MS Gothic" w:hAnsi="MS Gothic" w:eastAsia="MS Gothic" w:cs="MS Gothic"/>
        </w:rPr>
        <w:t>としてのタッパルは</w:t>
      </w:r>
      <w:r>
        <w:rPr>
          <w:rFonts w:ascii="Microsoft YaHei" w:hAnsi="Microsoft YaHei" w:eastAsia="Microsoft YaHei" w:cs="Microsoft YaHei"/>
        </w:rPr>
        <w:t>、文脈</w:t>
      </w:r>
      <w:r>
        <w:rPr>
          <w:rFonts w:ascii="MS Gothic" w:hAnsi="MS Gothic" w:eastAsia="MS Gothic" w:cs="MS Gothic"/>
        </w:rPr>
        <w:t>に</w:t>
      </w:r>
      <w:r>
        <w:rPr>
          <w:rFonts w:ascii="Microsoft YaHei" w:hAnsi="Microsoft YaHei" w:eastAsia="Microsoft YaHei" w:cs="Microsoft YaHei"/>
        </w:rPr>
        <w:t>応</w:t>
      </w:r>
      <w:r>
        <w:rPr>
          <w:rFonts w:ascii="MS Gothic" w:hAnsi="MS Gothic" w:eastAsia="MS Gothic" w:cs="MS Gothic"/>
        </w:rPr>
        <w:t>じて</w:t>
      </w:r>
      <w:r>
        <w:rPr>
          <w:rFonts w:ascii="Microsoft YaHei" w:hAnsi="Microsoft YaHei" w:eastAsia="Microsoft YaHei" w:cs="Microsoft YaHei"/>
        </w:rPr>
        <w:t>、一定</w:t>
      </w:r>
      <w:r>
        <w:rPr>
          <w:rFonts w:ascii="MS Gothic" w:hAnsi="MS Gothic" w:eastAsia="MS Gothic" w:cs="MS Gothic"/>
        </w:rPr>
        <w:t>の</w:t>
      </w:r>
      <w:r>
        <w:rPr>
          <w:rFonts w:ascii="Microsoft YaHei" w:hAnsi="Microsoft YaHei" w:eastAsia="Microsoft YaHei" w:cs="Microsoft YaHei"/>
        </w:rPr>
        <w:t>時期、</w:t>
      </w:r>
      <w:r>
        <w:rPr>
          <w:rFonts w:ascii="MS Gothic" w:hAnsi="MS Gothic" w:eastAsia="MS Gothic" w:cs="MS Gothic"/>
        </w:rPr>
        <w:t>あるいはある</w:t>
      </w:r>
      <w:r>
        <w:rPr>
          <w:rFonts w:ascii="Microsoft YaHei" w:hAnsi="Microsoft YaHei" w:eastAsia="Microsoft YaHei" w:cs="Microsoft YaHei"/>
        </w:rPr>
        <w:t>時点、</w:t>
      </w:r>
      <w:r>
        <w:rPr>
          <w:rFonts w:ascii="MS Gothic" w:hAnsi="MS Gothic" w:eastAsia="MS Gothic" w:cs="MS Gothic"/>
        </w:rPr>
        <w:t>またはその</w:t>
      </w:r>
      <w:r>
        <w:rPr>
          <w:rFonts w:ascii="Microsoft YaHei" w:hAnsi="Microsoft YaHei" w:eastAsia="Microsoft YaHei" w:cs="Microsoft YaHei"/>
        </w:rPr>
        <w:t>両方</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w:t>
      </w:r>
      <w:r>
        <w:rPr>
          <w:rFonts w:ascii="Microsoft YaHei" w:hAnsi="Microsoft YaHei" w:eastAsia="Microsoft YaHei" w:cs="Microsoft YaHei"/>
        </w:rPr>
        <w:t>得</w:t>
      </w:r>
      <w:r>
        <w:rPr>
          <w:rFonts w:ascii="MS Gothic" w:hAnsi="MS Gothic" w:eastAsia="MS Gothic" w:cs="MS Gothic"/>
        </w:rPr>
        <w:t>る</w:t>
      </w:r>
      <w:r>
        <w:rPr>
          <w:rFonts w:ascii="Times New Roman" w:hAnsi="Times New Roman" w:eastAsia="Times New Roman" w:cs="Times New Roman"/>
        </w:rPr>
        <w:t>.</w:t>
      </w:r>
      <w:r>
        <w:rPr>
          <w:rFonts w:ascii="MS Gothic" w:hAnsi="MS Gothic" w:eastAsia="MS Gothic" w:cs="MS Gothic"/>
        </w:rPr>
        <w:t>タッパルはまた</w:t>
      </w:r>
      <w:r>
        <w:rPr>
          <w:rFonts w:ascii="Microsoft YaHei" w:hAnsi="Microsoft YaHei" w:eastAsia="Microsoft YaHei" w:cs="Microsoft YaHei"/>
        </w:rPr>
        <w:t>、裁</w:t>
      </w:r>
      <w:r>
        <w:rPr>
          <w:rFonts w:ascii="MS Gothic" w:hAnsi="MS Gothic" w:eastAsia="MS Gothic" w:cs="MS Gothic"/>
        </w:rPr>
        <w:t>きをも</w:t>
      </w:r>
      <w:r>
        <w:rPr>
          <w:rFonts w:ascii="Microsoft YaHei" w:hAnsi="Microsoft YaHei" w:eastAsia="Microsoft YaHei" w:cs="Microsoft YaHei"/>
        </w:rPr>
        <w:t>表</w:t>
      </w:r>
      <w:r>
        <w:rPr>
          <w:rFonts w:ascii="MS Gothic" w:hAnsi="MS Gothic" w:eastAsia="MS Gothic" w:cs="MS Gothic"/>
        </w:rPr>
        <w:t>す</w:t>
      </w:r>
      <w:r>
        <w:rPr>
          <w:rFonts w:ascii="Times New Roman" w:hAnsi="Times New Roman" w:eastAsia="Times New Roman" w:cs="Times New Roman"/>
        </w:rPr>
        <w:t>.</w:t>
      </w:r>
      <w:r>
        <w:rPr>
          <w:rFonts w:ascii="Microsoft YaHei" w:hAnsi="Microsoft YaHei" w:eastAsia="Microsoft YaHei" w:cs="Microsoft YaHei"/>
        </w:rPr>
        <w:t>贖罪</w:t>
      </w:r>
      <w:r>
        <w:rPr>
          <w:rFonts w:ascii="MS Gothic" w:hAnsi="MS Gothic" w:eastAsia="MS Gothic" w:cs="MS Gothic"/>
        </w:rPr>
        <w:t>の</w:t>
      </w:r>
      <w:r>
        <w:rPr>
          <w:rFonts w:ascii="Microsoft YaHei" w:hAnsi="Microsoft YaHei" w:eastAsia="Microsoft YaHei" w:cs="Microsoft YaHei"/>
        </w:rPr>
        <w:t>日</w:t>
      </w:r>
      <w:r>
        <w:rPr>
          <w:rFonts w:ascii="MS Gothic" w:hAnsi="MS Gothic" w:eastAsia="MS Gothic" w:cs="MS Gothic"/>
        </w:rPr>
        <w:t>の</w:t>
      </w:r>
      <w:r>
        <w:rPr>
          <w:rFonts w:ascii="Microsoft YaHei" w:hAnsi="Microsoft YaHei" w:eastAsia="Microsoft YaHei" w:cs="Microsoft YaHei"/>
        </w:rPr>
        <w:t>十日前</w:t>
      </w:r>
      <w:r>
        <w:rPr>
          <w:rFonts w:ascii="MS Gothic" w:hAnsi="MS Gothic" w:eastAsia="MS Gothic" w:cs="MS Gothic"/>
        </w:rPr>
        <w:t>にあるラッパの</w:t>
      </w:r>
      <w:r>
        <w:rPr>
          <w:rFonts w:ascii="Microsoft YaHei" w:hAnsi="Microsoft YaHei" w:eastAsia="Microsoft YaHei" w:cs="Microsoft YaHei"/>
        </w:rPr>
        <w:t>祭</w:t>
      </w:r>
      <w:r>
        <w:rPr>
          <w:rFonts w:ascii="MS Gothic" w:hAnsi="MS Gothic" w:eastAsia="MS Gothic" w:cs="MS Gothic"/>
        </w:rPr>
        <w:t>りは</w:t>
      </w:r>
      <w:r>
        <w:rPr>
          <w:rFonts w:ascii="Microsoft YaHei" w:hAnsi="Microsoft YaHei" w:eastAsia="Microsoft YaHei" w:cs="Microsoft YaHei"/>
        </w:rPr>
        <w:t>、近</w:t>
      </w:r>
      <w:r>
        <w:rPr>
          <w:rFonts w:ascii="MS Gothic" w:hAnsi="MS Gothic" w:eastAsia="MS Gothic" w:cs="MS Gothic"/>
        </w:rPr>
        <w:t>づく</w:t>
      </w:r>
      <w:r>
        <w:rPr>
          <w:rFonts w:ascii="Microsoft YaHei" w:hAnsi="Microsoft YaHei" w:eastAsia="Microsoft YaHei" w:cs="Microsoft YaHei"/>
        </w:rPr>
        <w:t>裁</w:t>
      </w:r>
      <w:r>
        <w:rPr>
          <w:rFonts w:ascii="MS Gothic" w:hAnsi="MS Gothic" w:eastAsia="MS Gothic" w:cs="MS Gothic"/>
        </w:rPr>
        <w:t>きへの</w:t>
      </w:r>
      <w:r>
        <w:rPr>
          <w:rFonts w:ascii="Microsoft YaHei" w:hAnsi="Microsoft YaHei" w:eastAsia="Microsoft YaHei" w:cs="Microsoft YaHei"/>
        </w:rPr>
        <w:t>警告</w:t>
      </w:r>
      <w:r>
        <w:rPr>
          <w:rFonts w:ascii="MS Gothic" w:hAnsi="MS Gothic" w:eastAsia="MS Gothic" w:cs="MS Gothic"/>
        </w:rPr>
        <w:t>であった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«Жаратқан Иенің күні» осы тіркес қолданылған аяттың мәнмәтініне қарай не уақыттың белгілі бір сәтін, не уақыт кезеңін білдіреді. «Жаратқан Иенің күні» жеті соңғы оба ретінде бейнеленген атқарушы соттың нышаны болуы мүмкін, немесе ол мыңжылдық мерзімнің соңындағы атқарушы сот болуы мүмкін. Қай жағдайда да, керней Құдайдың атқарушы сотын білдіреді. Сондықтан «Жаратқан Иенің күні» Құдайдың жазасы жүзеге асырылатын сәтті де, Құдайдың жазалары жүзеге асырылатын уақыт кезеңін де білдіре алады.</w:t>
      </w:r>
    </w:p>
    <w:p>
      <w:pPr>
        <w:pStyle w:val="ArticleBody"/>
        <w:jc w:val="left"/>
      </w:pPr>
      <w:r>
        <w:rPr>
          <w:rFonts w:ascii="Times New Roman" w:hAnsi="Times New Roman" w:eastAsia="Times New Roman" w:cs="Times New Roman"/>
        </w:rPr>
        <w:t>«بوق» نیز همانند «روزِ خداوند» می‌تواند هم نشان‌دهندۀ یک نقطه در زمان باشد و هم یک دورۀ زمانی؛ چنان‌که این امر در نقاط و دوره‌های تاریخی‌ای که هفت بوقِ مکاشفۀ هشت و نه نمایندگی می‌کنند، گواهی شده است. «روزِ خداوند» که یوئیل آن را با «بوقی» که باید نواخته شود به تصویر می‌کشد، هم یک نقطه در زمان است و هم یک دورۀ زمانی که از هنگامی آغاز می‌شود که داوریِ مردگان پایان یافت و داوریِ زندگان آغاز شد. در ۹/۱۱، بوقی نواخته شد که ورودِ داوریِ زندگان را به‌عنوان یک نقطه در زمان مشخص کرد، و نیز ۹/۱۱ را به‌عنوان آغازِ دورۀ داوریِ زندگان معین ساخت.</w:t>
      </w:r>
    </w:p>
    <w:p>
      <w:pPr>
        <w:pStyle w:val="ArticleScripture"/>
        <w:jc w:val="left"/>
      </w:pPr>
      <w:r>
        <w:rPr>
          <w:rFonts w:ascii="Times New Roman" w:hAnsi="Times New Roman" w:eastAsia="Times New Roman" w:cs="Times New Roman"/>
        </w:rPr>
        <w:t>Eya enti nnɛ nso, sɛdeɛ Awurade seɛ ni, momfa mo koma nyinaa nsan mmra me nkyɛn, ne mmuadadie, ne su, ne awerɛhoɔ mu: na monsunsuane mo akoma, na ɛnyɛ mo ntadeɛ, na monsane mmra Awurade mo Onyankopɔn nkyɛn; ɛfiri sɛ ɔyɛ adomfoɔ ne mmɔborɔhunufoɔ, ɔyɛ abufuo mu brɛoo, na ɔwɔ ayamyeɛ bebree, na ɔgyae bɔne a ɔde reba no. Hwan na ɔnim sɛ ɔbɛsane aba na wagyae, na wagya nhyira bi wɔ n’akyi; mpo aduane afɔrebɔ ne nsã afɔrebɔ ama Awurade mo Onyankopɔn? Monhyɛn totorobɛnto wɔ Sion, montew mmuadadie ho, monfrɛ animuonyam badwa. Yoel 2:12–15.</w:t>
      </w:r>
    </w:p>
    <w:p>
      <w:pPr>
        <w:pStyle w:val="ArticleBody"/>
        <w:jc w:val="left"/>
      </w:pPr>
      <w:r>
        <w:rPr>
          <w:rFonts w:ascii="Times New Roman" w:hAnsi="Times New Roman" w:eastAsia="Times New Roman" w:cs="Times New Roman"/>
        </w:rPr>
        <w:t>Ari qalli iskay kaqmi Joel mandan waqra waqachisqa kananpaq. Joelpa “waqrankuna”qa iskaynintaqmi kan: qanchis qhipa plagaspa qayllamusaq kamachiq taripayninmanta willakuykuna, hinaspataq churakusqaña kanku Laodiceapa arrepentikuyman waqyakuyninpa contexto ukupi, hinaspa qayllapiña probationpa wisq’anankama.</w:t>
      </w:r>
    </w:p>
    <w:p>
      <w:pPr>
        <w:pStyle w:val="ArticleScripture"/>
        <w:jc w:val="left"/>
      </w:pPr>
      <w:r>
        <w:rPr>
          <w:rFonts w:ascii="Times New Roman" w:hAnsi="Times New Roman" w:eastAsia="Times New Roman" w:cs="Times New Roman"/>
        </w:rPr>
        <w:t>Qayqır, əsla çəkinmə, səsini şeypur kimi ucaldıb xalqıma öz üsyanını, Yaqub nəslinə isə öz günahlarını göstər. Yeşaya 58:1.</w:t>
      </w:r>
    </w:p>
    <w:p>
      <w:pPr>
        <w:pStyle w:val="ArticleBody"/>
        <w:jc w:val="left"/>
      </w:pPr>
      <w:r>
        <w:rPr>
          <w:rFonts w:ascii="Times New Roman" w:hAnsi="Times New Roman" w:eastAsia="Times New Roman" w:cs="Times New Roman"/>
        </w:rPr>
        <w:t>Isaias, Joel, Juan y Pedro representan todos a los ciento cuarenta y cuatro mil de los últimos días, al igual que Jeremías, quien identifica cuándo ha de tocarse la trompeta.</w:t>
      </w:r>
    </w:p>
    <w:p>
      <w:pPr>
        <w:pStyle w:val="ArticleScripture"/>
        <w:jc w:val="left"/>
      </w:pPr>
      <w:r>
        <w:rPr>
          <w:rFonts w:ascii="Times New Roman" w:hAnsi="Times New Roman" w:eastAsia="Times New Roman" w:cs="Times New Roman"/>
        </w:rPr>
        <w:t>Jis baarooni maɗa: “Dartee irratti dhaabadhaa; ilaalaa; daandiiwwan durii gaafadhaa, daandiin gaariin eessa akka taʼe hubadhaa; ishee irra deemaas, lubbuu keessaniif boqonnaa ni argattu.” Isaan garuu, “Ishee irra hin deemnu” jedhan. Akkasumas ani eegdotaa isin irratti ramadee, “Sagalee malakataa dhagaʼaa” jedheen. Isaan garuu, “Hin dhaggeeffannu” jedhan. Ermiyaas 6:16, 17.</w:t>
      </w:r>
    </w:p>
    <w:p>
      <w:pPr>
        <w:pStyle w:val="ArticleBody"/>
        <w:jc w:val="left"/>
      </w:pPr>
      <w:r>
        <w:rPr>
          <w:rFonts w:ascii="Times New Roman" w:hAnsi="Times New Roman" w:eastAsia="Times New Roman" w:cs="Times New Roman"/>
        </w:rPr>
        <w:t>Труба загучала в ці останні дні на 9/11, і тоді пізній дощ почав спадати на тих, хто обрав добру дорогу й ходив нею. Саме тоді зійшов ангел з Об’явлення вісімнадцятого.</w:t>
      </w:r>
    </w:p>
    <w:p>
      <w:pPr>
        <w:pStyle w:val="ArticleScripture"/>
        <w:jc w:val="left"/>
      </w:pPr>
      <w:r>
        <w:rPr>
          <w:rFonts w:ascii="Times New Roman" w:hAnsi="Times New Roman" w:eastAsia="Times New Roman" w:cs="Times New Roman"/>
        </w:rPr>
        <w:t>“La lluvia tardía ha de derramarse sobre el pueblo de Dios. Un ángel poderoso ha de descender del cielo, y toda la tierra ha de ser alumbrada con su gloria.” Review and Herald, 21 de abril de 1891.</w:t>
      </w:r>
    </w:p>
    <w:p>
      <w:pPr>
        <w:pStyle w:val="ArticleBody"/>
        <w:jc w:val="left"/>
      </w:pPr>
      <w:r>
        <w:rPr>
          <w:rFonts w:ascii="Times New Roman" w:hAnsi="Times New Roman" w:eastAsia="Times New Roman" w:cs="Times New Roman"/>
        </w:rPr>
        <w:t>Kadi 9/11 nyeng New York mutanuge garem mapuŋ der'baŋ woŋaŋo, amgel map pələŋ demat, maŋane der'baŋ loŋaŋa atila kəpaŋu.</w:t>
      </w:r>
    </w:p>
    <w:p>
      <w:pPr>
        <w:pStyle w:val="ArticleScripture"/>
        <w:jc w:val="left"/>
      </w:pPr>
      <w:r>
        <w:rPr>
          <w:rFonts w:ascii="Times New Roman" w:hAnsi="Times New Roman" w:eastAsia="Times New Roman" w:cs="Times New Roman"/>
        </w:rPr>
        <w:t>«کىچەل كەلگەن، مەن ئېيتقان سۆز شۇمۇكى، يېڭى يورك زور دولقۇن بىلەن سۈپۈرۈپ تاشلىنىدۇ دەپ؟ بۇنى مەن ھېچقاچان ئېيتمىغانمەن. مەن شۇنى ئېيتقانمەنكى، ئۇ يەردە قەۋەت ئۈستىگە قەۋەت بولۇپ كۆتۈرۈلۈۋاتقان ئۇلۇغ بىنالارغا قارىغىنىمدا: “پەرۋەردىگار يەرنى قەتئىي تىترىتىش ئۈچۈن ئورنىدىن تۇرغاندا، نېمە دېگەن دەھشەتلىك كۆرۈنۈشلەر يۈز بېرىدۇ! ئاندىن ۋەھىي 18:1–3 دىكى سۆزلەر ئەمەلگە ئاشىدۇ” دېدىم. ۋەھىي كىتابىنىڭ ئون سەككىزىنچى بابىنىڭ ھەممىسى يەر يۈزىگە كېلىدىغان ئىشلار ھەققىدە بىر ئاگاھلاندۇرۇشتۇر. لېكىن يېڭى يوركقا كېلىدىغان ئىشلار توغرۇلۇق ماڭا ئالاھىدە بېرىلگەن نۇر يوق؛ پەقەت شۇنى بىلىمەنكى، بىر كۈنى ئۇ يەردىكى ئۇلۇغ بىنالار خۇدانىڭ قۇدرىتىنىڭ ئايلاندۇرۇشى ۋە ئاستىن-ئۈستۈن قىلىشى بىلەن يىقىتىلىدۇ. ماڭا بېرىلگەن نۇرغا كۆرە، دۇنيادا ھالاكەت بارلىقىنى بىلىمەن. پەرۋەردىگاردىن بىرلا سۆز، ئۇنىڭ قۇدرەتلىك كۈچىنىڭ بىرلا تېگىشى، ۋە بۇ غايەت زور قۇرۇلۇشلار يىقىلىدۇ. بىز ئۇنىڭ دەھشىتىنى تەسەۋۋۇر قىلىپ بولالمايدىغان كۆرۈنۈشلەر يۈز بېرىدۇ.» Review and Herald, July 5, 1906.</w:t>
      </w:r>
    </w:p>
    <w:p>
      <w:pPr>
        <w:pStyle w:val="ArticleBody"/>
        <w:jc w:val="left"/>
      </w:pPr>
      <w:r>
        <w:rPr>
          <w:rFonts w:ascii="Times New Roman" w:hAnsi="Times New Roman" w:eastAsia="Times New Roman" w:cs="Times New Roman"/>
        </w:rPr>
        <w:t>9/11-</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জারির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w:t>
      </w:r>
      <w:r>
        <w:rPr>
          <w:rFonts w:ascii="Times New Roman" w:hAnsi="Times New Roman" w:eastAsia="Times New Roman" w:cs="Times New Roman"/>
        </w:rPr>
        <w:t xml:space="preserve"> </w:t>
      </w:r>
      <w:r>
        <w:rPr>
          <w:rFonts w:ascii="Nirmala UI" w:hAnsi="Nirmala UI" w:eastAsia="Nirmala UI" w:cs="Nirmala UI"/>
        </w:rPr>
        <w:t>অগ্রিমভাবে</w:t>
      </w:r>
      <w:r>
        <w:rPr>
          <w:rFonts w:ascii="Times New Roman" w:hAnsi="Times New Roman" w:eastAsia="Times New Roman" w:cs="Times New Roman"/>
        </w:rPr>
        <w:t xml:space="preserve"> </w:t>
      </w:r>
      <w:r>
        <w:rPr>
          <w:rFonts w:ascii="Nirmala UI" w:hAnsi="Nirmala UI" w:eastAsia="Nirmala UI" w:cs="Nirmala UI"/>
        </w:rPr>
        <w:t>ঝিরঝির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পড়তে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Scripture"/>
        <w:jc w:val="left"/>
      </w:pPr>
      <w:r>
        <w:rPr>
          <w:rFonts w:ascii="Times New Roman" w:hAnsi="Times New Roman" w:eastAsia="Times New Roman" w:cs="Times New Roman"/>
        </w:rPr>
        <w:t>“Uyu əhdi-cədidin böyük işi, onun başlanğıcını səciyyələndirən Allahın qüdrətinin təzahüründən daha az bir təzahürlə başa çatmamalıdır. Müjdənin başlanğıcında ilk yağışın tökülməsində yerinə yetən peyğəmbərliklər, onun sonunda son yağışda yenidən yerinə yetməlidir. Bunlar həvari Peterin belə deyərkən intizarla gözlədiyi ‘təravət vaxtları’dır: ‘Buna görə tövbə edin və dönün ki, günahlarınız silinsin, Rəbbin hüzurundan təravət vaxtları gəldikdə, O da İsanı göndərsin.’ Həvarilərin İşləri 3:19, 20.” Böyük Mübarizə, 611, 612.</w:t>
      </w:r>
    </w:p>
    <w:p>
      <w:pPr>
        <w:pStyle w:val="ArticleBody"/>
        <w:jc w:val="left"/>
      </w:pPr>
      <w:r>
        <w:rPr>
          <w:rFonts w:ascii="Times New Roman" w:hAnsi="Times New Roman" w:eastAsia="Times New Roman" w:cs="Times New Roman"/>
        </w:rPr>
        <w:t>“</w:t>
      </w:r>
      <w:r>
        <w:rPr>
          <w:rFonts w:ascii="Nirmala UI" w:hAnsi="Nirmala UI" w:eastAsia="Nirmala UI" w:cs="Nirmala UI"/>
        </w:rPr>
        <w:t>నూతనోల్లాస</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సంపూర్ణ</w:t>
      </w:r>
      <w:r>
        <w:rPr>
          <w:rFonts w:ascii="Times New Roman" w:hAnsi="Times New Roman" w:eastAsia="Times New Roman" w:cs="Times New Roman"/>
        </w:rPr>
        <w:t xml:space="preserve"> </w:t>
      </w:r>
      <w:r>
        <w:rPr>
          <w:rFonts w:ascii="Nirmala UI" w:hAnsi="Nirmala UI" w:eastAsia="Nirmala UI" w:cs="Nirmala UI"/>
        </w:rPr>
        <w:t>నెరవేర్పు</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సజీవులై</w:t>
      </w:r>
      <w:r>
        <w:rPr>
          <w:rFonts w:ascii="Times New Roman" w:hAnsi="Times New Roman" w:eastAsia="Times New Roman" w:cs="Times New Roman"/>
        </w:rPr>
        <w:t xml:space="preserve"> </w:t>
      </w:r>
      <w:r>
        <w:rPr>
          <w:rFonts w:ascii="Nirmala UI" w:hAnsi="Nirmala UI" w:eastAsia="Nirmala UI" w:cs="Nirmala UI"/>
        </w:rPr>
        <w:t>ఉన్నప్పుడే</w:t>
      </w:r>
      <w:r>
        <w:rPr>
          <w:rFonts w:ascii="Times New Roman" w:hAnsi="Times New Roman" w:eastAsia="Times New Roman" w:cs="Times New Roman"/>
        </w:rPr>
        <w:t xml:space="preserve"> </w:t>
      </w:r>
      <w:r>
        <w:rPr>
          <w:rFonts w:ascii="Nirmala UI" w:hAnsi="Nirmala UI" w:eastAsia="Nirmala UI" w:cs="Nirmala UI"/>
        </w:rPr>
        <w:t>సంభవిస్తుంది</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హెచ్చరిక</w:t>
      </w:r>
      <w:r>
        <w:rPr>
          <w:rFonts w:ascii="Times New Roman" w:hAnsi="Times New Roman" w:eastAsia="Times New Roman" w:cs="Times New Roman"/>
        </w:rPr>
        <w:t xml:space="preserve"> “</w:t>
      </w:r>
      <w:r>
        <w:rPr>
          <w:rFonts w:ascii="Nirmala UI" w:hAnsi="Nirmala UI" w:eastAsia="Nirmala UI" w:cs="Nirmala UI"/>
        </w:rPr>
        <w:t>మనస్సు</w:t>
      </w:r>
      <w:r>
        <w:rPr>
          <w:rFonts w:ascii="Times New Roman" w:hAnsi="Times New Roman" w:eastAsia="Times New Roman" w:cs="Times New Roman"/>
        </w:rPr>
        <w:t xml:space="preserve"> </w:t>
      </w:r>
      <w:r>
        <w:rPr>
          <w:rFonts w:ascii="Nirmala UI" w:hAnsi="Nirmala UI" w:eastAsia="Nirmala UI" w:cs="Nirmala UI"/>
        </w:rPr>
        <w:t>మార్చుకొనుడి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ఉంది</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మరణించి</w:t>
      </w:r>
      <w:r>
        <w:rPr>
          <w:rFonts w:ascii="Times New Roman" w:hAnsi="Times New Roman" w:eastAsia="Times New Roman" w:cs="Times New Roman"/>
        </w:rPr>
        <w:t xml:space="preserve"> </w:t>
      </w:r>
      <w:r>
        <w:rPr>
          <w:rFonts w:ascii="Nirmala UI" w:hAnsi="Nirmala UI" w:eastAsia="Nirmala UI" w:cs="Nirmala UI"/>
        </w:rPr>
        <w:t>ఉంటే</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చేయుట</w:t>
      </w:r>
      <w:r>
        <w:rPr>
          <w:rFonts w:ascii="Times New Roman" w:hAnsi="Times New Roman" w:eastAsia="Times New Roman" w:cs="Times New Roman"/>
        </w:rPr>
        <w:t xml:space="preserve"> </w:t>
      </w:r>
      <w:r>
        <w:rPr>
          <w:rFonts w:ascii="Nirmala UI" w:hAnsi="Nirmala UI" w:eastAsia="Nirmala UI" w:cs="Nirmala UI"/>
        </w:rPr>
        <w:t>అసాధ్యం</w:t>
      </w:r>
      <w:r>
        <w:rPr>
          <w:rFonts w:ascii="Times New Roman" w:hAnsi="Times New Roman" w:eastAsia="Times New Roman" w:cs="Times New Roman"/>
        </w:rPr>
        <w:t xml:space="preserve">. </w:t>
      </w:r>
      <w:r>
        <w:rPr>
          <w:rFonts w:ascii="Nirmala UI" w:hAnsi="Nirmala UI" w:eastAsia="Nirmala UI" w:cs="Nirmala UI"/>
        </w:rPr>
        <w:t>సజీవులైన</w:t>
      </w:r>
      <w:r>
        <w:rPr>
          <w:rFonts w:ascii="Times New Roman" w:hAnsi="Times New Roman" w:eastAsia="Times New Roman" w:cs="Times New Roman"/>
        </w:rPr>
        <w:t xml:space="preserve"> </w:t>
      </w:r>
      <w:r>
        <w:rPr>
          <w:rFonts w:ascii="Nirmala UI" w:hAnsi="Nirmala UI" w:eastAsia="Nirmala UI" w:cs="Nirmala UI"/>
        </w:rPr>
        <w:t>ఆత్మల</w:t>
      </w:r>
      <w:r>
        <w:rPr>
          <w:rFonts w:ascii="Times New Roman" w:hAnsi="Times New Roman" w:eastAsia="Times New Roman" w:cs="Times New Roman"/>
        </w:rPr>
        <w:t xml:space="preserve"> “</w:t>
      </w:r>
      <w:r>
        <w:rPr>
          <w:rFonts w:ascii="Nirmala UI" w:hAnsi="Nirmala UI" w:eastAsia="Nirmala UI" w:cs="Nirmala UI"/>
        </w:rPr>
        <w:t>పాపములు</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తుడిచివేయబడగల</w:t>
      </w:r>
      <w:r>
        <w:rPr>
          <w:rFonts w:ascii="Times New Roman" w:hAnsi="Times New Roman" w:eastAsia="Times New Roman" w:cs="Times New Roman"/>
        </w:rPr>
        <w:t xml:space="preserve">” </w:t>
      </w:r>
      <w:r>
        <w:rPr>
          <w:rFonts w:ascii="Nirmala UI" w:hAnsi="Nirmala UI" w:eastAsia="Nirmala UI" w:cs="Nirmala UI"/>
        </w:rPr>
        <w:t>సమయంలోనే</w:t>
      </w:r>
      <w:r>
        <w:rPr>
          <w:rFonts w:ascii="Times New Roman" w:hAnsi="Times New Roman" w:eastAsia="Times New Roman" w:cs="Times New Roman"/>
        </w:rPr>
        <w:t xml:space="preserve"> “</w:t>
      </w:r>
      <w:r>
        <w:rPr>
          <w:rFonts w:ascii="Nirmala UI" w:hAnsi="Nirmala UI" w:eastAsia="Nirmala UI" w:cs="Nirmala UI"/>
        </w:rPr>
        <w:t>నూతనోల్లాస</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w:t>
      </w:r>
      <w:r>
        <w:rPr>
          <w:rFonts w:ascii="Nirmala UI" w:hAnsi="Nirmala UI" w:eastAsia="Nirmala UI" w:cs="Nirmala UI"/>
        </w:rPr>
        <w:t>నూతనోల్లాస</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9/11</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ఆరంభమయ్యాయి</w:t>
      </w:r>
      <w:r>
        <w:rPr>
          <w:rFonts w:ascii="Times New Roman" w:hAnsi="Times New Roman" w:eastAsia="Times New Roman" w:cs="Times New Roman"/>
        </w:rPr>
        <w:t xml:space="preserve">; </w:t>
      </w:r>
      <w:r>
        <w:rPr>
          <w:rFonts w:ascii="Nirmala UI" w:hAnsi="Nirmala UI" w:eastAsia="Nirmala UI" w:cs="Nirmala UI"/>
        </w:rPr>
        <w:t>అందువలన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సజీవుల</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ప్రారంభాన్ని</w:t>
      </w:r>
      <w:r>
        <w:rPr>
          <w:rFonts w:ascii="Times New Roman" w:hAnsi="Times New Roman" w:eastAsia="Times New Roman" w:cs="Times New Roman"/>
        </w:rPr>
        <w:t xml:space="preserve"> </w:t>
      </w:r>
      <w:r>
        <w:rPr>
          <w:rFonts w:ascii="Nirmala UI" w:hAnsi="Nirmala UI" w:eastAsia="Nirmala UI" w:cs="Nirmala UI"/>
        </w:rPr>
        <w:t>గుర్తింపజేస్తుంది</w:t>
      </w:r>
      <w:r>
        <w:rPr>
          <w:rFonts w:ascii="Times New Roman" w:hAnsi="Times New Roman" w:eastAsia="Times New Roman" w:cs="Times New Roman"/>
        </w:rPr>
        <w:t xml:space="preserve">. </w:t>
      </w:r>
      <w:r>
        <w:rPr>
          <w:rFonts w:ascii="Nirmala UI" w:hAnsi="Nirmala UI" w:eastAsia="Nirmala UI" w:cs="Nirmala UI"/>
        </w:rPr>
        <w:t>సువార్తా</w:t>
      </w:r>
      <w:r>
        <w:rPr>
          <w:rFonts w:ascii="Times New Roman" w:hAnsi="Times New Roman" w:eastAsia="Times New Roman" w:cs="Times New Roman"/>
        </w:rPr>
        <w:t xml:space="preserve"> </w:t>
      </w:r>
      <w:r>
        <w:rPr>
          <w:rFonts w:ascii="Nirmala UI" w:hAnsi="Nirmala UI" w:eastAsia="Nirmala UI" w:cs="Nirmala UI"/>
        </w:rPr>
        <w:t>వ్యవస్థ</w:t>
      </w:r>
      <w:r>
        <w:rPr>
          <w:rFonts w:ascii="Times New Roman" w:hAnsi="Times New Roman" w:eastAsia="Times New Roman" w:cs="Times New Roman"/>
        </w:rPr>
        <w:t xml:space="preserve"> </w:t>
      </w:r>
      <w:r>
        <w:rPr>
          <w:rFonts w:ascii="Nirmala UI" w:hAnsi="Nirmala UI" w:eastAsia="Nirmala UI" w:cs="Nirmala UI"/>
        </w:rPr>
        <w:t>ముగింపునందు</w:t>
      </w:r>
      <w:r>
        <w:rPr>
          <w:rFonts w:ascii="Times New Roman" w:hAnsi="Times New Roman" w:eastAsia="Times New Roman" w:cs="Times New Roman"/>
        </w:rPr>
        <w:t xml:space="preserve"> </w:t>
      </w:r>
      <w:r>
        <w:rPr>
          <w:rFonts w:ascii="Nirmala UI" w:hAnsi="Nirmala UI" w:eastAsia="Nirmala UI" w:cs="Nirmala UI"/>
        </w:rPr>
        <w:t>పెంతెకొస్తు</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పునరావృతమవుతుంది</w:t>
      </w:r>
      <w:r>
        <w:rPr>
          <w:rFonts w:ascii="Times New Roman" w:hAnsi="Times New Roman" w:eastAsia="Times New Roman" w:cs="Times New Roman"/>
        </w:rPr>
        <w:t>. “</w:t>
      </w:r>
      <w:r>
        <w:rPr>
          <w:rFonts w:ascii="Nirmala UI" w:hAnsi="Nirmala UI" w:eastAsia="Nirmala UI" w:cs="Nirmala UI"/>
        </w:rPr>
        <w:t>నూతనోల్లాస</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పెంతెకొస్తుతో</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చూపబడిన</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పునరావృతమగుట</w:t>
      </w:r>
      <w:r>
        <w:rPr>
          <w:rFonts w:ascii="Times New Roman" w:hAnsi="Times New Roman" w:eastAsia="Times New Roman" w:cs="Times New Roman"/>
        </w:rPr>
        <w:t xml:space="preserve"> </w:t>
      </w:r>
      <w:r>
        <w:rPr>
          <w:rFonts w:ascii="Nirmala UI" w:hAnsi="Nirmala UI" w:eastAsia="Nirmala UI" w:cs="Nirmala UI"/>
        </w:rPr>
        <w:t>ప్రారంభమైంది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«ئۇنتۇلماس سەمىمىي ئارزۇ بىلەن مەن پەنتىكۇست كۈنىدىكى ۋەقەلەرنىڭ شۇ ۋاقىتتىكىدىنمۇ تېخىمۇ زور قۇدرەت بىلەن قايتا تەكرارلىنىدىغان ۋاقتىنى كۈتىمەن. يۇھاننا دەيدۇ: «مەن ئاسماندىن چۈشكەن يەنە بىر پەرىشتىنى كۆردۈم؛ ئۇنىڭ زور قۇدرىتى بار ئىدى، يەر يۈزى ئۇنىڭ شان-شەرىپى بىلەن يورۇتۇلدى.» ئاندىن، پەنتىكۇست مەزگىلىدىكىدەك، خەلق ھەقىقەتنىڭ ئۆزلىرىگە سۆزلەنگەنلىكىنى، ھەر بىر ئادەمنىڭ ئۆز تىلىدا ئاڭلايدۇ.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ယွဟောဝါသည်</w:t>
      </w:r>
      <w:r>
        <w:rPr>
          <w:rFonts w:ascii="Times New Roman" w:hAnsi="Times New Roman" w:eastAsia="Times New Roman" w:cs="Times New Roman"/>
        </w:rPr>
        <w:t xml:space="preserve"> </w:t>
      </w:r>
      <w:r>
        <w:rPr>
          <w:rFonts w:ascii="Myanmar Text" w:hAnsi="Myanmar Text" w:eastAsia="Myanmar Text" w:cs="Myanmar Text"/>
        </w:rPr>
        <w:t>မိမိအား</w:t>
      </w:r>
      <w:r>
        <w:rPr>
          <w:rFonts w:ascii="Times New Roman" w:hAnsi="Times New Roman" w:eastAsia="Times New Roman" w:cs="Times New Roman"/>
        </w:rPr>
        <w:t xml:space="preserve"> </w:t>
      </w:r>
      <w:r>
        <w:rPr>
          <w:rFonts w:ascii="Myanmar Text" w:hAnsi="Myanmar Text" w:eastAsia="Myanmar Text" w:cs="Myanmar Text"/>
        </w:rPr>
        <w:t>ဝတ်ပြုအမှုဆောင်လိုသော</w:t>
      </w:r>
      <w:r>
        <w:rPr>
          <w:rFonts w:ascii="Times New Roman" w:hAnsi="Times New Roman" w:eastAsia="Times New Roman" w:cs="Times New Roman"/>
        </w:rPr>
        <w:t xml:space="preserve"> </w:t>
      </w:r>
      <w:r>
        <w:rPr>
          <w:rFonts w:ascii="Myanmar Text" w:hAnsi="Myanmar Text" w:eastAsia="Myanmar Text" w:cs="Myanmar Text"/>
        </w:rPr>
        <w:t>စိတ်ရင်းမှန်သော</w:t>
      </w:r>
      <w:r>
        <w:rPr>
          <w:rFonts w:ascii="Times New Roman" w:hAnsi="Times New Roman" w:eastAsia="Times New Roman" w:cs="Times New Roman"/>
        </w:rPr>
        <w:t xml:space="preserve"> </w:t>
      </w:r>
      <w:r>
        <w:rPr>
          <w:rFonts w:ascii="Myanmar Text" w:hAnsi="Myanmar Text" w:eastAsia="Myanmar Text" w:cs="Myanmar Text"/>
        </w:rPr>
        <w:t>အသက်ဝိညာဉ်တိုင်း၌</w:t>
      </w:r>
      <w:r>
        <w:rPr>
          <w:rFonts w:ascii="Times New Roman" w:hAnsi="Times New Roman" w:eastAsia="Times New Roman" w:cs="Times New Roman"/>
        </w:rPr>
        <w:t xml:space="preserve"> </w:t>
      </w:r>
      <w:r>
        <w:rPr>
          <w:rFonts w:ascii="Myanmar Text" w:hAnsi="Myanmar Text" w:eastAsia="Myanmar Text" w:cs="Myanmar Text"/>
        </w:rPr>
        <w:t>အသက်သစ်ကို</w:t>
      </w:r>
      <w:r>
        <w:rPr>
          <w:rFonts w:ascii="Times New Roman" w:hAnsi="Times New Roman" w:eastAsia="Times New Roman" w:cs="Times New Roman"/>
        </w:rPr>
        <w:t xml:space="preserve"> </w:t>
      </w:r>
      <w:r>
        <w:rPr>
          <w:rFonts w:ascii="Myanmar Text" w:hAnsi="Myanmar Text" w:eastAsia="Myanmar Text" w:cs="Myanmar Text"/>
        </w:rPr>
        <w:t>မှုတ်သွင်းပေးတော်မူနိုင်ပြီး၊</w:t>
      </w:r>
      <w:r>
        <w:rPr>
          <w:rFonts w:ascii="Times New Roman" w:hAnsi="Times New Roman" w:eastAsia="Times New Roman" w:cs="Times New Roman"/>
        </w:rPr>
        <w:t xml:space="preserve"> </w:t>
      </w:r>
      <w:r>
        <w:rPr>
          <w:rFonts w:ascii="Myanmar Text" w:hAnsi="Myanmar Text" w:eastAsia="Myanmar Text" w:cs="Myanmar Text"/>
        </w:rPr>
        <w:t>ပလ္လင်ယဇ်ပူဇော်ရာမှ</w:t>
      </w:r>
      <w:r>
        <w:rPr>
          <w:rFonts w:ascii="Times New Roman" w:hAnsi="Times New Roman" w:eastAsia="Times New Roman" w:cs="Times New Roman"/>
        </w:rPr>
        <w:t xml:space="preserve"> </w:t>
      </w:r>
      <w:r>
        <w:rPr>
          <w:rFonts w:ascii="Myanmar Text" w:hAnsi="Myanmar Text" w:eastAsia="Myanmar Text" w:cs="Myanmar Text"/>
        </w:rPr>
        <w:t>ယူသော</w:t>
      </w:r>
      <w:r>
        <w:rPr>
          <w:rFonts w:ascii="Times New Roman" w:hAnsi="Times New Roman" w:eastAsia="Times New Roman" w:cs="Times New Roman"/>
        </w:rPr>
        <w:t xml:space="preserve"> </w:t>
      </w:r>
      <w:r>
        <w:rPr>
          <w:rFonts w:ascii="Myanmar Text" w:hAnsi="Myanmar Text" w:eastAsia="Myanmar Text" w:cs="Myanmar Text"/>
        </w:rPr>
        <w:t>မီးခဲပူဖြင့်</w:t>
      </w:r>
      <w:r>
        <w:rPr>
          <w:rFonts w:ascii="Times New Roman" w:hAnsi="Times New Roman" w:eastAsia="Times New Roman" w:cs="Times New Roman"/>
        </w:rPr>
        <w:t xml:space="preserve"> </w:t>
      </w:r>
      <w:r>
        <w:rPr>
          <w:rFonts w:ascii="Myanmar Text" w:hAnsi="Myanmar Text" w:eastAsia="Myanmar Text" w:cs="Myanmar Text"/>
        </w:rPr>
        <w:t>နှုတ်ခမ်းတို့ကို</w:t>
      </w:r>
      <w:r>
        <w:rPr>
          <w:rFonts w:ascii="Times New Roman" w:hAnsi="Times New Roman" w:eastAsia="Times New Roman" w:cs="Times New Roman"/>
        </w:rPr>
        <w:t xml:space="preserve"> </w:t>
      </w:r>
      <w:r>
        <w:rPr>
          <w:rFonts w:ascii="Myanmar Text" w:hAnsi="Myanmar Text" w:eastAsia="Myanmar Text" w:cs="Myanmar Text"/>
        </w:rPr>
        <w:t>ထိတော်မူကာ၊</w:t>
      </w:r>
      <w:r>
        <w:rPr>
          <w:rFonts w:ascii="Times New Roman" w:hAnsi="Times New Roman" w:eastAsia="Times New Roman" w:cs="Times New Roman"/>
        </w:rPr>
        <w:t xml:space="preserve"> </w:t>
      </w:r>
      <w:r>
        <w:rPr>
          <w:rFonts w:ascii="Myanmar Text" w:hAnsi="Myanmar Text" w:eastAsia="Myanmar Text" w:cs="Myanmar Text"/>
        </w:rPr>
        <w:t>ထိုနှုတ်ခမ်းတို့ကို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ချီးမွမ်းခြင်းဖြင့်</w:t>
      </w:r>
      <w:r>
        <w:rPr>
          <w:rFonts w:ascii="Times New Roman" w:hAnsi="Times New Roman" w:eastAsia="Times New Roman" w:cs="Times New Roman"/>
        </w:rPr>
        <w:t xml:space="preserve"> </w:t>
      </w:r>
      <w:r>
        <w:rPr>
          <w:rFonts w:ascii="Myanmar Text" w:hAnsi="Myanmar Text" w:eastAsia="Myanmar Text" w:cs="Myanmar Text"/>
        </w:rPr>
        <w:t>ဝေါဟာရပြည့်စုံစေတော်မူနိုင်သည်။</w:t>
      </w:r>
      <w:r>
        <w:rPr>
          <w:rFonts w:ascii="Times New Roman" w:hAnsi="Times New Roman" w:eastAsia="Times New Roman" w:cs="Times New Roman"/>
        </w:rPr>
        <w:t xml:space="preserve"> </w:t>
      </w:r>
      <w:r>
        <w:rPr>
          <w:rFonts w:ascii="Myanmar Text" w:hAnsi="Myanmar Text" w:eastAsia="Myanmar Text" w:cs="Myanmar Text"/>
        </w:rPr>
        <w:t>အသံထောင်ပေါင်းများစွာသည်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နှုတ်ကပတ်တော်အတွင်းရှိ</w:t>
      </w:r>
      <w:r>
        <w:rPr>
          <w:rFonts w:ascii="Times New Roman" w:hAnsi="Times New Roman" w:eastAsia="Times New Roman" w:cs="Times New Roman"/>
        </w:rPr>
        <w:t xml:space="preserve"> </w:t>
      </w:r>
      <w:r>
        <w:rPr>
          <w:rFonts w:ascii="Myanmar Text" w:hAnsi="Myanmar Text" w:eastAsia="Myanmar Text" w:cs="Myanmar Text"/>
        </w:rPr>
        <w:t>အံ့ဖွယ်သမ္မာတရားများကို</w:t>
      </w:r>
      <w:r>
        <w:rPr>
          <w:rFonts w:ascii="Times New Roman" w:hAnsi="Times New Roman" w:eastAsia="Times New Roman" w:cs="Times New Roman"/>
        </w:rPr>
        <w:t xml:space="preserve"> </w:t>
      </w:r>
      <w:r>
        <w:rPr>
          <w:rFonts w:ascii="Myanmar Text" w:hAnsi="Myanmar Text" w:eastAsia="Myanmar Text" w:cs="Myanmar Text"/>
        </w:rPr>
        <w:t>ကြေညာပြောဆိုရန်</w:t>
      </w:r>
      <w:r>
        <w:rPr>
          <w:rFonts w:ascii="Times New Roman" w:hAnsi="Times New Roman" w:eastAsia="Times New Roman" w:cs="Times New Roman"/>
        </w:rPr>
        <w:t xml:space="preserve"> </w:t>
      </w:r>
      <w:r>
        <w:rPr>
          <w:rFonts w:ascii="Myanmar Text" w:hAnsi="Myanmar Text" w:eastAsia="Myanmar Text" w:cs="Myanmar Text"/>
        </w:rPr>
        <w:t>တန်ခိုးဖြင့်</w:t>
      </w:r>
      <w:r>
        <w:rPr>
          <w:rFonts w:ascii="Times New Roman" w:hAnsi="Times New Roman" w:eastAsia="Times New Roman" w:cs="Times New Roman"/>
        </w:rPr>
        <w:t xml:space="preserve"> </w:t>
      </w:r>
      <w:r>
        <w:rPr>
          <w:rFonts w:ascii="Myanmar Text" w:hAnsi="Myanmar Text" w:eastAsia="Myanmar Text" w:cs="Myanmar Text"/>
        </w:rPr>
        <w:t>ပြည့်ဝစေခြင်းကို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တတ်တတ်မပြောနိုင်သော</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ဖြေလွှတ်ခြင်းကို</w:t>
      </w:r>
      <w:r>
        <w:rPr>
          <w:rFonts w:ascii="Times New Roman" w:hAnsi="Times New Roman" w:eastAsia="Times New Roman" w:cs="Times New Roman"/>
        </w:rPr>
        <w:t xml:space="preserve"> </w:t>
      </w:r>
      <w:r>
        <w:rPr>
          <w:rFonts w:ascii="Myanmar Text" w:hAnsi="Myanmar Text" w:eastAsia="Myanmar Text" w:cs="Myanmar Text"/>
        </w:rPr>
        <w:t>ခံရမည်ဖြစ်ပြီး၊</w:t>
      </w:r>
      <w:r>
        <w:rPr>
          <w:rFonts w:ascii="Times New Roman" w:hAnsi="Times New Roman" w:eastAsia="Times New Roman" w:cs="Times New Roman"/>
        </w:rPr>
        <w:t xml:space="preserve"> </w:t>
      </w:r>
      <w:r>
        <w:rPr>
          <w:rFonts w:ascii="Myanmar Text" w:hAnsi="Myanmar Text" w:eastAsia="Myanmar Text" w:cs="Myanmar Text"/>
        </w:rPr>
        <w:t>ကြောက်ရွံ့တတ်သူတို့သည်လည်း</w:t>
      </w:r>
      <w:r>
        <w:rPr>
          <w:rFonts w:ascii="Times New Roman" w:hAnsi="Times New Roman" w:eastAsia="Times New Roman" w:cs="Times New Roman"/>
        </w:rPr>
        <w:t xml:space="preserve"> </w:t>
      </w:r>
      <w:r>
        <w:rPr>
          <w:rFonts w:ascii="Myanmar Text" w:hAnsi="Myanmar Text" w:eastAsia="Myanmar Text" w:cs="Myanmar Text"/>
        </w:rPr>
        <w:t>သမ္မာတရားအတွက်</w:t>
      </w:r>
      <w:r>
        <w:rPr>
          <w:rFonts w:ascii="Times New Roman" w:hAnsi="Times New Roman" w:eastAsia="Times New Roman" w:cs="Times New Roman"/>
        </w:rPr>
        <w:t xml:space="preserve"> </w:t>
      </w:r>
      <w:r>
        <w:rPr>
          <w:rFonts w:ascii="Myanmar Text" w:hAnsi="Myanmar Text" w:eastAsia="Myanmar Text" w:cs="Myanmar Text"/>
        </w:rPr>
        <w:t>ရဲရင့်သော</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ဆောင်ရွက်နိုင်ရန်</w:t>
      </w:r>
      <w:r>
        <w:rPr>
          <w:rFonts w:ascii="Times New Roman" w:hAnsi="Times New Roman" w:eastAsia="Times New Roman" w:cs="Times New Roman"/>
        </w:rPr>
        <w:t xml:space="preserve"> </w:t>
      </w:r>
      <w:r>
        <w:rPr>
          <w:rFonts w:ascii="Myanmar Text" w:hAnsi="Myanmar Text" w:eastAsia="Myanmar Text" w:cs="Myanmar Text"/>
        </w:rPr>
        <w:t>ခွန်အားရှိသောသူများ</w:t>
      </w:r>
      <w:r>
        <w:rPr>
          <w:rFonts w:ascii="Times New Roman" w:hAnsi="Times New Roman" w:eastAsia="Times New Roman" w:cs="Times New Roman"/>
        </w:rPr>
        <w:t xml:space="preserve"> </w:t>
      </w:r>
      <w:r>
        <w:rPr>
          <w:rFonts w:ascii="Myanmar Text" w:hAnsi="Myanmar Text" w:eastAsia="Myanmar Text" w:cs="Myanmar Text"/>
        </w:rPr>
        <w:t>ဖြစ်စေခြင်းကို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မိမိလူမျိုးတို့အား</w:t>
      </w:r>
      <w:r>
        <w:rPr>
          <w:rFonts w:ascii="Times New Roman" w:hAnsi="Times New Roman" w:eastAsia="Times New Roman" w:cs="Times New Roman"/>
        </w:rPr>
        <w:t xml:space="preserve"> </w:t>
      </w:r>
      <w:r>
        <w:rPr>
          <w:rFonts w:ascii="Myanmar Text" w:hAnsi="Myanmar Text" w:eastAsia="Myanmar Text" w:cs="Myanmar Text"/>
        </w:rPr>
        <w:t>စိတ်ဝိညာဉ်ဗိမာန်ကို</w:t>
      </w:r>
      <w:r>
        <w:rPr>
          <w:rFonts w:ascii="Times New Roman" w:hAnsi="Times New Roman" w:eastAsia="Times New Roman" w:cs="Times New Roman"/>
        </w:rPr>
        <w:t xml:space="preserve"> </w:t>
      </w:r>
      <w:r>
        <w:rPr>
          <w:rFonts w:ascii="Myanmar Text" w:hAnsi="Myanmar Text" w:eastAsia="Myanmar Text" w:cs="Myanmar Text"/>
        </w:rPr>
        <w:t>အညစ်အကြေးအမျိုးမျိုးမှ</w:t>
      </w:r>
      <w:r>
        <w:rPr>
          <w:rFonts w:ascii="Times New Roman" w:hAnsi="Times New Roman" w:eastAsia="Times New Roman" w:cs="Times New Roman"/>
        </w:rPr>
        <w:t xml:space="preserve"> </w:t>
      </w:r>
      <w:r>
        <w:rPr>
          <w:rFonts w:ascii="Myanmar Text" w:hAnsi="Myanmar Text" w:eastAsia="Myanmar Text" w:cs="Myanmar Text"/>
        </w:rPr>
        <w:t>သန့်စင်စေတော်မူ၍၊</w:t>
      </w:r>
      <w:r>
        <w:rPr>
          <w:rFonts w:ascii="Times New Roman" w:hAnsi="Times New Roman" w:eastAsia="Times New Roman" w:cs="Times New Roman"/>
        </w:rPr>
        <w:t xml:space="preserve"> </w:t>
      </w:r>
      <w:r>
        <w:rPr>
          <w:rFonts w:ascii="Myanmar Text" w:hAnsi="Myanmar Text" w:eastAsia="Myanmar Text" w:cs="Myanmar Text"/>
        </w:rPr>
        <w:t>ကိုယ်တော်နှင့်</w:t>
      </w:r>
      <w:r>
        <w:rPr>
          <w:rFonts w:ascii="Times New Roman" w:hAnsi="Times New Roman" w:eastAsia="Times New Roman" w:cs="Times New Roman"/>
        </w:rPr>
        <w:t xml:space="preserve"> </w:t>
      </w:r>
      <w:r>
        <w:rPr>
          <w:rFonts w:ascii="Myanmar Text" w:hAnsi="Myanmar Text" w:eastAsia="Myanmar Text" w:cs="Myanmar Text"/>
        </w:rPr>
        <w:t>အလွန်နီးကပ်သော</w:t>
      </w:r>
      <w:r>
        <w:rPr>
          <w:rFonts w:ascii="Times New Roman" w:hAnsi="Times New Roman" w:eastAsia="Times New Roman" w:cs="Times New Roman"/>
        </w:rPr>
        <w:t xml:space="preserve"> </w:t>
      </w:r>
      <w:r>
        <w:rPr>
          <w:rFonts w:ascii="Myanmar Text" w:hAnsi="Myanmar Text" w:eastAsia="Myanmar Text" w:cs="Myanmar Text"/>
        </w:rPr>
        <w:t>ဆက်သွယ်မှုကို</w:t>
      </w:r>
      <w:r>
        <w:rPr>
          <w:rFonts w:ascii="Times New Roman" w:hAnsi="Times New Roman" w:eastAsia="Times New Roman" w:cs="Times New Roman"/>
        </w:rPr>
        <w:t xml:space="preserve"> </w:t>
      </w:r>
      <w:r>
        <w:rPr>
          <w:rFonts w:ascii="Myanmar Text" w:hAnsi="Myanmar Text" w:eastAsia="Myanmar Text" w:cs="Myanmar Text"/>
        </w:rPr>
        <w:t>ထိန်းသိမ်းနိုင်ကြစေရန်</w:t>
      </w:r>
      <w:r>
        <w:rPr>
          <w:rFonts w:ascii="Times New Roman" w:hAnsi="Times New Roman" w:eastAsia="Times New Roman" w:cs="Times New Roman"/>
        </w:rPr>
        <w:t xml:space="preserve"> </w:t>
      </w:r>
      <w:r>
        <w:rPr>
          <w:rFonts w:ascii="Myanmar Text" w:hAnsi="Myanmar Text" w:eastAsia="Myanmar Text" w:cs="Myanmar Text"/>
        </w:rPr>
        <w:t>မစတော်မူပါစေ။</w:t>
      </w:r>
      <w:r>
        <w:rPr>
          <w:rFonts w:ascii="Times New Roman" w:hAnsi="Times New Roman" w:eastAsia="Times New Roman" w:cs="Times New Roman"/>
        </w:rPr>
        <w:t xml:space="preserve"> </w:t>
      </w:r>
      <w:r>
        <w:rPr>
          <w:rFonts w:ascii="Myanmar Text" w:hAnsi="Myanmar Text" w:eastAsia="Myanmar Text" w:cs="Myanmar Text"/>
        </w:rPr>
        <w:t>သို့မှသာ</w:t>
      </w:r>
      <w:r>
        <w:rPr>
          <w:rFonts w:ascii="Times New Roman" w:hAnsi="Times New Roman" w:eastAsia="Times New Roman" w:cs="Times New Roman"/>
        </w:rPr>
        <w:t xml:space="preserve"> </w:t>
      </w:r>
      <w:r>
        <w:rPr>
          <w:rFonts w:ascii="Myanmar Text" w:hAnsi="Myanmar Text" w:eastAsia="Myanmar Text" w:cs="Myanmar Text"/>
        </w:rPr>
        <w:t>နောက်ကျမိုးရေ</w:t>
      </w:r>
      <w:r>
        <w:rPr>
          <w:rFonts w:ascii="Times New Roman" w:hAnsi="Times New Roman" w:eastAsia="Times New Roman" w:cs="Times New Roman"/>
        </w:rPr>
        <w:t xml:space="preserve"> </w:t>
      </w:r>
      <w:r>
        <w:rPr>
          <w:rFonts w:ascii="Myanmar Text" w:hAnsi="Myanmar Text" w:eastAsia="Myanmar Text" w:cs="Myanmar Text"/>
        </w:rPr>
        <w:t>သွန်းလောင်းခြင်းခံရသည့်အခါ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ထိုမိုးရေ၏</w:t>
      </w:r>
      <w:r>
        <w:rPr>
          <w:rFonts w:ascii="Times New Roman" w:hAnsi="Times New Roman" w:eastAsia="Times New Roman" w:cs="Times New Roman"/>
        </w:rPr>
        <w:t xml:space="preserve"> </w:t>
      </w:r>
      <w:r>
        <w:rPr>
          <w:rFonts w:ascii="Myanmar Text" w:hAnsi="Myanmar Text" w:eastAsia="Myanmar Text" w:cs="Myanmar Text"/>
        </w:rPr>
        <w:t>ပါဝင်ခံစားသူများ</w:t>
      </w:r>
      <w:r>
        <w:rPr>
          <w:rFonts w:ascii="Times New Roman" w:hAnsi="Times New Roman" w:eastAsia="Times New Roman" w:cs="Times New Roman"/>
        </w:rPr>
        <w:t xml:space="preserve"> </w:t>
      </w:r>
      <w:r>
        <w:rPr>
          <w:rFonts w:ascii="Myanmar Text" w:hAnsi="Myanmar Text" w:eastAsia="Myanmar Text" w:cs="Myanmar Text"/>
        </w:rPr>
        <w:t>ဖြစ်နိုင်ကြမည်။</w:t>
      </w:r>
      <w:r>
        <w:rPr>
          <w:rFonts w:ascii="Times New Roman" w:hAnsi="Times New Roman" w:eastAsia="Times New Roman" w:cs="Times New Roman"/>
        </w:rPr>
        <w:t>” Review and Herald, July 20, 1886.</w:t>
      </w:r>
    </w:p>
    <w:p>
      <w:pPr>
        <w:pStyle w:val="ArticleBody"/>
        <w:jc w:val="left"/>
      </w:pPr>
      <w:r>
        <w:rPr>
          <w:rFonts w:ascii="Times New Roman" w:hAnsi="Times New Roman" w:eastAsia="Times New Roman" w:cs="Times New Roman"/>
        </w:rPr>
        <w:t>In die volgende artikel sal ons voortgaan.</w:t>
      </w:r>
    </w:p>
    <w:p>
      <w:pPr>
        <w:pStyle w:val="ArticleScripture"/>
        <w:jc w:val="left"/>
      </w:pPr>
      <w:r>
        <w:rPr>
          <w:rFonts w:ascii="Times New Roman" w:hAnsi="Times New Roman" w:eastAsia="Times New Roman" w:cs="Times New Roman"/>
        </w:rPr>
        <w:t>Ve ñandeve oñeʼẽvaʼekue angel ou jey ha chemombáy, peteĩ kuimbaʼe okegui oñemombáyháicha. Ha heʼi chéve: Mbaʼe piko rehecha? Ha che haʼe: Amaña, ha péina ápe peteĩ candelabro óro memete guigua, hiʼári peteĩ mbaʼyru, ha hiʼári hína ijetyvyro siete, ha siete tubo umi siete lámpara-pe g̃uarã, oĩva hiʼári. Ha mokõi olívo yvyramáta ijykére, peteĩ mbaʼyru akatúa gotyo, ha ambue asu gotyo.</w:t>
      </w:r>
    </w:p>
    <w:p>
      <w:pPr>
        <w:pStyle w:val="ArticleScripture"/>
        <w:jc w:val="left"/>
      </w:pPr>
      <w:r>
        <w:rPr>
          <w:rFonts w:ascii="Times New Roman" w:hAnsi="Times New Roman" w:eastAsia="Times New Roman" w:cs="Times New Roman"/>
        </w:rPr>
        <w:t>لەبەر ئەوە وەڵامم دایەوە و قسەم کرد لەگەڵ ئەو فریشتەیەی کە لەگەڵمدا دەدووایەوە، و گوتم: ئەی گەورەم، ئەمانە چین؟ ئەوجا ئەو فریشتەیەی کە لەگەڵمدا دەدووایەوە وەڵامی دامەوە و پێی وتم: ئایا نازانیت ئەمانە چین؟ منیش گوتم: نەخێر، ئەی گەورەم.</w:t>
      </w:r>
    </w:p>
    <w:p>
      <w:pPr>
        <w:pStyle w:val="ArticleScripture"/>
        <w:jc w:val="left"/>
      </w:pPr>
      <w:r>
        <w:rPr>
          <w:rFonts w:ascii="Times New Roman" w:hAnsi="Times New Roman" w:eastAsia="Times New Roman" w:cs="Times New Roman"/>
        </w:rPr>
        <w:t>ئەمەش وەڵامی دامەوە و پێی وتوم: ئەمە وشەی یەزدانە بۆ زەڕوبابەل، دەفەرموێت: نە بە هێز، نە بە توانە، بەڵکو بە ڕۆحی خۆم، دەفەرموێت یەزدانی سوپاسالاران. زەکەریا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یۆئیل و کڵێسای لائۆدیقیایی ئێوەنتیستی ڕۆژی حەوتەم - ژمارە یەکەم</dc:title>
  <dc:subject>ᱱᱤᱛᱚᱜ ᱥᱟᱹᱹᱛᱤᱭᱟ ᱵᱤᱲᱤᱡ ᱞᱮ ᱵᱤᱰᱟᱹᱣ</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