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اور لاودیکیہ کی سیونتھ ڈے ایڈونٹسٹ کلیسیا - نمبر تیرہ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ئەژمار سێزده‌هەم</w:t>
      </w:r>
    </w:p>
    <w:p>
      <w:pPr>
        <w:pStyle w:val="ArticleBody"/>
        <w:jc w:val="left"/>
      </w:pPr>
      <w:r>
        <w:rPr>
          <w:rFonts w:ascii="Times New Roman" w:hAnsi="Times New Roman" w:eastAsia="Times New Roman" w:cs="Times New Roman"/>
        </w:rPr>
        <w:t>Ñuqanchikqa kunanqa 1863 watapa profético símbolo nispata rimananchikpi kachkanchik. Ñuqanchikqa atenciónninta churashanchik bíblico Cadesman, ñawpa Israelpa “samay” nisqapa contra hatarikuyninpa símbolo kasqanman, chaymi paykunapa wañuyninkuta apamurqa huk periodo ukhupi, Cadespi tukukuqkama; chayhinataq rikuchin Jeremiaspa “ñawpa ñankuna” nisqanta 1863 watapi mana chaskisqanta, maypachachus Levítico iskay chunka suqta-niyuqpi kaq “qanchis kuti” nisqa mana chaskisqa karqa.</w:t>
      </w:r>
    </w:p>
    <w:p>
      <w:pPr>
        <w:pStyle w:val="ArticleBody"/>
        <w:jc w:val="left"/>
      </w:pPr>
      <w:r>
        <w:rPr>
          <w:rFonts w:ascii="Times New Roman" w:hAnsi="Times New Roman" w:eastAsia="Times New Roman" w:cs="Times New Roman"/>
        </w:rPr>
        <w:t>Kaadeshii fi bara 1863 wajjin walqabatu ifa sana hordofuudhaan, qorumsawwan kudhan Kaadesh ga’an adda baasaa turre. Qorumsa sadii jalqabaa akka qorumsawwan mann aa ta’anitti adda baafnee jirra. Tarkaanfiiwwan sadan sana dinqiiwwan yookaan qorumsawwan ta’anii bakka bu’uu danda’u; boqonnaan Sanbataa immoo akka qorumsawwan kudhan keessaa isa jalqabaatti ta’ee, qorumsicha kurnaffaa, isa Phaawulos Ibroota keessatti ifatti akka “boqonnaa”tti adda baasee wajjin wal sima. Qorumsawwan kudhan boqonnaa alfaa fi boqonnaa omeegaa qabu.</w:t>
      </w:r>
    </w:p>
    <w:p>
      <w:pPr>
        <w:pStyle w:val="ArticleBody"/>
        <w:jc w:val="left"/>
      </w:pPr>
      <w:r>
        <w:rPr>
          <w:rFonts w:ascii="Nirmala UI" w:hAnsi="Nirmala UI" w:eastAsia="Nirmala UI" w:cs="Nirmala UI"/>
        </w:rPr>
        <w:t>एबरू</w:t>
      </w:r>
      <w:r>
        <w:rPr>
          <w:rFonts w:ascii="Times New Roman" w:hAnsi="Times New Roman" w:eastAsia="Times New Roman" w:cs="Times New Roman"/>
        </w:rPr>
        <w:t>-</w:t>
      </w:r>
      <w:r>
        <w:rPr>
          <w:rFonts w:ascii="Nirmala UI" w:hAnsi="Nirmala UI" w:eastAsia="Nirmala UI" w:cs="Nirmala UI"/>
        </w:rPr>
        <w:t>खोनाङै</w:t>
      </w:r>
      <w:r>
        <w:rPr>
          <w:rFonts w:ascii="Times New Roman" w:hAnsi="Times New Roman" w:eastAsia="Times New Roman" w:cs="Times New Roman"/>
        </w:rPr>
        <w:t xml:space="preserve"> </w:t>
      </w:r>
      <w:r>
        <w:rPr>
          <w:rFonts w:ascii="Nirmala UI" w:hAnsi="Nirmala UI" w:eastAsia="Nirmala UI" w:cs="Nirmala UI"/>
        </w:rPr>
        <w:t>कादेशआव</w:t>
      </w:r>
      <w:r>
        <w:rPr>
          <w:rFonts w:ascii="Times New Roman" w:hAnsi="Times New Roman" w:eastAsia="Times New Roman" w:cs="Times New Roman"/>
        </w:rPr>
        <w:t xml:space="preserve"> </w:t>
      </w:r>
      <w:r>
        <w:rPr>
          <w:rFonts w:ascii="Nirmala UI" w:hAnsi="Nirmala UI" w:eastAsia="Nirmala UI" w:cs="Nirmala UI"/>
        </w:rPr>
        <w:t>नाङाबाय</w:t>
      </w:r>
      <w:r>
        <w:rPr>
          <w:rFonts w:ascii="Times New Roman" w:hAnsi="Times New Roman" w:eastAsia="Times New Roman" w:cs="Times New Roman"/>
        </w:rPr>
        <w:t xml:space="preserve"> “</w:t>
      </w:r>
      <w:r>
        <w:rPr>
          <w:rFonts w:ascii="Nirmala UI" w:hAnsi="Nirmala UI" w:eastAsia="Nirmala UI" w:cs="Nirmala UI"/>
        </w:rPr>
        <w:t>जिरायनाय</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भविष्योक्तिर</w:t>
      </w:r>
      <w:r>
        <w:rPr>
          <w:rFonts w:ascii="Times New Roman" w:hAnsi="Times New Roman" w:eastAsia="Times New Roman" w:cs="Times New Roman"/>
        </w:rPr>
        <w:t xml:space="preserve"> </w:t>
      </w:r>
      <w:r>
        <w:rPr>
          <w:rFonts w:ascii="Nirmala UI" w:hAnsi="Nirmala UI" w:eastAsia="Nirmala UI" w:cs="Nirmala UI"/>
        </w:rPr>
        <w:t>बिद्यार्थी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सानायाब्ला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मोलायजाया</w:t>
      </w:r>
      <w:r>
        <w:rPr>
          <w:rFonts w:ascii="Times New Roman" w:hAnsi="Times New Roman" w:eastAsia="Times New Roman" w:cs="Times New Roman"/>
        </w:rPr>
        <w:t>—</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भविष्योक्तिर</w:t>
      </w:r>
      <w:r>
        <w:rPr>
          <w:rFonts w:ascii="Times New Roman" w:hAnsi="Times New Roman" w:eastAsia="Times New Roman" w:cs="Times New Roman"/>
        </w:rPr>
        <w:t xml:space="preserve"> </w:t>
      </w:r>
      <w:r>
        <w:rPr>
          <w:rFonts w:ascii="Nirmala UI" w:hAnsi="Nirmala UI" w:eastAsia="Nirmala UI" w:cs="Nirmala UI"/>
        </w:rPr>
        <w:t>फाननायाव</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जिरायनाय</w:t>
      </w:r>
      <w:r>
        <w:rPr>
          <w:rFonts w:ascii="Times New Roman" w:hAnsi="Times New Roman" w:eastAsia="Times New Roman" w:cs="Times New Roman"/>
        </w:rPr>
        <w:t>”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शारियै</w:t>
      </w:r>
      <w:r>
        <w:rPr>
          <w:rFonts w:ascii="Times New Roman" w:hAnsi="Times New Roman" w:eastAsia="Times New Roman" w:cs="Times New Roman"/>
        </w:rPr>
        <w:t xml:space="preserve">) </w:t>
      </w:r>
      <w:r>
        <w:rPr>
          <w:rFonts w:ascii="Nirmala UI" w:hAnsi="Nirmala UI" w:eastAsia="Nirmala UI" w:cs="Nirmala UI"/>
        </w:rPr>
        <w:t>बिबुंयो</w:t>
      </w:r>
      <w:r>
        <w:rPr>
          <w:rFonts w:ascii="Times New Roman" w:hAnsi="Times New Roman" w:eastAsia="Times New Roman" w:cs="Times New Roman"/>
        </w:rPr>
        <w:t xml:space="preserve">, </w:t>
      </w:r>
      <w:r>
        <w:rPr>
          <w:rFonts w:ascii="Nirmala UI" w:hAnsi="Nirmala UI" w:eastAsia="Nirmala UI" w:cs="Nirmala UI"/>
        </w:rPr>
        <w:t>बेबोरखौ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जिरायनाय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सुस्रांथि</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फालांनाय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बिबुंयो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बरसोनायनि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बरसोनायनि</w:t>
      </w:r>
      <w:r>
        <w:rPr>
          <w:rFonts w:ascii="Times New Roman" w:hAnsi="Times New Roman" w:eastAsia="Times New Roman" w:cs="Times New Roman"/>
        </w:rPr>
        <w:t xml:space="preserve"> </w:t>
      </w:r>
      <w:r>
        <w:rPr>
          <w:rFonts w:ascii="Nirmala UI" w:hAnsi="Nirmala UI" w:eastAsia="Nirmala UI" w:cs="Nirmala UI"/>
        </w:rPr>
        <w:t>सोरखारखौ</w:t>
      </w:r>
      <w:r>
        <w:rPr>
          <w:rFonts w:ascii="Times New Roman" w:hAnsi="Times New Roman" w:eastAsia="Times New Roman" w:cs="Times New Roman"/>
        </w:rPr>
        <w:t xml:space="preserve"> </w:t>
      </w:r>
      <w:r>
        <w:rPr>
          <w:rFonts w:ascii="Nirmala UI" w:hAnsi="Nirmala UI" w:eastAsia="Nirmala UI" w:cs="Nirmala UI"/>
        </w:rPr>
        <w:t>नाङानायनि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बरसोनायनि</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w:t>
      </w:r>
      <w:r>
        <w:rPr>
          <w:rFonts w:ascii="Nirmala UI" w:hAnsi="Nirmala UI" w:eastAsia="Nirmala UI" w:cs="Nirmala UI"/>
        </w:rPr>
        <w:t>अनुभवखौ</w:t>
      </w:r>
      <w:r>
        <w:rPr>
          <w:rFonts w:ascii="Times New Roman" w:hAnsi="Times New Roman" w:eastAsia="Times New Roman" w:cs="Times New Roman"/>
        </w:rPr>
        <w:t xml:space="preserve"> </w:t>
      </w:r>
      <w:r>
        <w:rPr>
          <w:rFonts w:ascii="Nirmala UI" w:hAnsi="Nirmala UI" w:eastAsia="Nirmala UI" w:cs="Nirmala UI"/>
        </w:rPr>
        <w:t>नाङानायनि</w:t>
      </w:r>
      <w:r>
        <w:rPr>
          <w:rFonts w:ascii="Times New Roman" w:hAnsi="Times New Roman" w:eastAsia="Times New Roman" w:cs="Times New Roman"/>
        </w:rPr>
        <w:t xml:space="preserve"> </w:t>
      </w:r>
      <w:r>
        <w:rPr>
          <w:rFonts w:ascii="Nirmala UI" w:hAnsi="Nirmala UI" w:eastAsia="Nirmala UI" w:cs="Nirmala UI"/>
        </w:rPr>
        <w:t>मुङोन</w:t>
      </w:r>
      <w:r>
        <w:rPr>
          <w:rFonts w:ascii="Times New Roman" w:hAnsi="Times New Roman" w:eastAsia="Times New Roman" w:cs="Times New Roman"/>
        </w:rPr>
        <w:t xml:space="preserve"> </w:t>
      </w:r>
      <w:r>
        <w:rPr>
          <w:rFonts w:ascii="Nirmala UI" w:hAnsi="Nirmala UI" w:eastAsia="Nirmala UI" w:cs="Nirmala UI"/>
        </w:rPr>
        <w:t>मुसुखा</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कादेशआव</w:t>
      </w:r>
      <w:r>
        <w:rPr>
          <w:rFonts w:ascii="Times New Roman" w:hAnsi="Times New Roman" w:eastAsia="Times New Roman" w:cs="Times New Roman"/>
        </w:rPr>
        <w:t xml:space="preserve"> </w:t>
      </w:r>
      <w:r>
        <w:rPr>
          <w:rFonts w:ascii="Nirmala UI" w:hAnsi="Nirmala UI" w:eastAsia="Nirmala UI" w:cs="Nirmala UI"/>
        </w:rPr>
        <w:t>सोरजों</w:t>
      </w:r>
      <w:r>
        <w:rPr>
          <w:rFonts w:ascii="Times New Roman" w:hAnsi="Times New Roman" w:eastAsia="Times New Roman" w:cs="Times New Roman"/>
        </w:rPr>
        <w:t xml:space="preserve"> 144,000-</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सिजिनाय</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बुद्धिगत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आत्मिकरूपे</w:t>
      </w:r>
      <w:r>
        <w:rPr>
          <w:rFonts w:ascii="Times New Roman" w:hAnsi="Times New Roman" w:eastAsia="Times New Roman" w:cs="Times New Roman"/>
        </w:rPr>
        <w:t xml:space="preserve">” </w:t>
      </w:r>
      <w:r>
        <w:rPr>
          <w:rFonts w:ascii="Nirmala UI" w:hAnsi="Nirmala UI" w:eastAsia="Nirmala UI" w:cs="Nirmala UI"/>
        </w:rPr>
        <w:t>सोरखाराव</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होनाय।</w:t>
      </w:r>
    </w:p>
    <w:p>
      <w:pPr>
        <w:pStyle w:val="ArticleScripture"/>
        <w:jc w:val="left"/>
      </w:pPr>
      <w:r>
        <w:rPr>
          <w:rFonts w:ascii="Times New Roman" w:hAnsi="Times New Roman" w:eastAsia="Times New Roman" w:cs="Times New Roman"/>
        </w:rPr>
        <w:t>“Diospa markankuna urqu chʼekepin sellasqa kasqankumanta hinallataq—mana rikuyta atinakuq ima sellupas utaq señalpaschu, aswanqa cheqaq kaypi yuyaymanpas espiritumanpas allinta sayarichisqa kasqanku, chayrayku mana kuyuchikunankupaqchu—Diospa markankuna sellasqa kaspanku, chhullchhuy pacha hamunanpaq wakichisqaña kaspanku hinallataq, chayqa hamunqa. Cheqaqtapuni, ñaqamanta qallarinña; Diospa taripayninkunaqa kunan hallpʼapiñam kachkan, ñoqanchisman waqyayta qowanchikpaq, imachus hamunanta yachananchikpaq.” The Seventh-day Adventist Bible Commentary, volume 4, 1161.</w:t>
      </w:r>
    </w:p>
    <w:p>
      <w:pPr>
        <w:pStyle w:val="ArticleBody"/>
        <w:jc w:val="left"/>
      </w:pPr>
      <w:r>
        <w:rPr>
          <w:rFonts w:ascii="Times New Roman" w:hAnsi="Times New Roman" w:eastAsia="Times New Roman" w:cs="Times New Roman"/>
        </w:rPr>
        <w:t>A titun-kawapi “ñiqi chiqanman” “yuyaywan” nisqaqa sut’inchan Diospa Siminta yachakuypi línea patapi línea hina puriq metodología nisqapa chaskisqa kayninta, sapallan ch’uyachasqa asuy hina. Kay k’isiman ñanqa chiqap asuy kasqanta takyachirqan agosto killapi 1840 watapi, maypachachus “achka runakuna yachasqa karqanku Millerpa hinallataq paywan kuska llamk’aqkunapa chaskisqan profecía rimariykunata qhawayman yaykuchiy kamachikuykunapa chiqap kayninta, hinaspataq musuq yachaykuyta hina admiraypaq kallpachay qosqa karqan adventista kuyuyman.” “Admiraypaq kallpachay” nisqaqa sut’inchan Espíritu Santopa atiynin rikurimusqanta, mayqanmi 1840 watapi ñawpaq angelpa willakuyninta tukuypaq pachaman apachirqan.</w:t>
      </w:r>
    </w:p>
    <w:p>
      <w:pPr>
        <w:pStyle w:val="ArticleBody"/>
        <w:jc w:val="left"/>
      </w:pPr>
      <w:r>
        <w:rPr>
          <w:rFonts w:ascii="Times New Roman" w:hAnsi="Times New Roman" w:eastAsia="Times New Roman" w:cs="Times New Roman"/>
        </w:rPr>
        <w:t>Nіm lеrа yеrіzіn tеmіlіndе kаtіlgаn «әjаyp qоzğаlystı» beýnеlеitіn іskе, däl sоl іstі аtqаrý üşіn Qasietti Ruh quatımen kúsh berildi. Qasietti Ruh Öz quатын tek qasietti ädіstі qabyldağandar arasynda körsetti. Qasietti Ruh Öz quатын tek qasietti ädіstі qabyldağandar ishinde körsetti.</w:t>
      </w:r>
    </w:p>
    <w:p>
      <w:pPr>
        <w:pStyle w:val="ArticleBody"/>
        <w:jc w:val="left"/>
      </w:pPr>
      <w:r>
        <w:rPr>
          <w:rFonts w:ascii="Times New Roman" w:hAnsi="Times New Roman" w:eastAsia="Times New Roman" w:cs="Times New Roman"/>
        </w:rPr>
        <w:t>بِه‌راستی جێگیر بوون بە شێوەیەکی مێشکی، وەرگرتنی میتۆدی «هێڵ لەسەر هێڵ»ە؛ و ئەم «وەرگرتنە»ی میتۆدی «هێڵ لەسەر هێڵ» بۆ لاودیقیایەک وەک کردنەوەی دەرگای دڵ دەردەکەوێت بۆ چوونەژوورەوەی پەیامبەر بۆ لاودیقیا لە کەسایەتی ڕۆحی پیرۆزدا. وەرگرتنی ئەم میتۆدە پیرۆزە هێزی ڕۆحی پیرۆز دەهێنێتە ناو مێشکی ئەوانەی کە بە شێوەیەکی مێشکی لە ڕاستیدا جێگیر دەبن. وەرگرتنی ئەو میتۆدە ڕۆحانیەتێک بەرهەم دەهێنێت کە وەک یەکگرتنی خودایەتی لەگەڵ مرۆڤایەتی نیشان دەدرێت. بەکارهێنانی میتۆدی کتێبی پیرۆزی «هێڵ لەسەر هێڵ»، کاتێک بە باوەڕەوە تێکەڵ دەکرێت، وەک جێگیر بوون لە ڕاستیدا بە شێوەیەکی مێشکی نیشان دەدرێت؛ و ئەو ڕاستییە (پەیامە)ی کە میتۆدەکەی بەرهەمی دەهێنێت، ناتوانرێت لە عیسادا جیابکرێتەوە، ئەوەی کە وشەیە. وەرگرتنی پەیامی وشەی ئەو، واتە وەرگرتنی ڕۆحی پیرۆز بۆ ناو مێشکت. کەواتە، جێگیر بوون لە ڕاستیدا بە شێوەیەکی مێشکی ئەو ئەزموونە ڕۆحییە بەرهەم دەهێنێت کە مۆری پەسەندکردنی خودا وەردەگرێت.</w:t>
      </w:r>
    </w:p>
    <w:p>
      <w:pPr>
        <w:pStyle w:val="ArticleBody"/>
        <w:jc w:val="left"/>
      </w:pPr>
      <w:r>
        <w:rPr>
          <w:rFonts w:ascii="Times New Roman" w:hAnsi="Times New Roman" w:eastAsia="Times New Roman" w:cs="Times New Roman"/>
        </w:rPr>
        <w:t>Cades fue la prueba final para el antiguo Israel. Las dos clases de bebedores de vino en el libro de Joel quedan separadas y distinguidas entre sí sobre la base del rechazo o de la aceptación del mensaje de la lluvia tardía, que Joel identifica como “vino nuevo”, en contraste con el vino fermentado que consume la otra clase. El “vino nuevo” de Joel es el “reposo” de Pablo, en Hebreos tres y cuatro. Es también aquello que los “borrachos de Efraín” de Isaías rehúsan “oír”, “a los cuales él dijo: ‘Este es el reposo; dad reposo al cansado; y este es el refrigerio’: mas no quisieron oír. La palabra, pues, de Jehová les será mandamiento tras mandamiento, mandato sobre mandato, renglón tras renglón, línea sobre línea, aquí un poco, allí otro poco; hasta que vayan y caigan hacia atrás, y sean quebrantados, enlazados y presos.”</w:t>
      </w:r>
    </w:p>
    <w:p>
      <w:pPr>
        <w:pStyle w:val="ArticleBody"/>
        <w:jc w:val="left"/>
      </w:pPr>
      <w:r>
        <w:rPr>
          <w:rFonts w:ascii="Times New Roman" w:hAnsi="Times New Roman" w:eastAsia="Times New Roman" w:cs="Times New Roman"/>
        </w:rPr>
        <w:t>Биз аныктадык: Арундун алтын музоого байланышкан козголоңу Кадеште жыйынтыкталган он сыноонун «экөөн» билдирет. Ал сыноонун эки сыноого бөлүнүшү соңку жаандын сыноо мезгилине шайкеш келет; ал мезгил «айбанаттын сөлөкөтүнүн сыноосу» аркылуу көрсөтүлгөн, жана дал ошол сыноо Кудай элинин тагдырын аныктайт. Аян китебинин он үчүнчү бөлүмү «козголоңду» аныктайт, анткени «он үч» саны козголоңду билдирет.</w:t>
      </w:r>
    </w:p>
    <w:p>
      <w:pPr>
        <w:pStyle w:val="ArticleBody"/>
        <w:jc w:val="left"/>
      </w:pPr>
      <w:r>
        <w:rPr>
          <w:rFonts w:ascii="Times New Roman" w:hAnsi="Times New Roman" w:eastAsia="Times New Roman" w:cs="Times New Roman"/>
        </w:rPr>
        <w:t>دەستپێکی بەشەکە بە ئاژدهای دەریاییی پاپایەتی دەکات، کە سەرەکی‌ترین نیشانەی یاغیبوونە لەسەر زەوی، هەروەک دانیال ناساندوویەتی وەک ئەو هێزەی قسەی گەورە دژ بە بەرزترین دەکات. دوای ئەو یاغیبوونە، یاغیبوونی ئاژدهای زەوی دێت، واتە ویلایەتە یەکگرتووەکان، کە پاشان هەموو جیهان ناچار دەکات شوێنکەوتەی نموونەی یاغیبوونی ئەوان بکات. الگوی یاغیبوونی سێیەم لەو بەشەدا لە یەکەمی ئەو سێ یاغیبوونەدا دەبینرێت، کە بە ئاژدهای دەریایی نیشان دراوە، نیشانەی ڤاتیکان. لە ئایەتی یازدەدا ویلایەتە یەکگرتووەکان وەک ئەژدها قسە دەکات و بەم جۆرە وێنەیەک بۆ ئاژدها دروست دەکات—وێنەی ڤاتیکان. لە ئایەتی دوازدە و بەرەوپێشەوە، ویلایەتە یەکگرتووەکان جیهان ناچار دەکات هەمان کار بکات. یاغیبوونی هارون دوو لایەنەی هەیە کە نوێنەرایەتی یاغیبوونی ویلایەتە یەکگرتووەکان دەکات و پاشان یاغیبوونی تەواوی جیهان کاتێک وێنەی جیهانیی ڤاتیکان بە زۆر دەسەپێنرێت.</w:t>
      </w:r>
    </w:p>
    <w:p>
      <w:pPr>
        <w:pStyle w:val="ArticleBody"/>
        <w:jc w:val="left"/>
      </w:pPr>
      <w:r>
        <w:rPr>
          <w:rFonts w:ascii="Times New Roman" w:hAnsi="Times New Roman" w:eastAsia="Times New Roman" w:cs="Times New Roman"/>
        </w:rPr>
        <w:t>ئەرەنىڭ ئىسيانى ئىككى دەۋرنىمۇ پەرقلەندۈرىدۇ؛ بۇ دەۋرلەر مۇسا يوق ۋاقىتتىكى بۇتپەرەسلىك، ئاندىن مۇسا بار ۋاقىتتىكى بۇتپەرەسلىك سۈپитидә تەمسىل قىلىنغان. مۇسا تەۋراتنى قوبۇل قىلىۋاتقان ئىدى؛ شۇڭا ئۇ، ئىسيان ئىچىدىكى ئايرىش نۇقتىسى سۈپитидә، خۇدانىڭ قانۇنىغا ۋەكىللىك قىلىدۇ. ھايۋان-بۇزا شەكلىدىكى ئالتۇن ھەيكەل ھەققىدىكى ئەرەنىڭ سىنىقى 1863-يىلدىكى سىناقنى ئىپادىلەيدۇ.</w:t>
      </w:r>
    </w:p>
    <w:p>
      <w:pPr>
        <w:pStyle w:val="ArticleBody"/>
        <w:jc w:val="left"/>
      </w:pPr>
      <w:r>
        <w:rPr>
          <w:rFonts w:ascii="Times New Roman" w:hAnsi="Times New Roman" w:eastAsia="Times New Roman" w:cs="Times New Roman"/>
        </w:rPr>
        <w:t>Akhri yichii Sunday law gei adóoneʼééłígíí, jííkʼehgo iiná dóó neeznádiitʼį́į́ʼ bitweeʼ dah naashá. Átʼé Sunday law bikáaʼgi dah naasháhígíí, áádóó Bichʼįʼ Haʼaʼaahjįʼ Naalnishígíí dóó tsékoohgi nihá ádaalyaałígíí bitweeʼ, beast biniiyé mark dóó God biniiyé seal bitweeʼ, dóó Shebna, Laodicean nihił bééhózinígíí, áádóó Eliakim, Philadelphian nihił bééhózinígíí biniiyé ánáházį́į́ʼ bitweeʼ. Ádahooníłígíí naaki tʼááłáʼí, manna yee bééhózinígíí, Sabbath dóó Sunday bichʼįʼ naalkaahígíí biyiʼ naashá, dóó tʼáá ajiłiiʼígíí test doo yáʼátʼééhígíí ałhídoo. Aaron biniiyé golden calf rebellion, ałkʼidááʼí test ashdlaʼ dóó hastą́ą́ʼ bitah bee bééhózinígíí, biyiʼ dah naasháhígíí—áádóó díí Sunday law átʼé.</w:t>
      </w:r>
    </w:p>
    <w:p>
      <w:pPr>
        <w:pStyle w:val="ArticleBody"/>
        <w:jc w:val="left"/>
      </w:pPr>
      <w:r>
        <w:rPr>
          <w:rFonts w:ascii="Times New Roman" w:hAnsi="Times New Roman" w:eastAsia="Times New Roman" w:cs="Times New Roman"/>
        </w:rPr>
        <w:t>I sueb ti-gwawwalu ket danum idiay Massah, a kayatna a saoen ket “pannakasubok,” ken idiay Meribah, a kayatna a saoen ti “pagilasinan ni Jehova,” ken masarakan idiay Exodo 17:1–7, a sadiay ket nalawag unay a naipakdaar a kas “panangsubok iti Apo.”</w:t>
      </w:r>
    </w:p>
    <w:p>
      <w:pPr>
        <w:pStyle w:val="ArticleScripture"/>
        <w:jc w:val="left"/>
      </w:pPr>
      <w:r>
        <w:rPr>
          <w:rFonts w:ascii="Times New Roman" w:hAnsi="Times New Roman" w:eastAsia="Times New Roman" w:cs="Times New Roman"/>
        </w:rPr>
        <w:t>A cɩmbʋl m-pohɩɩli nɩ Israel biiri bɛla ŋmɛ Sin tʋŋʋŋa nɩ, bɛ yáa bɛ sɔŋma bɛ nʋna nɩ, Yompoo la yelɛ nɩ, kà bɛ dɔg Rephidim. Ama koŋ ko daare nɩ baa nyu. Nɔɔ la, nɛra la gbɛr Moses nɩ, kà bɛ yelɛ, «Tɩ nyɛ koŋ, kà tɩ nyu.» Moses yelɛ bɛ nɩ, «Bɔ la nɛra gbɛr ma? Bɔ la nɛra tɛ Yompoo la?» Nɛra la da nyuu koŋ bɔbɔɔ nɩ; kà nɛra la yɔr Moses nɩ, kà bɛ yelɛ, «Bɔ la a lɔɔ tɩ yé Egypte nɩ, nɛ a kʋ tɩ, tɩ biiri, kà tɩ naabii koŋ-nyuu la nɩ?»</w:t>
      </w:r>
    </w:p>
    <w:p>
      <w:pPr>
        <w:pStyle w:val="ArticleScripture"/>
        <w:jc w:val="left"/>
      </w:pPr>
      <w:r>
        <w:rPr>
          <w:rFonts w:ascii="Times New Roman" w:hAnsi="Times New Roman" w:eastAsia="Times New Roman" w:cs="Times New Roman"/>
        </w:rPr>
        <w:t>Musa RAB’be feryat edip dedi: Bu halka ne yapayım? Neredeyse beni taşlayacaklar.</w:t>
      </w:r>
    </w:p>
    <w:p>
      <w:pPr>
        <w:pStyle w:val="ArticleScripture"/>
        <w:jc w:val="left"/>
      </w:pPr>
      <w:r>
        <w:rPr>
          <w:rFonts w:ascii="Times New Roman" w:hAnsi="Times New Roman" w:eastAsia="Times New Roman" w:cs="Times New Roman"/>
        </w:rPr>
        <w:t>Ataw aadigiya ang Ginoo kang Moises, Umuna ka sa atubangan sa katawhan, ug pagdala uban kanimo sa mga anciano sa Israel; ug ang imong sungkod, nga pinaagi niana imong gihampak ang suba, kuhaa sa imong kamot, ug lumakaw. Ania karon, motindog ako sa imong atubangan didto ibabaw sa bato sa Horeb; ug hampakon mo ang bato, ug mogula gikan niini ang tubig, aron makainom ang katawhan. Ug gibuhat kini ni Moises sa atubangan sa mga anciano sa Israel.</w:t>
      </w:r>
    </w:p>
    <w:p>
      <w:pPr>
        <w:pStyle w:val="ArticleScripture"/>
        <w:jc w:val="left"/>
      </w:pPr>
      <w:r>
        <w:rPr>
          <w:rFonts w:ascii="Times New Roman" w:hAnsi="Times New Roman" w:eastAsia="Times New Roman" w:cs="Times New Roman"/>
        </w:rPr>
        <w:t>Agtaginona ni an nagan it sadto nga lugar a Massah, ngan Meribah, tungod han pagpakig-awayan han mga anak han Israel, ngan tungod kay gintintar nira an Ginoo, nga nasiring, Aadi ba an Ginoo ha aton butnga, o waray? Exodo 17:1–7.</w:t>
      </w:r>
    </w:p>
    <w:p>
      <w:pPr>
        <w:pStyle w:val="ArticleBody"/>
        <w:jc w:val="left"/>
      </w:pPr>
      <w:r>
        <w:rPr>
          <w:rFonts w:ascii="Times New Roman" w:hAnsi="Times New Roman" w:eastAsia="Times New Roman" w:cs="Times New Roman"/>
        </w:rPr>
        <w:t xml:space="preserve">“Massah”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“Meribah”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ध्वजचिह्न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ओमेगासँग</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मोशाले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चट्टानलाई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उत्तेजनाहरूमध्ये</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कादेशमा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मोशाले</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चट्टानलाई</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समेट्छ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ध्वजचिह्न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गर्छ।</w:t>
      </w:r>
    </w:p>
    <w:p>
      <w:pPr>
        <w:pStyle w:val="ArticleBody"/>
        <w:jc w:val="left"/>
      </w:pPr>
      <w:r>
        <w:rPr>
          <w:rFonts w:ascii="Times New Roman" w:hAnsi="Times New Roman" w:eastAsia="Times New Roman" w:cs="Times New Roman"/>
        </w:rPr>
        <w:t>ئەنسێن درووست دەکات، تاقیکردنەوەی پەیامی بارانی دواترە. ساڵی 1863 ئەو شوێنە بوو کە دەبوو ئەنسێن لەوێ بەرز بکرایەوە، بەڵام داخە؛ 1863 تەنها قادێشی یەکەم بوو، و قادێشی دووەم لە یاسای یەکشەممەی نزیکەهاتوودایە. مەسە و مەریبە نوێنەرایەتی تاقیکردنەوەی کۆتایی بۆ سەد و چل و چوار هەزار دەکەن، لە پێش ئەوەی وەک ئەنسێن لە یاسای یەکشەممەدا بەرز بکرێنەوە. نە دەسەڵاتی ڕۆما بوو، نە دەسەڵاتی جولەکەکان، کە ڕێکخستنی مردنی مەسیحیان کرد. ئەو دەسەڵاتە لە ڕاوێژکاریی ئاسماندا زۆر سەردەم پێش خاچ پشتڕاست کرابوو. موسا گوریسەکەی خۆی بەکار هێنا، ئەو گوریسەیەی کە خودی خودا مەسحداری کردبوو بۆ لێدانی بەردەکە— بەڵام تەنها یەک جار. ئەو بەردە، بەپێی ئیلهام، بە پەیامەکانی 1840 تا 1844 نمایەندە دەکرێت، کە ئەو ڕاستییە بنەڕەتییە کۆنانەن و ڕێگای دادپەروەران پیشان دەدەن. لە تاقیکردنەوەیەکەی کە بە مەسە نمایەندە دەکرێت، ئەو ئاوەی کە ڕزگاری دەدات، ئەو ئاوەیە کە لە بەردی ڕێگا کۆنەکانەوە دێتە دەرەوە. ئەو ئاوە دوو پۆل تاقی دەکاتەوە و دەرهێنێت؛ یەکێک بۆ نیشانی ئاژەڵەکە و ئەوەی دیکە بۆ مۆری خودا، وەک لە مۆری خودا لەسەر ئەوانەی وەک ئەنسێن بەرز کرانەوەدا نمایانە، هەروەک بە مەریبە نمایەندە کراوە.</w:t>
      </w:r>
    </w:p>
    <w:p>
      <w:pPr>
        <w:pStyle w:val="ArticleBody"/>
        <w:jc w:val="left"/>
      </w:pPr>
      <w:r>
        <w:rPr>
          <w:rFonts w:ascii="Times New Roman" w:hAnsi="Times New Roman" w:eastAsia="Times New Roman" w:cs="Times New Roman"/>
        </w:rPr>
        <w:t>Tembili uñstän pütüqan sïrsa Artaxerxesün üčünčü zarlig-ača urida düsčü, ene ni 1798-ača 1844 kürtel 46 jil-dür Hristosün bosqaġsan Millerit templ’ üčünčü tengeger, üčünčü zarlig-un irült-eber tölöölögdög üčünčü elči-eče urida düsči geged togtaqulna. Neg jazu dörben tümen döčin dörbön minggan ni Yäkšämba üdür-ün huuli-yin omno tamgalagdaqu böged, tede tüün-eče hoişi erte üye-dügüi Pentikost-un anqaġčin urğaç-un örgöl šig, erteni üdürnü adali, tuġ bolgon örgögdönö. Massa ba Meribah ni anqaduqar ba üčünčü elčinü tühii-dü Dund Šönö-yin Hailalt-un medegeleger tölöölögdög usun сорил-i tanilčuulna.</w:t>
      </w:r>
    </w:p>
    <w:p>
      <w:pPr>
        <w:pStyle w:val="ArticleBody"/>
        <w:jc w:val="left"/>
      </w:pPr>
      <w:r>
        <w:rPr>
          <w:rFonts w:ascii="Times New Roman" w:hAnsi="Times New Roman" w:eastAsia="Times New Roman" w:cs="Times New Roman"/>
        </w:rPr>
        <w:t>Илоҳиятни инсоният билан бирлаштириш иши икки маъбаднинг бирлаштирилиши сифатида ҳам ифодаланади. У яна никоҳ сифатида ҳам тасвирланади; бунда эркак ва аёл, ёки аёл-маъбад ва эркак-маъбад қўшилиб, бир тан бўладилар. Масих Миллерит маъбадини уларни Ўзининг Самовий маъбадига олиб кириш мақсадида барпо этди; у ерда улар “ором” топишлари керак эди, бу эса 1844 йил тарихида еттинчи кун — Шанба орқали ифодаланган.</w:t>
      </w:r>
    </w:p>
    <w:p>
      <w:pPr>
        <w:pStyle w:val="ArticleBody"/>
        <w:jc w:val="left"/>
      </w:pPr>
      <w:r>
        <w:rPr>
          <w:rFonts w:ascii="Nirmala UI" w:hAnsi="Nirmala UI" w:eastAsia="Nirmala UI" w:cs="Nirmala UI"/>
        </w:rPr>
        <w:t>मारेराह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मस्साहको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परीक्षाहरूलाई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परीक्षाहरूको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तिगुना</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हारूनको</w:t>
      </w:r>
      <w:r>
        <w:rPr>
          <w:rFonts w:ascii="Times New Roman" w:hAnsi="Times New Roman" w:eastAsia="Times New Roman" w:cs="Times New Roman"/>
        </w:rPr>
        <w:t xml:space="preserve"> </w:t>
      </w:r>
      <w:r>
        <w:rPr>
          <w:rFonts w:ascii="Nirmala UI" w:hAnsi="Nirmala UI" w:eastAsia="Nirmala UI" w:cs="Nirmala UI"/>
        </w:rPr>
        <w:t>सुनौलो</w:t>
      </w:r>
      <w:r>
        <w:rPr>
          <w:rFonts w:ascii="Times New Roman" w:hAnsi="Times New Roman" w:eastAsia="Times New Roman" w:cs="Times New Roman"/>
        </w:rPr>
        <w:t xml:space="preserve"> </w:t>
      </w:r>
      <w:r>
        <w:rPr>
          <w:rFonts w:ascii="Nirmala UI" w:hAnsi="Nirmala UI" w:eastAsia="Nirmala UI" w:cs="Nirmala UI"/>
        </w:rPr>
        <w:t>बाछाको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द्विगुणित</w:t>
      </w:r>
      <w:r>
        <w:rPr>
          <w:rFonts w:ascii="Times New Roman" w:hAnsi="Times New Roman" w:eastAsia="Times New Roman" w:cs="Times New Roman"/>
        </w:rPr>
        <w:t xml:space="preserve"> </w:t>
      </w:r>
      <w:r>
        <w:rPr>
          <w:rFonts w:ascii="Nirmala UI" w:hAnsi="Nirmala UI" w:eastAsia="Nirmala UI" w:cs="Nirmala UI"/>
        </w:rPr>
        <w:t>परीक्षाभन्दा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बढ्छ।</w:t>
      </w:r>
      <w:r>
        <w:rPr>
          <w:rFonts w:ascii="Times New Roman" w:hAnsi="Times New Roman" w:eastAsia="Times New Roman" w:cs="Times New Roman"/>
        </w:rPr>
        <w:t xml:space="preserve"> </w:t>
      </w:r>
      <w:r>
        <w:rPr>
          <w:rFonts w:ascii="Nirmala UI" w:hAnsi="Nirmala UI" w:eastAsia="Nirmala UI" w:cs="Nirmala UI"/>
        </w:rPr>
        <w:t>मस्साह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मेरिबाहलाई</w:t>
      </w:r>
      <w:r>
        <w:rPr>
          <w:rFonts w:ascii="Times New Roman" w:hAnsi="Times New Roman" w:eastAsia="Times New Roman" w:cs="Times New Roman"/>
        </w:rPr>
        <w:t xml:space="preserve"> </w:t>
      </w:r>
      <w:r>
        <w:rPr>
          <w:rFonts w:ascii="Nirmala UI" w:hAnsi="Nirmala UI" w:eastAsia="Nirmala UI" w:cs="Nirmala UI"/>
        </w:rPr>
        <w:t>सँगसँगै</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अगमवाणीय</w:t>
      </w:r>
      <w:r>
        <w:rPr>
          <w:rFonts w:ascii="Times New Roman" w:hAnsi="Times New Roman" w:eastAsia="Times New Roman" w:cs="Times New Roman"/>
        </w:rPr>
        <w:t xml:space="preserve"> “</w:t>
      </w:r>
      <w:r>
        <w:rPr>
          <w:rFonts w:ascii="Nirmala UI" w:hAnsi="Nirmala UI" w:eastAsia="Nirmala UI" w:cs="Nirmala UI"/>
        </w:rPr>
        <w:t>दोहोरोपन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मस्साह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मेरिबाहको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हारूनको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Paanchhumi parīkṣā Aarônâ sonāra bachhurar parīkṣā, yār ārambha hoi mūrttipūjār ek prakāśana diyā, jetiyā bidrohīsakale bhābila je tanhārāṅ nirlaajja bidroha Ishwarar para gupta achhil.</w:t>
      </w:r>
    </w:p>
    <w:p>
      <w:pPr>
        <w:pStyle w:val="ArticleScripture"/>
        <w:jc w:val="left"/>
      </w:pPr>
      <w:r>
        <w:rPr>
          <w:rFonts w:ascii="Times New Roman" w:hAnsi="Times New Roman" w:eastAsia="Times New Roman" w:cs="Times New Roman"/>
        </w:rPr>
        <w:t>И народът, като видя, че Моисей се бави да слезе от планината, се събра при Аарон и му каза: Стани, направи ни богове, които да вървят пред нас; защото за този Моисей, човека, който ни изведе от Египетската земя, не знаем какво е станало с него. А Аарон им каза: Снемете златните обици, които са на ушите на жените ви, на синовете ви и на дъщерите ви, и ги донесете при мене. И целият народ сне златните обици, които бяха на ушите им, и ги донесе на Аарон. И той ги взе от ръцете им, изработи го с резец и направи лято теле; и те казаха: Това са твоите богове, Израилю, които те изведоха от Египетската земя. А когато Аарон видя това, съгради олтар пред него; и Аарон разгласи, като каза: Утре ще бъде празник на Господа.</w:t>
      </w:r>
    </w:p>
    <w:p>
      <w:pPr>
        <w:pStyle w:val="ArticleScripture"/>
        <w:jc w:val="left"/>
      </w:pPr>
      <w:r>
        <w:rPr>
          <w:rFonts w:ascii="Times New Roman" w:hAnsi="Times New Roman" w:eastAsia="Times New Roman" w:cs="Times New Roman"/>
        </w:rPr>
        <w:t>Sapa ko’ẽmbávo opuʼã pyhareveve, ha oikuaveʼẽ mymbajuka hapykuere peguarã, ha ogueru mymbajuka joajurãgua; ha tavayguakuéra oguapy okaru ha hoʼu hag̃ua, ha opuʼã ovyʼa hag̃ua. Éxodo 32:1–6.</w:t>
      </w:r>
    </w:p>
    <w:p>
      <w:pPr>
        <w:pStyle w:val="ArticleBody"/>
        <w:jc w:val="left"/>
      </w:pPr>
      <w:r>
        <w:rPr>
          <w:rFonts w:ascii="Times New Roman" w:hAnsi="Times New Roman" w:eastAsia="Times New Roman" w:cs="Times New Roman"/>
        </w:rPr>
        <w:t>تەستەی شەشەم بەشی دووەمی یاخیبوونی گولەباخەڵە زێڕینەکەیە، کاتێک موسا لە وەرگرتنی دە فەرمانەکە دەگەڕێتەوە. موسا دەپرسێت: «کێ لە لای پەروەردگارە؟» زۆرینە بە بێدەنگی مانەوە یان لەگەڵ بت‌پەرستان هاوتەریب بوون، هەمان یاخیبوون بە ئاشکرا لە ئامادەبوونی ناوبژیوانەکەدا دەردەخست.</w:t>
      </w:r>
    </w:p>
    <w:p>
      <w:pPr>
        <w:pStyle w:val="ArticleBody"/>
        <w:jc w:val="left"/>
      </w:pPr>
      <w:r>
        <w:rPr>
          <w:rFonts w:ascii="Nirmala UI" w:hAnsi="Nirmala UI" w:eastAsia="Nirmala UI" w:cs="Nirmala UI"/>
        </w:rPr>
        <w:t>ᱯᱟᱸᱪ</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ᱚᱝᱜᱟ</w:t>
      </w:r>
      <w:r>
        <w:rPr>
          <w:rFonts w:ascii="Times New Roman" w:hAnsi="Times New Roman" w:eastAsia="Times New Roman" w:cs="Times New Roman"/>
        </w:rPr>
        <w:t>-</w:t>
      </w:r>
      <w:r>
        <w:rPr>
          <w:rFonts w:ascii="Nirmala UI" w:hAnsi="Nirmala UI" w:eastAsia="Nirmala UI" w:cs="Nirmala UI"/>
        </w:rPr>
        <w:t>ᱚᱝᱜᱟ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ᱮᱢᱚᱱ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ᱡᱷᱟᱯᱟᱜ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ᱢᱮᱱᱟ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ᱠᱟᱨᱢᱮᱞ</w:t>
      </w:r>
      <w:r>
        <w:rPr>
          <w:rFonts w:ascii="Times New Roman" w:hAnsi="Times New Roman" w:eastAsia="Times New Roman" w:cs="Times New Roman"/>
        </w:rPr>
        <w:t xml:space="preserve"> </w:t>
      </w:r>
      <w:r>
        <w:rPr>
          <w:rFonts w:ascii="Nirmala UI" w:hAnsi="Nirmala UI" w:eastAsia="Nirmala UI" w:cs="Nirmala UI"/>
        </w:rPr>
        <w:t>ᱯᱟᱦᱟᱲ</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ᱮᱞᱤᱭᱟᱦ</w:t>
      </w:r>
      <w:r>
        <w:rPr>
          <w:rFonts w:ascii="Times New Roman" w:hAnsi="Times New Roman" w:eastAsia="Times New Roman" w:cs="Times New Roman"/>
        </w:rPr>
        <w:t xml:space="preserve"> </w:t>
      </w:r>
      <w:r>
        <w:rPr>
          <w:rFonts w:ascii="Nirmala UI" w:hAnsi="Nirmala UI" w:eastAsia="Nirmala UI" w:cs="Nirmala UI"/>
        </w:rPr>
        <w:t>ᱢᱩᱥᱟ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ᱠᱩᱥᱤ</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ᱠᱩᱥᱤ</w:t>
      </w:r>
      <w:r>
        <w:rPr>
          <w:rFonts w:ascii="Times New Roman" w:hAnsi="Times New Roman" w:eastAsia="Times New Roman" w:cs="Times New Roman"/>
        </w:rPr>
        <w:t xml:space="preserve"> </w:t>
      </w:r>
      <w:r>
        <w:rPr>
          <w:rFonts w:ascii="Nirmala UI" w:hAnsi="Nirmala UI" w:eastAsia="Nirmala UI" w:cs="Nirmala UI"/>
        </w:rPr>
        <w:t>ᱠᱩᱞᱤᱭᱟ।</w:t>
      </w:r>
      <w:r>
        <w:rPr>
          <w:rFonts w:ascii="Times New Roman" w:hAnsi="Times New Roman" w:eastAsia="Times New Roman" w:cs="Times New Roman"/>
        </w:rPr>
        <w:t xml:space="preserve"> </w:t>
      </w:r>
      <w:r>
        <w:rPr>
          <w:rFonts w:ascii="Nirmala UI" w:hAnsi="Nirmala UI" w:eastAsia="Nirmala UI" w:cs="Nirmala UI"/>
        </w:rPr>
        <w:t>ᱛᱮᱦᱮᱧ</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ᱢᱟᱦᱟ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ᱥᱮᱵᱟ</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ᱪᱷᱚᱵᱤ</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ᱯᱨᱛᱤᱠ</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ᱟᱨᱚᱱ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ᱠᱟᱦᱟᱱᱤ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ᱞᱮᱵᱤᱭᱟᱛ</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ᱵᱷᱟᱜᱟ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ᱭᱚᱨᱚᱵᱚᱭᱟᱢ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ᱥᱚᱱᱟᱞᱤ</w:t>
      </w:r>
      <w:r>
        <w:rPr>
          <w:rFonts w:ascii="Times New Roman" w:hAnsi="Times New Roman" w:eastAsia="Times New Roman" w:cs="Times New Roman"/>
        </w:rPr>
        <w:t xml:space="preserve"> </w:t>
      </w:r>
      <w:r>
        <w:rPr>
          <w:rFonts w:ascii="Nirmala UI" w:hAnsi="Nirmala UI" w:eastAsia="Nirmala UI" w:cs="Nirmala UI"/>
        </w:rPr>
        <w:t>ᱵᱟᱸᱜᱽᱨᱟ</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ᱠᱟᱦᱟᱱᱤ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ᱵᱟᱨᱚ</w:t>
      </w:r>
      <w:r>
        <w:rPr>
          <w:rFonts w:ascii="Times New Roman" w:hAnsi="Times New Roman" w:eastAsia="Times New Roman" w:cs="Times New Roman"/>
        </w:rPr>
        <w:t xml:space="preserve"> </w:t>
      </w:r>
      <w:r>
        <w:rPr>
          <w:rFonts w:ascii="Nirmala UI" w:hAnsi="Nirmala UI" w:eastAsia="Nirmala UI" w:cs="Nirmala UI"/>
        </w:rPr>
        <w:t>ᱜᱚᱛᱨᱚ</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ᱵᱷᱟᱜᱟ</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ᱵᱩᱫ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ᱵᱮᱵᱩᱫ</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ᱵᱷᱟᱜᱟ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ᱞᱟᱣᱫᱤᱥᱤᱭᱟ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ᱦᱩᱰᱤᱧ</w:t>
      </w:r>
      <w:r>
        <w:rPr>
          <w:rFonts w:ascii="Times New Roman" w:hAnsi="Times New Roman" w:eastAsia="Times New Roman" w:cs="Times New Roman"/>
        </w:rPr>
        <w:t xml:space="preserve"> </w:t>
      </w:r>
      <w:r>
        <w:rPr>
          <w:rFonts w:ascii="Nirmala UI" w:hAnsi="Nirmala UI" w:eastAsia="Nirmala UI" w:cs="Nirmala UI"/>
        </w:rPr>
        <w:t>ᱠᱩᱸᱣᱟᱨᱤ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ᱥᱤᱥᱴᱟᱨ</w:t>
      </w:r>
      <w:r>
        <w:rPr>
          <w:rFonts w:ascii="Times New Roman" w:hAnsi="Times New Roman" w:eastAsia="Times New Roman" w:cs="Times New Roman"/>
        </w:rPr>
        <w:t xml:space="preserve"> </w:t>
      </w:r>
      <w:r>
        <w:rPr>
          <w:rFonts w:ascii="Nirmala UI" w:hAnsi="Nirmala UI" w:eastAsia="Nirmala UI" w:cs="Nirmala UI"/>
        </w:rPr>
        <w:t>ᱣᱟᱭᱤᱴ</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ᱠᱩᱸᱣᱟᱨᱤ</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ᱵᱷᱟᱜᱟ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ᱞᱟᱣᱫᱤᱥᱤᱭᱟ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ᱯᱷᱤᱞᱟᱫᱮᱞᱯᱷᱤᱭᱟ</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ᱵᱷᱟᱜᱟ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ᱯᱟᱸᱪ</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ᱡᱮᱫ</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w:t>
      </w:r>
      <w:r>
        <w:rPr>
          <w:rFonts w:ascii="Nirmala UI" w:hAnsi="Nirmala UI" w:eastAsia="Nirmala UI" w:cs="Nirmala UI"/>
        </w:rPr>
        <w:t>ᱯᱟᱨᱥᱤ</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ᱢᱮᱱᱟ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ᱚᱨᱛᱷ</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1863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ᱠᱟᱫᱮᱥ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ᱢᱮᱱᱟ</w:t>
      </w:r>
      <w:r>
        <w:rPr>
          <w:rFonts w:ascii="Times New Roman" w:hAnsi="Times New Roman" w:eastAsia="Times New Roman" w:cs="Times New Roman"/>
        </w:rPr>
        <w:t xml:space="preserve"> </w:t>
      </w:r>
      <w:r>
        <w:rPr>
          <w:rFonts w:ascii="Nirmala UI" w:hAnsi="Nirmala UI" w:eastAsia="Nirmala UI" w:cs="Nirmala UI"/>
        </w:rPr>
        <w:t>ᱠᱟᱱᱟ।</w:t>
      </w:r>
    </w:p>
    <w:p>
      <w:pPr>
        <w:pStyle w:val="ArticleBody"/>
        <w:jc w:val="left"/>
      </w:pPr>
      <w:r>
        <w:rPr>
          <w:rFonts w:ascii="Nirmala UI" w:hAnsi="Nirmala UI" w:eastAsia="Nirmala UI" w:cs="Nirmala UI"/>
        </w:rPr>
        <w:t>ਐਕਸੋਡਸ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ਤੇਤੀ</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1863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ਤੇਤੀਵੇਂ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ਵੇਖਣ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ਉਕਸਾਹਟ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ਰੂਪਾਂਤਰਿਤ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ਵੇਖਦੇ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ਚੱਟਾਨ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ਚੱਟਾਨ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ਕੁਚਲੀ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ਡਿੱਗਣ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ਚੱਟਾਨ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ਚੱਟਾਨ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“Ambê ewên ku wek nigehên Xwedê li ser dîwarên Siyonê radiwestin, zilamên ku bikarin berî gel metirsiyan bibînin bin,—zilamên ku bikarin di navbera rastî û şaşiyê de, dadperwerî û neheqiyê de cihêz bikin.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သတိပေးခြင်းသည်</w:t>
      </w:r>
      <w:r>
        <w:rPr>
          <w:rFonts w:ascii="Times New Roman" w:hAnsi="Times New Roman" w:eastAsia="Times New Roman" w:cs="Times New Roman"/>
        </w:rPr>
        <w:t xml:space="preserve"> </w:t>
      </w:r>
      <w:r>
        <w:rPr>
          <w:rFonts w:ascii="Myanmar Text" w:hAnsi="Myanmar Text" w:eastAsia="Myanmar Text" w:cs="Myanmar Text"/>
        </w:rPr>
        <w:t>ရောက်ရှိလာပြီ။</w:t>
      </w:r>
      <w:r>
        <w:rPr>
          <w:rFonts w:ascii="Times New Roman" w:hAnsi="Times New Roman" w:eastAsia="Times New Roman" w:cs="Times New Roman"/>
        </w:rPr>
        <w:t xml:space="preserve"> </w:t>
      </w:r>
      <w:r>
        <w:rPr>
          <w:rFonts w:ascii="Myanmar Text" w:hAnsi="Myanmar Text" w:eastAsia="Myanmar Text" w:cs="Myanmar Text"/>
        </w:rPr>
        <w:t>၁၈၄၂၊</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ရောက်လာကတည်းက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တည်ဆောက်လာခဲ့သော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လှုပ်ခတ်စေမည့်</w:t>
      </w:r>
      <w:r>
        <w:rPr>
          <w:rFonts w:ascii="Times New Roman" w:hAnsi="Times New Roman" w:eastAsia="Times New Roman" w:cs="Times New Roman"/>
        </w:rPr>
        <w:t xml:space="preserve"> </w:t>
      </w:r>
      <w:r>
        <w:rPr>
          <w:rFonts w:ascii="Myanmar Text" w:hAnsi="Myanmar Text" w:eastAsia="Myanmar Text" w:cs="Myanmar Text"/>
        </w:rPr>
        <w:t>အရာတစ်စုံတစ်ရာကိုမျှ</w:t>
      </w:r>
      <w:r>
        <w:rPr>
          <w:rFonts w:ascii="Times New Roman" w:hAnsi="Times New Roman" w:eastAsia="Times New Roman" w:cs="Times New Roman"/>
        </w:rPr>
        <w:t xml:space="preserve"> </w:t>
      </w:r>
      <w:r>
        <w:rPr>
          <w:rFonts w:ascii="Myanmar Text" w:hAnsi="Myanmar Text" w:eastAsia="Myanmar Text" w:cs="Myanmar Text"/>
        </w:rPr>
        <w:t>ဝင်ရောက်ခွင့်</w:t>
      </w:r>
      <w:r>
        <w:rPr>
          <w:rFonts w:ascii="Times New Roman" w:hAnsi="Times New Roman" w:eastAsia="Times New Roman" w:cs="Times New Roman"/>
        </w:rPr>
        <w:t xml:space="preserve"> </w:t>
      </w:r>
      <w:r>
        <w:rPr>
          <w:rFonts w:ascii="Myanmar Text" w:hAnsi="Myanmar Text" w:eastAsia="Myanmar Text" w:cs="Myanmar Text"/>
        </w:rPr>
        <w:t>မပေးရ။</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ဤသတင်းစကားအတွင်း၌</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ထို့နောက်မှစ၍</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အလင်းတော်အပေါ်</w:t>
      </w:r>
      <w:r>
        <w:rPr>
          <w:rFonts w:ascii="Times New Roman" w:hAnsi="Times New Roman" w:eastAsia="Times New Roman" w:cs="Times New Roman"/>
        </w:rPr>
        <w:t xml:space="preserve"> </w:t>
      </w:r>
      <w:r>
        <w:rPr>
          <w:rFonts w:ascii="Myanmar Text" w:hAnsi="Myanmar Text" w:eastAsia="Myanmar Text" w:cs="Myanmar Text"/>
        </w:rPr>
        <w:t>သစ္စာရှိလျက်</w:t>
      </w:r>
      <w:r>
        <w:rPr>
          <w:rFonts w:ascii="Times New Roman" w:hAnsi="Times New Roman" w:eastAsia="Times New Roman" w:cs="Times New Roman"/>
        </w:rPr>
        <w:t xml:space="preserve"> </w:t>
      </w:r>
      <w:r>
        <w:rPr>
          <w:rFonts w:ascii="Myanmar Text" w:hAnsi="Myanmar Text" w:eastAsia="Myanmar Text" w:cs="Myanmar Text"/>
        </w:rPr>
        <w:t>ကမ္ဘာရှေ့၌</w:t>
      </w:r>
      <w:r>
        <w:rPr>
          <w:rFonts w:ascii="Times New Roman" w:hAnsi="Times New Roman" w:eastAsia="Times New Roman" w:cs="Times New Roman"/>
        </w:rPr>
        <w:t xml:space="preserve"> </w:t>
      </w:r>
      <w:r>
        <w:rPr>
          <w:rFonts w:ascii="Myanmar Text" w:hAnsi="Myanmar Text" w:eastAsia="Myanmar Text" w:cs="Myanmar Text"/>
        </w:rPr>
        <w:t>ရပ်တည်လာခဲ့သည်။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နေ့စဉ်နေ့တိုင်း</w:t>
      </w:r>
      <w:r>
        <w:rPr>
          <w:rFonts w:ascii="Times New Roman" w:hAnsi="Times New Roman" w:eastAsia="Times New Roman" w:cs="Times New Roman"/>
        </w:rPr>
        <w:t xml:space="preserve"> </w:t>
      </w:r>
      <w:r>
        <w:rPr>
          <w:rFonts w:ascii="Myanmar Text" w:hAnsi="Myanmar Text" w:eastAsia="Myanmar Text" w:cs="Myanmar Text"/>
        </w:rPr>
        <w:t>အလင်းတော်ကို</w:t>
      </w:r>
      <w:r>
        <w:rPr>
          <w:rFonts w:ascii="Times New Roman" w:hAnsi="Times New Roman" w:eastAsia="Times New Roman" w:cs="Times New Roman"/>
        </w:rPr>
        <w:t xml:space="preserve"> </w:t>
      </w:r>
      <w:r>
        <w:rPr>
          <w:rFonts w:ascii="Myanmar Text" w:hAnsi="Myanmar Text" w:eastAsia="Myanmar Text" w:cs="Myanmar Text"/>
        </w:rPr>
        <w:t>ရှာဖွေလျက်</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ဆုတောင်းခြင်းနှင့်အတူ</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ရှာဖွေခဲ့စဉ်</w:t>
      </w:r>
      <w:r>
        <w:rPr>
          <w:rFonts w:ascii="Times New Roman" w:hAnsi="Times New Roman" w:eastAsia="Times New Roman" w:cs="Times New Roman"/>
        </w:rPr>
        <w:t xml:space="preserve"> </w:t>
      </w:r>
      <w:r>
        <w:rPr>
          <w:rFonts w:ascii="Myanmar Text" w:hAnsi="Myanmar Text" w:eastAsia="Myanmar Text" w:cs="Myanmar Text"/>
        </w:rPr>
        <w:t>မိမိတို့ခြေကို</w:t>
      </w:r>
      <w:r>
        <w:rPr>
          <w:rFonts w:ascii="Times New Roman" w:hAnsi="Times New Roman" w:eastAsia="Times New Roman" w:cs="Times New Roman"/>
        </w:rPr>
        <w:t xml:space="preserve"> </w:t>
      </w:r>
      <w:r>
        <w:rPr>
          <w:rFonts w:ascii="Myanmar Text" w:hAnsi="Myanmar Text" w:eastAsia="Myanmar Text" w:cs="Myanmar Text"/>
        </w:rPr>
        <w:t>တင်ထားပေးခဲ့သော</w:t>
      </w:r>
      <w:r>
        <w:rPr>
          <w:rFonts w:ascii="Times New Roman" w:hAnsi="Times New Roman" w:eastAsia="Times New Roman" w:cs="Times New Roman"/>
        </w:rPr>
        <w:t xml:space="preserve"> </w:t>
      </w:r>
      <w:r>
        <w:rPr>
          <w:rFonts w:ascii="Myanmar Text" w:hAnsi="Myanmar Text" w:eastAsia="Myanmar Text" w:cs="Myanmar Text"/>
        </w:rPr>
        <w:t>ထိုအခြေခံစင်မြင့်မှ</w:t>
      </w:r>
      <w:r>
        <w:rPr>
          <w:rFonts w:ascii="Times New Roman" w:hAnsi="Times New Roman" w:eastAsia="Times New Roman" w:cs="Times New Roman"/>
        </w:rPr>
        <w:t xml:space="preserve"> </w:t>
      </w:r>
      <w:r>
        <w:rPr>
          <w:rFonts w:ascii="Myanmar Text" w:hAnsi="Myanmar Text" w:eastAsia="Myanmar Text" w:cs="Myanmar Text"/>
        </w:rPr>
        <w:t>ခြေချော်ဆင်းသွားရန်</w:t>
      </w:r>
      <w:r>
        <w:rPr>
          <w:rFonts w:ascii="Times New Roman" w:hAnsi="Times New Roman" w:eastAsia="Times New Roman" w:cs="Times New Roman"/>
        </w:rPr>
        <w:t xml:space="preserve"> </w:t>
      </w:r>
      <w:r>
        <w:rPr>
          <w:rFonts w:ascii="Myanmar Text" w:hAnsi="Myanmar Text" w:eastAsia="Myanmar Text" w:cs="Myanmar Text"/>
        </w:rPr>
        <w:t>အလိုမရှိကြ။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အလင်းတော်ကို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စွန့်လွှတ်နိုင်မည်ဟု</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ထင်ကြသလော။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ခေတ်ကာလတို့၏</w:t>
      </w:r>
      <w:r>
        <w:rPr>
          <w:rFonts w:ascii="Times New Roman" w:hAnsi="Times New Roman" w:eastAsia="Times New Roman" w:cs="Times New Roman"/>
        </w:rPr>
        <w:t xml:space="preserve"> </w:t>
      </w:r>
      <w:r>
        <w:rPr>
          <w:rFonts w:ascii="Myanmar Text" w:hAnsi="Myanmar Text" w:eastAsia="Myanmar Text" w:cs="Myanmar Text"/>
        </w:rPr>
        <w:t>ကျောက်တောင်ကဲ့သို့</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ပေးတော်မူသည့်အချိန်မှစ၍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ကျွန်ုပ်ကို</w:t>
      </w:r>
      <w:r>
        <w:rPr>
          <w:rFonts w:ascii="Times New Roman" w:hAnsi="Times New Roman" w:eastAsia="Times New Roman" w:cs="Times New Roman"/>
        </w:rPr>
        <w:t xml:space="preserve"> </w:t>
      </w:r>
      <w:r>
        <w:rPr>
          <w:rFonts w:ascii="Myanmar Text" w:hAnsi="Myanmar Text" w:eastAsia="Myanmar Text" w:cs="Myanmar Text"/>
        </w:rPr>
        <w:t>လမ်းညွှန်ပေးလျက်ရှိခဲ့သည်။</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Amanhene no mu bi a ɛfa “Mose wɔ Kades” ho ne sɛ ɔde poma, a ɛyɛ tumi ho sɛnkyerɛnne, bɔɔ Botan no. Ne mprenu no, nea edi kan no yɛɛ Onyankopɔn tumi, na nea ɛto so abien no yɛɛ onipa tumi. Kuw a Mose gyina hɔ ma no wɔ Kades a ɛto so abien no, wɔda no adi sɛ Efraim asabonom, a wɔde wɔn nyamesom mu tumi (poma) tow hyɛ osu a etwa to no nkrasɛm no so, a ɛno ne nkrasɛm a ɛfa akwan dedaw no ho fi 1840 kosi 1844.</w:t>
      </w:r>
    </w:p>
    <w:p>
      <w:pPr>
        <w:pStyle w:val="ArticleScripture"/>
        <w:jc w:val="left"/>
      </w:pPr>
      <w:r>
        <w:rPr>
          <w:rFonts w:ascii="Times New Roman" w:hAnsi="Times New Roman" w:eastAsia="Times New Roman" w:cs="Times New Roman"/>
        </w:rPr>
        <w:t>“1840–1844 yıllarından beri verilmiş olan bütün mesajlar şimdi etkili bir güçle sunulmalıdır; çünkü yönünü kaybetmiş birçok insan vardır. Bu mesajlar bütün kiliselere gitmelidir.</w:t>
      </w:r>
    </w:p>
    <w:p>
      <w:pPr>
        <w:pStyle w:val="ArticleScripture"/>
        <w:jc w:val="left"/>
      </w:pPr>
      <w:r>
        <w:rPr>
          <w:rFonts w:ascii="Times New Roman" w:hAnsi="Times New Roman" w:eastAsia="Times New Roman" w:cs="Times New Roman"/>
        </w:rPr>
        <w:t>Christ chu, “A nmit chu an hmu a, an mit a lungawi; in hnarte pawh an hre nghe nghe avangin an hlim. I hnenah thu tak ka sawi e, tam tak zawng zâwnga hrilhlâwtute leh mi felte chuan in hmuh thilte hi hmuh an duh tawh nual a, mahse an lo hmu lo; in hriat thilte hi hre an duh tawh nual a, mahse an lo hre lo” tih a ni [Matthew 13:16, 17]. 1843 leh 1844-ah thil hmuhte an hmuh mitte chu an vanlawm e.</w:t>
      </w:r>
    </w:p>
    <w:p>
      <w:pPr>
        <w:pStyle w:val="ArticleScripture"/>
        <w:jc w:val="left"/>
      </w:pPr>
      <w:r>
        <w:rPr>
          <w:rFonts w:ascii="Times New Roman" w:hAnsi="Times New Roman" w:eastAsia="Times New Roman" w:cs="Times New Roman"/>
        </w:rPr>
        <w:t>“</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ᱵᱤᱞᱚᱢᱵ</w:t>
      </w:r>
      <w:r>
        <w:rPr>
          <w:rFonts w:ascii="Times New Roman" w:hAnsi="Times New Roman" w:eastAsia="Times New Roman" w:cs="Times New Roman"/>
        </w:rPr>
        <w:t xml:space="preserve"> </w:t>
      </w:r>
      <w:r>
        <w:rPr>
          <w:rFonts w:ascii="Nirmala UI" w:hAnsi="Nirmala UI" w:eastAsia="Nirmala UI" w:cs="Nirmala UI"/>
        </w:rPr>
        <w:t>ᱵᱟᱹᱱᱩᱜᱼᱟ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ᱡᱩᱜ</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ᱯᱩᱨᱟᱹᱣᱚᱜᱼᱟ</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ᱥᱟᱨᱮ</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ᱞᱟᱹᱠᱛᱤᱭᱟ।</w:t>
      </w:r>
      <w:r>
        <w:rPr>
          <w:rFonts w:ascii="Times New Roman" w:hAnsi="Times New Roman" w:eastAsia="Times New Roman" w:cs="Times New Roman"/>
        </w:rPr>
        <w:t xml:space="preserve"> </w:t>
      </w:r>
      <w:r>
        <w:rPr>
          <w:rFonts w:ascii="Nirmala UI" w:hAnsi="Nirmala UI" w:eastAsia="Nirmala UI" w:cs="Nirmala UI"/>
        </w:rPr>
        <w:t>ᱠᱟᱴᱤᱡ</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ᱦᱚᱪᱚᱣᱟ।</w:t>
      </w:r>
      <w:r>
        <w:rPr>
          <w:rFonts w:ascii="Times New Roman" w:hAnsi="Times New Roman" w:eastAsia="Times New Roman" w:cs="Times New Roman"/>
        </w:rPr>
        <w:t xml:space="preserve"> </w:t>
      </w:r>
      <w:r>
        <w:rPr>
          <w:rFonts w:ascii="Nirmala UI" w:hAnsi="Nirmala UI" w:eastAsia="Nirmala UI" w:cs="Nirmala UI"/>
        </w:rPr>
        <w:t>ᱤᱱᱤᱭᱟᱹ</w:t>
      </w:r>
      <w:r>
        <w:rPr>
          <w:rFonts w:ascii="Times New Roman" w:hAnsi="Times New Roman" w:eastAsia="Times New Roman" w:cs="Times New Roman"/>
        </w:rPr>
        <w:t xml:space="preserve"> </w:t>
      </w:r>
      <w:r>
        <w:rPr>
          <w:rFonts w:ascii="Nirmala UI" w:hAnsi="Nirmala UI" w:eastAsia="Nirmala UI" w:cs="Nirmala UI"/>
        </w:rPr>
        <w:t>ᱠᱚᱢ</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ᱛᱮᱭᱟᱨᱤ</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ᱢᱟᱲᱟᱝ</w:t>
      </w:r>
      <w:r>
        <w:rPr>
          <w:rFonts w:ascii="Times New Roman" w:hAnsi="Times New Roman" w:eastAsia="Times New Roman" w:cs="Times New Roman"/>
        </w:rPr>
        <w:t xml:space="preserve"> </w:t>
      </w:r>
      <w:r>
        <w:rPr>
          <w:rFonts w:ascii="Nirmala UI" w:hAnsi="Nirmala UI" w:eastAsia="Nirmala UI" w:cs="Nirmala UI"/>
        </w:rPr>
        <w:t>ᱠᱩᱠᱞᱤ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ᱵᱟᱹᱲᱛᱤᱭᱚᱜᱼᱟ।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ᱥᱟᱡ</w:t>
      </w:r>
      <w:r>
        <w:rPr>
          <w:rFonts w:ascii="Times New Roman" w:hAnsi="Times New Roman" w:eastAsia="Times New Roman" w:cs="Times New Roman"/>
        </w:rPr>
        <w:t xml:space="preserve"> </w:t>
      </w:r>
      <w:r>
        <w:rPr>
          <w:rFonts w:ascii="Nirmala UI" w:hAnsi="Nirmala UI" w:eastAsia="Nirmala UI" w:cs="Nirmala UI"/>
        </w:rPr>
        <w:t>ᱡᱟᱭᱜᱟ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ᱛᱮᱸᱦᱮᱸᱜᱼᱟ</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Manuscript Releases, volume 21, 437.</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ᎤᏴᎵ</w:t>
      </w:r>
      <w:r>
        <w:rPr>
          <w:rFonts w:ascii="Times New Roman" w:hAnsi="Times New Roman" w:eastAsia="Times New Roman" w:cs="Times New Roman"/>
        </w:rPr>
        <w:t xml:space="preserve"> </w:t>
      </w:r>
      <w:r>
        <w:rPr>
          <w:rFonts w:ascii="Gadugi" w:hAnsi="Gadugi" w:eastAsia="Gadugi" w:cs="Gadugi"/>
        </w:rPr>
        <w:t>ᎹᎾ</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ᎨᏐᎢ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ᎤᎵᏍᎨᏂᏍᏗ</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ᏗᎪᎵᏰᎥ</w:t>
      </w:r>
      <w:r>
        <w:rPr>
          <w:rFonts w:ascii="Times New Roman" w:hAnsi="Times New Roman" w:eastAsia="Times New Roman" w:cs="Times New Roman"/>
        </w:rPr>
        <w:t xml:space="preserve"> </w:t>
      </w:r>
      <w:r>
        <w:rPr>
          <w:rFonts w:ascii="Gadugi" w:hAnsi="Gadugi" w:eastAsia="Gadugi" w:cs="Gadugi"/>
        </w:rPr>
        <w:t>ᎤᎵᏍᎪᎸᏓ</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ᎨᏐᎢ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ᎠᎬᏱᏱ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ᎤᎵᏍᎨᏂᏍᏗ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ᎠᏁᎳᏛ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ᏗᏎᎸᎢ</w:t>
      </w:r>
      <w:r>
        <w:rPr>
          <w:rFonts w:ascii="Times New Roman" w:hAnsi="Times New Roman" w:eastAsia="Times New Roman" w:cs="Times New Roman"/>
        </w:rPr>
        <w:t xml:space="preserve"> </w:t>
      </w:r>
      <w:r>
        <w:rPr>
          <w:rFonts w:ascii="Gadugi" w:hAnsi="Gadugi" w:eastAsia="Gadugi" w:cs="Gadugi"/>
        </w:rPr>
        <w:t>ᎠᎾᏚᎵᏍᎬᎢ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ᎨᏐᎢ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ᎤᏓᏟᎶᏍᏗᏍᎬᎢ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ᎬᏩᏍᏓᏩᏗᏒᎢ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ᏅᎩᏁ</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ᎤᏓᏓᏍᏔᏅᎢ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ᎠᏓᏰᎵᎢ</w:t>
      </w:r>
      <w:r>
        <w:rPr>
          <w:rFonts w:ascii="Times New Roman" w:hAnsi="Times New Roman" w:eastAsia="Times New Roman" w:cs="Times New Roman"/>
        </w:rPr>
        <w:t xml:space="preserve"> </w:t>
      </w:r>
      <w:r>
        <w:rPr>
          <w:rFonts w:ascii="Gadugi" w:hAnsi="Gadugi" w:eastAsia="Gadugi" w:cs="Gadugi"/>
        </w:rPr>
        <w:t>ᎤᏰᎸᏔᏅ</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ᎹᏌ</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ᎺᎵᏆ</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ᎤᏟᎶᏍᏔᏅᎢ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ᎨᏐᎢ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ᎯᏍᎩᏁ</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ᏗᎪᎵᏰᎥ</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ᎤᏟᎶᏍᏔᏅᎢ</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ᎹᏌ</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ᎺᎵᏆ</w:t>
      </w:r>
      <w:r>
        <w:rPr>
          <w:rFonts w:ascii="Times New Roman" w:hAnsi="Times New Roman" w:eastAsia="Times New Roman" w:cs="Times New Roman"/>
        </w:rPr>
        <w:t xml:space="preserve"> </w:t>
      </w:r>
      <w:r>
        <w:rPr>
          <w:rFonts w:ascii="Gadugi" w:hAnsi="Gadugi" w:eastAsia="Gadugi" w:cs="Gadugi"/>
        </w:rPr>
        <w:t>ᏥᎬᏩᏍᏓᏩᏗᏒᎢ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ᎹᎾ</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ᎨᏒᎢ</w:t>
      </w:r>
      <w:r>
        <w:rPr>
          <w:rFonts w:ascii="Ebrima" w:hAnsi="Ebrima" w:eastAsia="Ebrima" w:cs="Ebrima"/>
        </w:rPr>
        <w:t>።</w:t>
      </w:r>
    </w:p>
    <w:p>
      <w:pPr>
        <w:pStyle w:val="ArticleBody"/>
        <w:jc w:val="left"/>
      </w:pPr>
      <w:r>
        <w:rPr>
          <w:rFonts w:ascii="Times New Roman" w:hAnsi="Times New Roman" w:eastAsia="Times New Roman" w:cs="Times New Roman"/>
        </w:rPr>
        <w:t>“Taberah”</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불리는</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11:1–3</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격분은</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시험이다</w:t>
      </w:r>
      <w:r>
        <w:rPr>
          <w:rFonts w:ascii="Times New Roman" w:hAnsi="Times New Roman" w:eastAsia="Times New Roman" w:cs="Times New Roman"/>
        </w:rPr>
        <w:t>. ‘</w:t>
      </w:r>
      <w:r>
        <w:rPr>
          <w:rFonts w:ascii="Malgun Gothic" w:hAnsi="Malgun Gothic" w:eastAsia="Malgun Gothic" w:cs="Malgun Gothic"/>
        </w:rPr>
        <w:t>불타는</w:t>
      </w:r>
      <w:r>
        <w:rPr>
          <w:rFonts w:ascii="Times New Roman" w:hAnsi="Times New Roman" w:eastAsia="Times New Roman" w:cs="Times New Roman"/>
        </w:rPr>
        <w:t xml:space="preserve"> </w:t>
      </w:r>
      <w:r>
        <w:rPr>
          <w:rFonts w:ascii="Malgun Gothic" w:hAnsi="Malgun Gothic" w:eastAsia="Malgun Gothic" w:cs="Malgun Gothic"/>
        </w:rPr>
        <w:t>곳</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뜻하는</w:t>
      </w:r>
      <w:r>
        <w:rPr>
          <w:rFonts w:ascii="Times New Roman" w:hAnsi="Times New Roman" w:eastAsia="Times New Roman" w:cs="Times New Roman"/>
        </w:rPr>
        <w:t xml:space="preserve"> “Taberah”</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믿음의</w:t>
      </w:r>
      <w:r>
        <w:rPr>
          <w:rFonts w:ascii="Times New Roman" w:hAnsi="Times New Roman" w:eastAsia="Times New Roman" w:cs="Times New Roman"/>
        </w:rPr>
        <w:t xml:space="preserve"> </w:t>
      </w:r>
      <w:r>
        <w:rPr>
          <w:rFonts w:ascii="Malgun Gothic" w:hAnsi="Malgun Gothic" w:eastAsia="Malgun Gothic" w:cs="Malgun Gothic"/>
        </w:rPr>
        <w:t>불시험을</w:t>
      </w:r>
      <w:r>
        <w:rPr>
          <w:rFonts w:ascii="Times New Roman" w:hAnsi="Times New Roman" w:eastAsia="Times New Roman" w:cs="Times New Roman"/>
        </w:rPr>
        <w:t xml:space="preserve"> </w:t>
      </w:r>
      <w:r>
        <w:rPr>
          <w:rFonts w:ascii="Malgun Gothic" w:hAnsi="Malgun Gothic" w:eastAsia="Malgun Gothic" w:cs="Malgun Gothic"/>
        </w:rPr>
        <w:t>소개하는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구절들에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광야를</w:t>
      </w:r>
      <w:r>
        <w:rPr>
          <w:rFonts w:ascii="Times New Roman" w:hAnsi="Times New Roman" w:eastAsia="Times New Roman" w:cs="Times New Roman"/>
        </w:rPr>
        <w:t xml:space="preserve"> </w:t>
      </w:r>
      <w:r>
        <w:rPr>
          <w:rFonts w:ascii="Malgun Gothic" w:hAnsi="Malgun Gothic" w:eastAsia="Malgun Gothic" w:cs="Malgun Gothic"/>
        </w:rPr>
        <w:t>통과하는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이동을</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algun Gothic" w:hAnsi="Malgun Gothic" w:eastAsia="Malgun Gothic" w:cs="Malgun Gothic"/>
        </w:rPr>
        <w:t>구절들이</w:t>
      </w:r>
      <w:r>
        <w:rPr>
          <w:rFonts w:ascii="Times New Roman" w:hAnsi="Times New Roman" w:eastAsia="Times New Roman" w:cs="Times New Roman"/>
        </w:rPr>
        <w:t xml:space="preserve"> </w:t>
      </w:r>
      <w:r>
        <w:rPr>
          <w:rFonts w:ascii="Malgun Gothic" w:hAnsi="Malgun Gothic" w:eastAsia="Malgun Gothic" w:cs="Malgun Gothic"/>
        </w:rPr>
        <w:t>나온다</w:t>
      </w:r>
      <w:r>
        <w:rPr>
          <w:rFonts w:ascii="Times New Roman" w:hAnsi="Times New Roman" w:eastAsia="Times New Roman" w:cs="Times New Roman"/>
        </w:rPr>
        <w:t>. 10</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조급함은</w:t>
      </w:r>
      <w:r>
        <w:rPr>
          <w:rFonts w:ascii="Times New Roman" w:hAnsi="Times New Roman" w:eastAsia="Times New Roman" w:cs="Times New Roman"/>
        </w:rPr>
        <w:t xml:space="preserve"> </w:t>
      </w:r>
      <w:r>
        <w:rPr>
          <w:rFonts w:ascii="Malgun Gothic" w:hAnsi="Malgun Gothic" w:eastAsia="Malgun Gothic" w:cs="Malgun Gothic"/>
        </w:rPr>
        <w:t>어린양이</w:t>
      </w:r>
      <w:r>
        <w:rPr>
          <w:rFonts w:ascii="Times New Roman" w:hAnsi="Times New Roman" w:eastAsia="Times New Roman" w:cs="Times New Roman"/>
        </w:rPr>
        <w:t xml:space="preserve"> </w:t>
      </w:r>
      <w:r>
        <w:rPr>
          <w:rFonts w:ascii="Malgun Gothic" w:hAnsi="Malgun Gothic" w:eastAsia="Malgun Gothic" w:cs="Malgun Gothic"/>
        </w:rPr>
        <w:t>어디로</w:t>
      </w:r>
      <w:r>
        <w:rPr>
          <w:rFonts w:ascii="Times New Roman" w:hAnsi="Times New Roman" w:eastAsia="Times New Roman" w:cs="Times New Roman"/>
        </w:rPr>
        <w:t xml:space="preserve"> </w:t>
      </w:r>
      <w:r>
        <w:rPr>
          <w:rFonts w:ascii="Malgun Gothic" w:hAnsi="Malgun Gothic" w:eastAsia="Malgun Gothic" w:cs="Malgun Gothic"/>
        </w:rPr>
        <w:t>인도하시든지</w:t>
      </w:r>
      <w:r>
        <w:rPr>
          <w:rFonts w:ascii="Times New Roman" w:hAnsi="Times New Roman" w:eastAsia="Times New Roman" w:cs="Times New Roman"/>
        </w:rPr>
        <w:t xml:space="preserve"> </w:t>
      </w:r>
      <w:r>
        <w:rPr>
          <w:rFonts w:ascii="Malgun Gothic" w:hAnsi="Malgun Gothic" w:eastAsia="Malgun Gothic" w:cs="Malgun Gothic"/>
        </w:rPr>
        <w:t>따라가는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사천과</w:t>
      </w:r>
      <w:r>
        <w:rPr>
          <w:rFonts w:ascii="Times New Roman" w:hAnsi="Times New Roman" w:eastAsia="Times New Roman" w:cs="Times New Roman"/>
        </w:rPr>
        <w:t xml:space="preserve"> </w:t>
      </w:r>
      <w:r>
        <w:rPr>
          <w:rFonts w:ascii="Malgun Gothic" w:hAnsi="Malgun Gothic" w:eastAsia="Malgun Gothic" w:cs="Malgun Gothic"/>
        </w:rPr>
        <w:t>대조된다</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성도들의</w:t>
      </w:r>
      <w:r>
        <w:rPr>
          <w:rFonts w:ascii="Times New Roman" w:hAnsi="Times New Roman" w:eastAsia="Times New Roman" w:cs="Times New Roman"/>
        </w:rPr>
        <w:t xml:space="preserve"> </w:t>
      </w:r>
      <w:r>
        <w:rPr>
          <w:rFonts w:ascii="Malgun Gothic" w:hAnsi="Malgun Gothic" w:eastAsia="Malgun Gothic" w:cs="Malgun Gothic"/>
        </w:rPr>
        <w:t>인내를</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자들이지만</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이스라엘은</w:t>
      </w:r>
      <w:r>
        <w:rPr>
          <w:rFonts w:ascii="Times New Roman" w:hAnsi="Times New Roman" w:eastAsia="Times New Roman" w:cs="Times New Roman"/>
        </w:rPr>
        <w:t xml:space="preserve"> 10</w:t>
      </w:r>
      <w:r>
        <w:rPr>
          <w:rFonts w:ascii="Malgun Gothic" w:hAnsi="Malgun Gothic" w:eastAsia="Malgun Gothic" w:cs="Malgun Gothic"/>
        </w:rPr>
        <w:t>장에서</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불같은</w:t>
      </w:r>
      <w:r>
        <w:rPr>
          <w:rFonts w:ascii="Times New Roman" w:hAnsi="Times New Roman" w:eastAsia="Times New Roman" w:cs="Times New Roman"/>
        </w:rPr>
        <w:t xml:space="preserve"> </w:t>
      </w:r>
      <w:r>
        <w:rPr>
          <w:rFonts w:ascii="Malgun Gothic" w:hAnsi="Malgun Gothic" w:eastAsia="Malgun Gothic" w:cs="Malgun Gothic"/>
        </w:rPr>
        <w:t>시련으로</w:t>
      </w:r>
      <w:r>
        <w:rPr>
          <w:rFonts w:ascii="Times New Roman" w:hAnsi="Times New Roman" w:eastAsia="Times New Roman" w:cs="Times New Roman"/>
        </w:rPr>
        <w:t xml:space="preserve"> </w:t>
      </w:r>
      <w:r>
        <w:rPr>
          <w:rFonts w:ascii="Malgun Gothic" w:hAnsi="Malgun Gothic" w:eastAsia="Malgun Gothic" w:cs="Malgun Gothic"/>
        </w:rPr>
        <w:t>이끄는</w:t>
      </w:r>
      <w:r>
        <w:rPr>
          <w:rFonts w:ascii="Times New Roman" w:hAnsi="Times New Roman" w:eastAsia="Times New Roman" w:cs="Times New Roman"/>
        </w:rPr>
        <w:t xml:space="preserve"> </w:t>
      </w:r>
      <w:r>
        <w:rPr>
          <w:rFonts w:ascii="Malgun Gothic" w:hAnsi="Malgun Gothic" w:eastAsia="Malgun Gothic" w:cs="Malgun Gothic"/>
        </w:rPr>
        <w:t>조급함을</w:t>
      </w:r>
      <w:r>
        <w:rPr>
          <w:rFonts w:ascii="Times New Roman" w:hAnsi="Times New Roman" w:eastAsia="Times New Roman" w:cs="Times New Roman"/>
        </w:rPr>
        <w:t xml:space="preserve"> </w:t>
      </w:r>
      <w:r>
        <w:rPr>
          <w:rFonts w:ascii="Malgun Gothic" w:hAnsi="Malgun Gothic" w:eastAsia="Malgun Gothic" w:cs="Malgun Gothic"/>
        </w:rPr>
        <w:t>드러내고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nuyiche' ich'ii che yuku Yaa NDIOS uni kava uu kii ñuu; te arca nuu ña'a trato Yaa NDIOS kua'an nuu ndee de ichi uni kii, ña na'nuu de nuu kanu'u ña ndee de. Te viko Yaa NDIOS iyo siki de ñuu, kii, taan kaa de nda'a campamento. Te chi yoo arca kaa kua'an, te Moisés ká'an de: Ndakoo, Yaa NDIOS, te na xitakaa ña'a ña contra de; te na xini yoo ña saxiko de nuu de. Te chi yoo arca ndukuiin, te de ká'an: Nduviko, Yaa NDIOS, nuu kua'a mil Israel. Números 10:33–36.</w:t>
      </w:r>
    </w:p>
    <w:p>
      <w:pPr>
        <w:pStyle w:val="ArticleBody"/>
        <w:jc w:val="left"/>
      </w:pPr>
      <w:r>
        <w:rPr>
          <w:rFonts w:ascii="Times New Roman" w:hAnsi="Times New Roman" w:eastAsia="Times New Roman" w:cs="Times New Roman"/>
        </w:rPr>
        <w:t>A na-egosi nnupụisi nke Taberah n’amaokwu sochirinụ.</w:t>
      </w:r>
    </w:p>
    <w:p>
      <w:pPr>
        <w:pStyle w:val="ArticleScripture"/>
        <w:jc w:val="left"/>
      </w:pPr>
      <w:r>
        <w:rPr>
          <w:rFonts w:ascii="Times New Roman" w:hAnsi="Times New Roman" w:eastAsia="Times New Roman" w:cs="Times New Roman"/>
        </w:rPr>
        <w:t>Na mgbe ndị mmadụ mere mkpesa, ọ wutere Onyenwe anyị; Onyenwe anyị wee nụ ya; iwe ya wee mụ ọkụ; ọkụ nke Onyenwe anyị wee gbaa n’etiti ha, ma kpochapụ ndị nọ n’akụkụ ndị kasị dị anya nke ogige ahụ. Ndị mmadụ wee kpọkuo Mozis; mgbe Mozis kpeere Onyenwe anyị ekpere, ọkụ ahụ wee nyụọ. O wee kpọọ aha ebe ahụ Tabeera: n’ihi na ọkụ nke Onyenwe anyị gbara n’etiti ha. Ọnụ Ọgụgụ 11:1–3.</w:t>
      </w:r>
    </w:p>
    <w:p>
      <w:pPr>
        <w:pStyle w:val="ArticleBody"/>
        <w:jc w:val="left"/>
      </w:pPr>
      <w:r>
        <w:rPr>
          <w:rFonts w:ascii="Times New Roman" w:hAnsi="Times New Roman" w:eastAsia="Times New Roman" w:cs="Times New Roman"/>
        </w:rPr>
        <w:t>Ɔhaw a ɛdii ogya no adi akyi bae no, na ɛyɛ anigyina a wɔyɛ maa honam aduan, na eyi ne sɔhwɛ a ɛto so awotwe no. Wohu eyi wɔ Numeri 11:4–34. Anwiinwii a ɛwɔ Tabera no gyina hɔ ma su a ɛkorɔe wɔ ɔdasani no nipasu a ɛkorɔn mu, boasetɔ a enni hɔ, na atuatew a akɔnnɔ de ma Misraim honam nkuku no gyina hɔ ma nipasu a ɛwɔ fam no. Ogya no gyina hɔ ma Ogya so ahotew a Apam no Bɔfo yɛ wɔ Malaki ti 3 mu, efisɛ nkɔmhyɛ mu no, Tabera kyerɛ baabi a ɛrehyew, na baabi a ɛrehyew wɔ Onyankopɔn nkɔmhyɛ Asɛm mu no wɔ Malaki 3, faako a ogya no ma kuo a wontumi ntwɛn a wɔahyɛ da ama wɔatew wɔn ho no ba, ne kuo a wɔwɔ boasetɔ a wɔho atew sɛ afɔrebɔde a wɔama so no nso.</w:t>
      </w:r>
    </w:p>
    <w:p>
      <w:pPr>
        <w:pStyle w:val="ArticleBody"/>
        <w:jc w:val="left"/>
      </w:pPr>
      <w:r>
        <w:rPr>
          <w:rFonts w:ascii="Nirmala UI" w:hAnsi="Nirmala UI" w:eastAsia="Nirmala UI" w:cs="Nirmala UI"/>
        </w:rPr>
        <w:t>ಆಲೋಚನೆಯುಳ್ಳ</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ಆತ್ಮಿಕವಾಗಿ</w:t>
      </w:r>
      <w:r>
        <w:rPr>
          <w:rFonts w:ascii="Times New Roman" w:hAnsi="Times New Roman" w:eastAsia="Times New Roman" w:cs="Times New Roman"/>
        </w:rPr>
        <w:t xml:space="preserve"> </w:t>
      </w:r>
      <w:r>
        <w:rPr>
          <w:rFonts w:ascii="Nirmala UI" w:hAnsi="Nirmala UI" w:eastAsia="Nirmala UI" w:cs="Nirmala UI"/>
        </w:rPr>
        <w:t>ಸತ್ಯದಲ್ಲಿ</w:t>
      </w:r>
      <w:r>
        <w:rPr>
          <w:rFonts w:ascii="Times New Roman" w:hAnsi="Times New Roman" w:eastAsia="Times New Roman" w:cs="Times New Roman"/>
        </w:rPr>
        <w:t xml:space="preserve"> </w:t>
      </w:r>
      <w:r>
        <w:rPr>
          <w:rFonts w:ascii="Nirmala UI" w:hAnsi="Nirmala UI" w:eastAsia="Nirmala UI" w:cs="Nirmala UI"/>
        </w:rPr>
        <w:t>ಸ್ಥಿರಗೊಂಡಿರುವ</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ಸಾವಿರರನ್ನು</w:t>
      </w:r>
      <w:r>
        <w:rPr>
          <w:rFonts w:ascii="Times New Roman" w:hAnsi="Times New Roman" w:eastAsia="Times New Roman" w:cs="Times New Roman"/>
        </w:rPr>
        <w:t xml:space="preserve"> </w:t>
      </w:r>
      <w:r>
        <w:rPr>
          <w:rFonts w:ascii="Nirmala UI" w:hAnsi="Nirmala UI" w:eastAsia="Nirmala UI" w:cs="Nirmala UI"/>
        </w:rPr>
        <w:t>ತಬೆರಾಹದ</w:t>
      </w:r>
      <w:r>
        <w:rPr>
          <w:rFonts w:ascii="Times New Roman" w:hAnsi="Times New Roman" w:eastAsia="Times New Roman" w:cs="Times New Roman"/>
        </w:rPr>
        <w:t xml:space="preserve"> </w:t>
      </w:r>
      <w:r>
        <w:rPr>
          <w:rFonts w:ascii="Nirmala UI" w:hAnsi="Nirmala UI" w:eastAsia="Nirmala UI" w:cs="Nirmala UI"/>
        </w:rPr>
        <w:t>ಉನ್ನತ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ಅಧಮ</w:t>
      </w:r>
      <w:r>
        <w:rPr>
          <w:rFonts w:ascii="Times New Roman" w:hAnsi="Times New Roman" w:eastAsia="Times New Roman" w:cs="Times New Roman"/>
        </w:rPr>
        <w:t xml:space="preserve"> </w:t>
      </w:r>
      <w:r>
        <w:rPr>
          <w:rFonts w:ascii="Nirmala UI" w:hAnsi="Nirmala UI" w:eastAsia="Nirmala UI" w:cs="Nirmala UI"/>
        </w:rPr>
        <w:t>ಸ್ವಭಾವದ</w:t>
      </w:r>
      <w:r>
        <w:rPr>
          <w:rFonts w:ascii="Times New Roman" w:hAnsi="Times New Roman" w:eastAsia="Times New Roman" w:cs="Times New Roman"/>
        </w:rPr>
        <w:t xml:space="preserve"> </w:t>
      </w:r>
      <w:r>
        <w:rPr>
          <w:rFonts w:ascii="Nirmala UI" w:hAnsi="Nirmala UI" w:eastAsia="Nirmala UI" w:cs="Nirmala UI"/>
        </w:rPr>
        <w:t>ದ್ವಿಗುಣ</w:t>
      </w:r>
      <w:r>
        <w:rPr>
          <w:rFonts w:ascii="Times New Roman" w:hAnsi="Times New Roman" w:eastAsia="Times New Roman" w:cs="Times New Roman"/>
        </w:rPr>
        <w:t xml:space="preserve"> </w:t>
      </w:r>
      <w:r>
        <w:rPr>
          <w:rFonts w:ascii="Nirmala UI" w:hAnsi="Nirmala UI" w:eastAsia="Nirmala UI" w:cs="Nirmala UI"/>
        </w:rPr>
        <w:t>ಪರೀಕ್ಷೆಯಲ್ಲಿ</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ಪ್ರತಿನಿಧಿಸಲಾಗಿದೆ</w:t>
      </w:r>
      <w:r>
        <w:rPr>
          <w:rFonts w:ascii="Times New Roman" w:hAnsi="Times New Roman" w:eastAsia="Times New Roman" w:cs="Times New Roman"/>
        </w:rPr>
        <w:t xml:space="preserve">. </w:t>
      </w:r>
      <w:r>
        <w:rPr>
          <w:rFonts w:ascii="Nirmala UI" w:hAnsi="Nirmala UI" w:eastAsia="Nirmala UI" w:cs="Nirmala UI"/>
        </w:rPr>
        <w:t>ಬುದ್ಧಿ</w:t>
      </w:r>
      <w:r>
        <w:rPr>
          <w:rFonts w:ascii="Times New Roman" w:hAnsi="Times New Roman" w:eastAsia="Times New Roman" w:cs="Times New Roman"/>
        </w:rPr>
        <w:t xml:space="preserve"> </w:t>
      </w:r>
      <w:r>
        <w:rPr>
          <w:rFonts w:ascii="Nirmala UI" w:hAnsi="Nirmala UI" w:eastAsia="Nirmala UI" w:cs="Nirmala UI"/>
        </w:rPr>
        <w:t>ಉನ್ನತ</w:t>
      </w:r>
      <w:r>
        <w:rPr>
          <w:rFonts w:ascii="Times New Roman" w:hAnsi="Times New Roman" w:eastAsia="Times New Roman" w:cs="Times New Roman"/>
        </w:rPr>
        <w:t xml:space="preserve"> </w:t>
      </w:r>
      <w:r>
        <w:rPr>
          <w:rFonts w:ascii="Nirmala UI" w:hAnsi="Nirmala UI" w:eastAsia="Nirmala UI" w:cs="Nirmala UI"/>
        </w:rPr>
        <w:t>ಸ್ವಭಾವವನ್ನು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ಆತ್ಮಿಕವಾಗಿ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ಮಾನವತ್ವದೊಂದಿಗೆ</w:t>
      </w:r>
      <w:r>
        <w:rPr>
          <w:rFonts w:ascii="Times New Roman" w:hAnsi="Times New Roman" w:eastAsia="Times New Roman" w:cs="Times New Roman"/>
        </w:rPr>
        <w:t xml:space="preserve"> </w:t>
      </w:r>
      <w:r>
        <w:rPr>
          <w:rFonts w:ascii="Nirmala UI" w:hAnsi="Nirmala UI" w:eastAsia="Nirmala UI" w:cs="Nirmala UI"/>
        </w:rPr>
        <w:t>ದೈವತ್ವದ</w:t>
      </w:r>
      <w:r>
        <w:rPr>
          <w:rFonts w:ascii="Times New Roman" w:hAnsi="Times New Roman" w:eastAsia="Times New Roman" w:cs="Times New Roman"/>
        </w:rPr>
        <w:t xml:space="preserve"> </w:t>
      </w:r>
      <w:r>
        <w:rPr>
          <w:rFonts w:ascii="Nirmala UI" w:hAnsi="Nirmala UI" w:eastAsia="Nirmala UI" w:cs="Nirmala UI"/>
        </w:rPr>
        <w:t>ಸಂಯೋಗವನ್ನು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ಅಧಮ</w:t>
      </w:r>
      <w:r>
        <w:rPr>
          <w:rFonts w:ascii="Times New Roman" w:hAnsi="Times New Roman" w:eastAsia="Times New Roman" w:cs="Times New Roman"/>
        </w:rPr>
        <w:t xml:space="preserve"> </w:t>
      </w:r>
      <w:r>
        <w:rPr>
          <w:rFonts w:ascii="Nirmala UI" w:hAnsi="Nirmala UI" w:eastAsia="Nirmala UI" w:cs="Nirmala UI"/>
        </w:rPr>
        <w:t>ಸ್ವಭಾವವು</w:t>
      </w:r>
      <w:r>
        <w:rPr>
          <w:rFonts w:ascii="Times New Roman" w:hAnsi="Times New Roman" w:eastAsia="Times New Roman" w:cs="Times New Roman"/>
        </w:rPr>
        <w:t xml:space="preserve"> </w:t>
      </w:r>
      <w:r>
        <w:rPr>
          <w:rFonts w:ascii="Nirmala UI" w:hAnsi="Nirmala UI" w:eastAsia="Nirmala UI" w:cs="Nirmala UI"/>
        </w:rPr>
        <w:t>ಶಿಲುಬೆಗೆ</w:t>
      </w:r>
      <w:r>
        <w:rPr>
          <w:rFonts w:ascii="Times New Roman" w:hAnsi="Times New Roman" w:eastAsia="Times New Roman" w:cs="Times New Roman"/>
        </w:rPr>
        <w:t xml:space="preserve"> </w:t>
      </w:r>
      <w:r>
        <w:rPr>
          <w:rFonts w:ascii="Nirmala UI" w:hAnsi="Nirmala UI" w:eastAsia="Nirmala UI" w:cs="Nirmala UI"/>
        </w:rPr>
        <w:t>ಹಾಕಲ್ಪಟ್ಟು</w:t>
      </w:r>
      <w:r>
        <w:rPr>
          <w:rFonts w:ascii="Times New Roman" w:hAnsi="Times New Roman" w:eastAsia="Times New Roman" w:cs="Times New Roman"/>
        </w:rPr>
        <w:t xml:space="preserve"> </w:t>
      </w:r>
      <w:r>
        <w:rPr>
          <w:rFonts w:ascii="Nirmala UI" w:hAnsi="Nirmala UI" w:eastAsia="Nirmala UI" w:cs="Nirmala UI"/>
        </w:rPr>
        <w:t>ಸತ್ತುಹೋದಾಗ</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 xml:space="preserve"> </w:t>
      </w:r>
      <w:r>
        <w:rPr>
          <w:rFonts w:ascii="Nirmala UI" w:hAnsi="Nirmala UI" w:eastAsia="Nirmala UI" w:cs="Nirmala UI"/>
        </w:rPr>
        <w:t>ದೈವತ್ವವು</w:t>
      </w:r>
      <w:r>
        <w:rPr>
          <w:rFonts w:ascii="Times New Roman" w:hAnsi="Times New Roman" w:eastAsia="Times New Roman" w:cs="Times New Roman"/>
        </w:rPr>
        <w:t xml:space="preserve"> </w:t>
      </w:r>
      <w:r>
        <w:rPr>
          <w:rFonts w:ascii="Nirmala UI" w:hAnsi="Nirmala UI" w:eastAsia="Nirmala UI" w:cs="Nirmala UI"/>
        </w:rPr>
        <w:t>ಮಾನವತ್ವದೊಂದಿಗೆ</w:t>
      </w:r>
      <w:r>
        <w:rPr>
          <w:rFonts w:ascii="Times New Roman" w:hAnsi="Times New Roman" w:eastAsia="Times New Roman" w:cs="Times New Roman"/>
        </w:rPr>
        <w:t xml:space="preserve"> </w:t>
      </w:r>
      <w:r>
        <w:rPr>
          <w:rFonts w:ascii="Nirmala UI" w:hAnsi="Nirmala UI" w:eastAsia="Nirmala UI" w:cs="Nirmala UI"/>
        </w:rPr>
        <w:t>ಸಂಯೋಜಿಸಬಹುದು</w:t>
      </w:r>
      <w:r>
        <w:rPr>
          <w:rFonts w:ascii="Times New Roman" w:hAnsi="Times New Roman" w:eastAsia="Times New Roman" w:cs="Times New Roman"/>
        </w:rPr>
        <w:t xml:space="preserve">. </w:t>
      </w:r>
      <w:r>
        <w:rPr>
          <w:rFonts w:ascii="Nirmala UI" w:hAnsi="Nirmala UI" w:eastAsia="Nirmala UI" w:cs="Nirmala UI"/>
        </w:rPr>
        <w:t>ಬೌದ್ಧಿಕವಾಗಿಯೂ</w:t>
      </w:r>
      <w:r>
        <w:rPr>
          <w:rFonts w:ascii="Times New Roman" w:hAnsi="Times New Roman" w:eastAsia="Times New Roman" w:cs="Times New Roman"/>
        </w:rPr>
        <w:t xml:space="preserve"> </w:t>
      </w:r>
      <w:r>
        <w:rPr>
          <w:rFonts w:ascii="Nirmala UI" w:hAnsi="Nirmala UI" w:eastAsia="Nirmala UI" w:cs="Nirmala UI"/>
        </w:rPr>
        <w:t>ಆತ್ಮಿಕವಾಗಿಯೂ</w:t>
      </w:r>
      <w:r>
        <w:rPr>
          <w:rFonts w:ascii="Times New Roman" w:hAnsi="Times New Roman" w:eastAsia="Times New Roman" w:cs="Times New Roman"/>
        </w:rPr>
        <w:t xml:space="preserve"> </w:t>
      </w:r>
      <w:r>
        <w:rPr>
          <w:rFonts w:ascii="Nirmala UI" w:hAnsi="Nirmala UI" w:eastAsia="Nirmala UI" w:cs="Nirmala UI"/>
        </w:rPr>
        <w:t>ಸತ್ಯದಲ್ಲಿ</w:t>
      </w:r>
      <w:r>
        <w:rPr>
          <w:rFonts w:ascii="Times New Roman" w:hAnsi="Times New Roman" w:eastAsia="Times New Roman" w:cs="Times New Roman"/>
        </w:rPr>
        <w:t xml:space="preserve"> </w:t>
      </w:r>
      <w:r>
        <w:rPr>
          <w:rFonts w:ascii="Nirmala UI" w:hAnsi="Nirmala UI" w:eastAsia="Nirmala UI" w:cs="Nirmala UI"/>
        </w:rPr>
        <w:t>ಸ್ಥಿರಗೊಳ್ಳುವುದು</w:t>
      </w:r>
      <w:r>
        <w:rPr>
          <w:rFonts w:ascii="Times New Roman" w:hAnsi="Times New Roman" w:eastAsia="Times New Roman" w:cs="Times New Roman"/>
        </w:rPr>
        <w:t xml:space="preserve"> </w:t>
      </w:r>
      <w:r>
        <w:rPr>
          <w:rFonts w:ascii="Nirmala UI" w:hAnsi="Nirmala UI" w:eastAsia="Nirmala UI" w:cs="Nirmala UI"/>
        </w:rPr>
        <w:t>ಮುದ್ರಿಸಲ್ಪಡುವ</w:t>
      </w:r>
      <w:r>
        <w:rPr>
          <w:rFonts w:ascii="Times New Roman" w:hAnsi="Times New Roman" w:eastAsia="Times New Roman" w:cs="Times New Roman"/>
        </w:rPr>
        <w:t xml:space="preserve"> </w:t>
      </w:r>
      <w:r>
        <w:rPr>
          <w:rFonts w:ascii="Nirmala UI" w:hAnsi="Nirmala UI" w:eastAsia="Nirmala UI" w:cs="Nirmala UI"/>
        </w:rPr>
        <w:t>ಅನುಭವವನ್ನು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ತಬೆರಾಹದ</w:t>
      </w:r>
      <w:r>
        <w:rPr>
          <w:rFonts w:ascii="Times New Roman" w:hAnsi="Times New Roman" w:eastAsia="Times New Roman" w:cs="Times New Roman"/>
        </w:rPr>
        <w:t xml:space="preserve"> </w:t>
      </w:r>
      <w:r>
        <w:rPr>
          <w:rFonts w:ascii="Nirmala UI" w:hAnsi="Nirmala UI" w:eastAsia="Nirmala UI" w:cs="Nirmala UI"/>
        </w:rPr>
        <w:t>ಅಗ್ನಿಗಳು</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w:t>
      </w:r>
      <w:r>
        <w:rPr>
          <w:rFonts w:ascii="Times New Roman" w:hAnsi="Times New Roman" w:eastAsia="Times New Roman" w:cs="Times New Roman"/>
        </w:rPr>
        <w:t xml:space="preserve"> </w:t>
      </w:r>
      <w:r>
        <w:rPr>
          <w:rFonts w:ascii="Nirmala UI" w:hAnsi="Nirmala UI" w:eastAsia="Nirmala UI" w:cs="Nirmala UI"/>
        </w:rPr>
        <w:t>ದೇವಾಲಯವನ್ನು</w:t>
      </w:r>
      <w:r>
        <w:rPr>
          <w:rFonts w:ascii="Times New Roman" w:hAnsi="Times New Roman" w:eastAsia="Times New Roman" w:cs="Times New Roman"/>
        </w:rPr>
        <w:t xml:space="preserve"> </w:t>
      </w:r>
      <w:r>
        <w:rPr>
          <w:rFonts w:ascii="Nirmala UI" w:hAnsi="Nirmala UI" w:eastAsia="Nirmala UI" w:cs="Nirmala UI"/>
        </w:rPr>
        <w:t>ಎಬ್ಬಿಸುವ</w:t>
      </w:r>
      <w:r>
        <w:rPr>
          <w:rFonts w:ascii="Times New Roman" w:hAnsi="Times New Roman" w:eastAsia="Times New Roman" w:cs="Times New Roman"/>
        </w:rPr>
        <w:t xml:space="preserve"> </w:t>
      </w:r>
      <w:r>
        <w:rPr>
          <w:rFonts w:ascii="Nirmala UI" w:hAnsi="Nirmala UI" w:eastAsia="Nirmala UI" w:cs="Nirmala UI"/>
        </w:rPr>
        <w:t>ಕಾರ್ಯದಲ್ಲಿ</w:t>
      </w:r>
      <w:r>
        <w:rPr>
          <w:rFonts w:ascii="Times New Roman" w:hAnsi="Times New Roman" w:eastAsia="Times New Roman" w:cs="Times New Roman"/>
        </w:rPr>
        <w:t xml:space="preserve">, </w:t>
      </w:r>
      <w:r>
        <w:rPr>
          <w:rFonts w:ascii="Nirmala UI" w:hAnsi="Nirmala UI" w:eastAsia="Nirmala UI" w:cs="Nirmala UI"/>
        </w:rPr>
        <w:t>ಗೋಧಿ</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ಕೊಳೆಗಳ</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ಪ್ರತ್ಯೇಕತೆಯನ್ನು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Tohinchis brugu ayet Miriam and Aaron ghina rebelión, si Numbers 12 menkayu. Na provocación tiha man náhalak kañi provocación da Korah, Dathan tan Abiram, o Minneapolis, idi 1888. Na isyu aliwa la i rejetción ning mensaje ning Dios, nung aliwa man i rejetción ning pinili nang pamagpangulo ning Dios.</w:t>
      </w:r>
    </w:p>
    <w:p>
      <w:pPr>
        <w:pStyle w:val="ArticleBody"/>
        <w:jc w:val="left"/>
      </w:pPr>
      <w:r>
        <w:rPr>
          <w:rFonts w:ascii="Nirmala UI" w:hAnsi="Nirmala UI" w:eastAsia="Nirmala UI" w:cs="Nirmala UI"/>
        </w:rPr>
        <w:t>ੴ</w:t>
      </w:r>
      <w:r>
        <w:rPr>
          <w:rFonts w:ascii="Times New Roman" w:hAnsi="Times New Roman" w:eastAsia="Times New Roman" w:cs="Times New Roman"/>
        </w:rPr>
        <w:t xml:space="preserve"> </w:t>
      </w:r>
      <w:r>
        <w:rPr>
          <w:rFonts w:ascii="Nirmala UI" w:hAnsi="Nirmala UI" w:eastAsia="Nirmala UI" w:cs="Nirmala UI"/>
        </w:rPr>
        <w:t>ਨੇਤਾਵਾਂ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ਨਿੰਦਿਆ</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ਸੰਦੇਸ਼ਵਾਹਕ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ਰੱਦ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ਦਸਵੇਂ</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ਨੇਤ੍ਰਿਤਵ</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ਦਸਵਾਂ</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ਸਮਕੱਖ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ਨੇਤ੍ਰਿਤਵ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ਬਰੱਬਾ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“bar”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“abba”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ਆਉਂਦਿਆਂ</w:t>
      </w:r>
      <w:r>
        <w:rPr>
          <w:rFonts w:ascii="Times New Roman" w:hAnsi="Times New Roman" w:eastAsia="Times New Roman" w:cs="Times New Roman"/>
        </w:rPr>
        <w:t xml:space="preserve">, </w:t>
      </w:r>
      <w:r>
        <w:rPr>
          <w:rFonts w:ascii="Nirmala UI" w:hAnsi="Nirmala UI" w:eastAsia="Nirmala UI" w:cs="Nirmala UI"/>
        </w:rPr>
        <w:t>ਨੇਤ੍ਰਿਤਵ</w:t>
      </w:r>
      <w:r>
        <w:rPr>
          <w:rFonts w:ascii="Times New Roman" w:hAnsi="Times New Roman" w:eastAsia="Times New Roman" w:cs="Times New Roman"/>
        </w:rPr>
        <w:t xml:space="preserve"> </w:t>
      </w:r>
      <w:r>
        <w:rPr>
          <w:rFonts w:ascii="Nirmala UI" w:hAnsi="Nirmala UI" w:eastAsia="Nirmala UI" w:cs="Nirmala UI"/>
        </w:rPr>
        <w:t>ਪੂਰਨ</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ਚੁਣਦਿਆਂ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ਨਾਗਰਿਕ</w:t>
      </w:r>
      <w:r>
        <w:rPr>
          <w:rFonts w:ascii="Times New Roman" w:hAnsi="Times New Roman" w:eastAsia="Times New Roman" w:cs="Times New Roman"/>
        </w:rPr>
        <w:t xml:space="preserve"> </w:t>
      </w:r>
      <w:r>
        <w:rPr>
          <w:rFonts w:ascii="Nirmala UI" w:hAnsi="Nirmala UI" w:eastAsia="Nirmala UI" w:cs="Nirmala UI"/>
        </w:rPr>
        <w:t>ਅਧਿਕਾਰੀਆਂ</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والأخبات السابع والثامن والتاسع تُحدِّد عملية الختم، غير أن التمثيل هو للعذارى الجاهلات. وكان الاختبار العاشر من تلك الاختبارات هو تمرد قادش الأول، وهو يرمز إلى سنة 1863. فمنذ 1846 أُتي بالعبرانيين إلى سيناء ليتسلّموا الشريعة. ولوحا الوصايا العشر هما رمز علاقة العهد بين الله وإسرائيل القديمة الحرفية، ولوحا حبقوق هما رمز علاقة العهد لإسرائيل الحديثة الروحية. وقد طُرح اللوح الثاني في سنة 1850، وكما أن إسرائيل القديمة تعهّدت بحفظ الشريعة، فقد جِيء بحلول سنة 1856 باختبار أخير، كما يمثّله تجسّس الجواسيس لأرض الموعد. وكان رأي الأكثرية الذي جرى التوصل إليه على مدى السنوات السبع من 1856 إلى 1863 هو أن برية اللاودكيين هي الموضع الذي رغبوا أن يموتوا فيه.</w:t>
      </w:r>
    </w:p>
    <w:p>
      <w:pPr>
        <w:pStyle w:val="ArticleBody"/>
        <w:jc w:val="left"/>
      </w:pPr>
      <w:r>
        <w:rPr>
          <w:rFonts w:ascii="Times New Roman" w:hAnsi="Times New Roman" w:eastAsia="Times New Roman" w:cs="Times New Roman"/>
        </w:rPr>
        <w:t>1844ئىن 1863كىچە بولغان مەزگىل، قىزىل دېڭىزدىكى چۆمۈلدۈرۈش بىلەن باشلانغان، يەنە ئىيوردان دەرياسىدىكى باشقا بىر چۆمۈلدۈرۈش بىلەن ئاخىرلاشقان مەزگىل ئارقىلىق تىپىك تەسۋىرلىنىدۇ؛ دەل شۇ ئوخشاش جايدا، كېيىنرەك يەھيا تەرىپىدىن چۆمۈلدۈرۈلگەندە، ئەيسا مەسىھكە ئايلانغان ئىدى. قىزىل دېڭىزدىكى چۆمۈلدۈرۈش قەدىمكى ئىسرائىل بىلەن بولغان ئەھدە مۇناسىۋىتىنى نامايان قىلدى. بۇ مۇناسىۋەت بىر نىكاھ بىلەن باشلانغان بولۇپ، شۇنىڭ بىلەن بىر ۋاقىتتا ئون باسقۇچلۇق سىناق جەريانىنىمۇ باشلىغان ئىدى. ئاندىن ئۇلار سىنايغا ئېلىپ كېلىندى ۋە ئۇنىڭ قانۇنىنى ساقلاشقا ۋەدە بەردى، بىراق ساقلىمىدى؛ ئاندىن قادەشتىكى بىرىنچى ئىسياندا ئونىنچى ۋە ئاخىرقى سىناقتىن مەغلۇپ بولدى. قىرق يىلدىن كېيىن، قادەشتىكى ئىككىنچى ۋە تېخىمۇ چوڭ ئىسياندىن كېيىن، ئۇلار ئىيوردان دەرياسىغا چۆمۈلدۈرۈلۈش ئارقىلىق ۋەدە قىلىنغان زېمىنغا كىردى.</w:t>
      </w:r>
    </w:p>
    <w:p>
      <w:pPr>
        <w:pStyle w:val="ArticleBody"/>
        <w:jc w:val="left"/>
      </w:pPr>
      <w:r>
        <w:rPr>
          <w:rFonts w:ascii="Times New Roman" w:hAnsi="Times New Roman" w:eastAsia="Times New Roman" w:cs="Times New Roman"/>
        </w:rPr>
        <w:t>Heta opaite baptaesem blanga kaeventan, oli joen gudgeta. Histri blong omega mo namba tu Kadesh, i stret wetem histri blong fastaem mo alpha Kadesh. Omega ribel blong Moses i bin bigwan moa tumas winim ribel blong wan ful nesen long alpha ribel blong Kadesh. Omega i oltaem bigwan moa. Tufala ribel ya tugeta i ripresentem ribel blong olketa we oli lanem mo olketa we oli no lanem blong Aesea, we oli sakem blong go insaed long spel blong mesij blong leta ren.</w:t>
      </w:r>
    </w:p>
    <w:p>
      <w:pPr>
        <w:pStyle w:val="ArticleBody"/>
        <w:jc w:val="left"/>
      </w:pPr>
      <w:r>
        <w:rPr>
          <w:rFonts w:ascii="Times New Roman" w:hAnsi="Times New Roman" w:eastAsia="Times New Roman" w:cs="Times New Roman"/>
        </w:rPr>
        <w:t>Սուրբ մկրտութիւններու երեքքը (Կարմիր ծովը, Յորդանան գետը եւ Յորդանան գետը), առաջինը՝ Մովսէսինը, իսկ վերջինը՝ Քրիստոսինը. այսպէս Մովսէսը ալֆան է, իսկ Քրիստոսը՝ օմեղան։ Եբրայական այբուբենի առաջին եւ քսաներկուերորդ տառերուն միջեւ գտնուող տառը՝ տասներեքերորդը, երբ կցուի եւ հետեւի առաջին տառին, որ ապա կցուած կ՚ըլլայ վերջին՝ քսաներկուերորդ տառին, կը կազմէ եբրայական «ճշմարտութիւն» բառը։ Միջին մկրտութիւնը Յորդանան գետն ու Կադէսն էր։ Կարմիր ծովու առաջին մկրտութեան յաջորդեց Յորդանանի մկրտութիւնը։ Բայց Յորդանանի առաջին մկրտութիւնը յետաձգուեցաւ քառասուն տարի, մինչեւ Կադէսի երկրորդ այցելութիւնն ու Յորդանանի փաստացի մկրտութիւնը։ Երրորդ մկրտութիւնը, որ կը ներկայացնէր հրեաներուն այցելութեան ժամանակը, արդէն հասած էր, երբ Քրիստոս սկսաւ Իր գործը՝ մէկ շաբթուան համար ուխտը հաստատելու, ի կատարումն Դանիէլ իննի եւ քսանեօթներորդ համարին, եւ ասիկա հին Իսրայէլի դատաստանի ժամն էր։</w:t>
      </w:r>
    </w:p>
    <w:p>
      <w:pPr>
        <w:pStyle w:val="ArticleBody"/>
        <w:jc w:val="left"/>
      </w:pPr>
      <w:r>
        <w:rPr>
          <w:rFonts w:ascii="Gadugi" w:hAnsi="Gadugi" w:eastAsia="Gadugi" w:cs="Gadugi"/>
        </w:rPr>
        <w:t>ᎠᏂᏬᏂᏍᎩ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ᎠᏬᏍᎩ</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ᎨᏥ</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ᎠᏃᎮᏓᏍᎬ</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ᏄᎾᎷᏨᎢ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ᎢᎬᏁᎸᎢ</w:t>
      </w:r>
      <w:r>
        <w:rPr>
          <w:rFonts w:ascii="Times New Roman" w:hAnsi="Times New Roman" w:eastAsia="Times New Roman" w:cs="Times New Roman"/>
        </w:rPr>
        <w:t xml:space="preserve">” </w:t>
      </w:r>
      <w:r>
        <w:rPr>
          <w:rFonts w:ascii="Gadugi" w:hAnsi="Gadugi" w:eastAsia="Gadugi" w:cs="Gadugi"/>
        </w:rPr>
        <w:t>ᏂᎦᎵᏍᏗᏍᎪᎢ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ᏄᎾᎷᏨᎢ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ᏦᏓᏂ</w:t>
      </w:r>
      <w:r>
        <w:rPr>
          <w:rFonts w:ascii="Times New Roman" w:hAnsi="Times New Roman" w:eastAsia="Times New Roman" w:cs="Times New Roman"/>
        </w:rPr>
        <w:t xml:space="preserve"> </w:t>
      </w:r>
      <w:r>
        <w:rPr>
          <w:rFonts w:ascii="Gadugi" w:hAnsi="Gadugi" w:eastAsia="Gadugi" w:cs="Gadugi"/>
        </w:rPr>
        <w:t>ᎤᏪᏴ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ᎠᏥᎪᎵᏰᎥ</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ᎤᏂᏃᎯᏳᏒ</w:t>
      </w:r>
      <w:r>
        <w:rPr>
          <w:rFonts w:ascii="Times New Roman" w:hAnsi="Times New Roman" w:eastAsia="Times New Roman" w:cs="Times New Roman"/>
        </w:rPr>
        <w:t xml:space="preserve"> </w:t>
      </w:r>
      <w:r>
        <w:rPr>
          <w:rFonts w:ascii="Gadugi" w:hAnsi="Gadugi" w:eastAsia="Gadugi" w:cs="Gadugi"/>
        </w:rPr>
        <w:t>ᎤᎾᎵᎪᏁᎸ</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ᎤᎵᏍᎪᎸᎢ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ᎠᏂᏣᎢ</w:t>
      </w:r>
      <w:r>
        <w:rPr>
          <w:rFonts w:ascii="Times New Roman" w:hAnsi="Times New Roman" w:eastAsia="Times New Roman" w:cs="Times New Roman"/>
        </w:rPr>
        <w:t xml:space="preserve"> </w:t>
      </w:r>
      <w:r>
        <w:rPr>
          <w:rFonts w:ascii="Gadugi" w:hAnsi="Gadugi" w:eastAsia="Gadugi" w:cs="Gadugi"/>
        </w:rPr>
        <w:t>ᎠᏂᎾᏝᎢ</w:t>
      </w:r>
      <w:r>
        <w:rPr>
          <w:rFonts w:ascii="Times New Roman" w:hAnsi="Times New Roman" w:eastAsia="Times New Roman" w:cs="Times New Roman"/>
        </w:rPr>
        <w:t xml:space="preserve"> </w:t>
      </w:r>
      <w:r>
        <w:rPr>
          <w:rFonts w:ascii="Gadugi" w:hAnsi="Gadugi" w:eastAsia="Gadugi" w:cs="Gadugi"/>
        </w:rPr>
        <w:t>ᎤᎾᎵᎪᏁᎸ</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ᏂᎬᏁᎸᎢ</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ᏄᎾᎷᏨᎢ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ᎨᏥ</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ᎠᏃᎮᏓᏍᎬ</w:t>
      </w:r>
      <w:r>
        <w:rPr>
          <w:rFonts w:ascii="Times New Roman" w:hAnsi="Times New Roman" w:eastAsia="Times New Roman" w:cs="Times New Roman"/>
        </w:rPr>
        <w:t xml:space="preserve"> </w:t>
      </w:r>
      <w:r>
        <w:rPr>
          <w:rFonts w:ascii="Gadugi" w:hAnsi="Gadugi" w:eastAsia="Gadugi" w:cs="Gadugi"/>
        </w:rPr>
        <w:t>ᎤᏪᎧᏅ</w:t>
      </w:r>
      <w:r>
        <w:rPr>
          <w:rFonts w:ascii="Times New Roman" w:hAnsi="Times New Roman" w:eastAsia="Times New Roman" w:cs="Times New Roman"/>
        </w:rPr>
        <w:t xml:space="preserve"> </w:t>
      </w:r>
      <w:r>
        <w:rPr>
          <w:rFonts w:ascii="Gadugi" w:hAnsi="Gadugi" w:eastAsia="Gadugi" w:cs="Gadugi"/>
        </w:rPr>
        <w:t>ᏂᎦᎵᏍᏗᏍᎪᎢ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ᎢᏯᏓᎴ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ᏂᎬᏁᎸᎢ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ᏔᎵᏅ</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ᎠᏂᏣᎢ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ᏂᎬᏁᎸᎢ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ᎠᏬᏍᎩ</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ᎨᏥ</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ᎠᏃᎮᏓᏍᎬ</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ᏣᏔ</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ᎤᎦᏔᎢ</w:t>
      </w:r>
      <w:r>
        <w:rPr>
          <w:rFonts w:ascii="Times New Roman" w:hAnsi="Times New Roman" w:eastAsia="Times New Roman" w:cs="Times New Roman"/>
        </w:rPr>
        <w:t xml:space="preserve"> </w:t>
      </w:r>
      <w:r>
        <w:rPr>
          <w:rFonts w:ascii="Gadugi" w:hAnsi="Gadugi" w:eastAsia="Gadugi" w:cs="Gadugi"/>
        </w:rPr>
        <w:t>ᎨᏥᏯᏙᎴᎰᎯᏍᏗ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ᏥᏄᏍᏛ</w:t>
      </w:r>
      <w:r>
        <w:rPr>
          <w:rFonts w:ascii="Times New Roman" w:hAnsi="Times New Roman" w:eastAsia="Times New Roman" w:cs="Times New Roman"/>
        </w:rPr>
        <w:t xml:space="preserve"> </w:t>
      </w:r>
      <w:r>
        <w:rPr>
          <w:rFonts w:ascii="Gadugi" w:hAnsi="Gadugi" w:eastAsia="Gadugi" w:cs="Gadugi"/>
        </w:rPr>
        <w:t>ᏗᏥᎵ</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ᎠᏁᏙᎲ</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ᎤᏓᎵᎢ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ᎤᏓᏰᎯᏍᏔᏅ</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ᏗᏥᎵ</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ᏧᏭᎪᏓᏁᎸ</w:t>
      </w:r>
      <w:r>
        <w:rPr>
          <w:rFonts w:ascii="Times New Roman" w:hAnsi="Times New Roman" w:eastAsia="Times New Roman" w:cs="Times New Roman"/>
        </w:rPr>
        <w:t xml:space="preserve"> </w:t>
      </w:r>
      <w:r>
        <w:rPr>
          <w:rFonts w:ascii="Gadugi" w:hAnsi="Gadugi" w:eastAsia="Gadugi" w:cs="Gadugi"/>
        </w:rPr>
        <w:t>ᏒᎢ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1844 نان 1863 تک وارو عرصو بحرِ احمر کھاں قادس م پہلی بغاوت تک جو عرصو آہی۔ 1844 بحرِ احمر جو پار اُڪرڻ آہی، 1846 مَنّ آہی، جو سبت جي آزمائش جو نشان آہی، جيڪا وائٽن 1846 م پاس ڪئِي، جڏھن اُهي شادي شده ٿيا۔ 1849 ۾ خداوند ٻيهر پنھنجو ھٿ ڊگھو ڪيو تہ پنھنجن ماڻھن کي گڏ ڪري۔ ھن کين پھرين فرشتي جي پيغام دوران گڏ ڪيو ھو، جڏھن حبقوق جي تختين مان پھرين تختي تاريخ ۾ آئي، ۽ ٻي تختي بہ ساڳئي مقصد لاءِ مقرر ڪئي ويئي ھئي۔</w:t>
      </w:r>
    </w:p>
    <w:p>
      <w:pPr>
        <w:pStyle w:val="ArticleBody"/>
        <w:jc w:val="left"/>
      </w:pPr>
      <w:r>
        <w:rPr>
          <w:rFonts w:ascii="Times New Roman" w:hAnsi="Times New Roman" w:eastAsia="Times New Roman" w:cs="Times New Roman"/>
        </w:rPr>
        <w:t>جدول 1850 الأوميغا كان مُعدًّا للجمع والامتحان، لأن هذا هو ما فعله جدول 1843 الألفا. كان للملاك الأول جدول، وكان للملاك الثالث أيضًا جدول، لأن الأول هو الألفا والثالث هو الأوميغا. و«الجدولان» هما معلمان للملاك الأول والملاك الثالث، لا للملاك الثاني. تبدأ الفترة النبوية لـ«الجدولين» بجدول فيه خطأ، وتنتهي بجدول لا خطأ فيه. أمّا التاريخ الواقع بين الجدولين فهو تاريخ الملاك الثاني، حيث يُوضَع الرسم جانبًا حتى سنة 1850.</w:t>
      </w:r>
    </w:p>
    <w:p>
      <w:pPr>
        <w:pStyle w:val="ArticleBody"/>
        <w:jc w:val="left"/>
      </w:pPr>
      <w:r>
        <w:rPr>
          <w:rFonts w:ascii="Times New Roman" w:hAnsi="Times New Roman" w:eastAsia="Times New Roman" w:cs="Times New Roman"/>
        </w:rPr>
        <w:t>1843</w:t>
      </w:r>
      <w:r>
        <w:rPr>
          <w:rFonts w:ascii="Malgun Gothic" w:hAnsi="Malgun Gothic" w:eastAsia="Malgun Gothic" w:cs="Malgun Gothic"/>
        </w:rPr>
        <w:t>년이</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4</w:t>
      </w:r>
      <w:r>
        <w:rPr>
          <w:rFonts w:ascii="Malgun Gothic" w:hAnsi="Malgun Gothic" w:eastAsia="Malgun Gothic" w:cs="Malgun Gothic"/>
        </w:rPr>
        <w:t>월</w:t>
      </w:r>
      <w:r>
        <w:rPr>
          <w:rFonts w:ascii="Times New Roman" w:hAnsi="Times New Roman" w:eastAsia="Times New Roman" w:cs="Times New Roman"/>
        </w:rPr>
        <w:t xml:space="preserve"> 19</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1843 </w:t>
      </w:r>
      <w:r>
        <w:rPr>
          <w:rFonts w:ascii="Malgun Gothic" w:hAnsi="Malgun Gothic" w:eastAsia="Malgun Gothic" w:cs="Malgun Gothic"/>
        </w:rPr>
        <w:t>도표는</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1843</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잘못</w:t>
      </w:r>
      <w:r>
        <w:rPr>
          <w:rFonts w:ascii="Times New Roman" w:hAnsi="Times New Roman" w:eastAsia="Times New Roman" w:cs="Times New Roman"/>
        </w:rPr>
        <w:t xml:space="preserve"> </w:t>
      </w:r>
      <w:r>
        <w:rPr>
          <w:rFonts w:ascii="Malgun Gothic" w:hAnsi="Malgun Gothic" w:eastAsia="Malgun Gothic" w:cs="Malgun Gothic"/>
        </w:rPr>
        <w:t>예언하였으므로</w:t>
      </w:r>
      <w:r>
        <w:rPr>
          <w:rFonts w:ascii="Times New Roman" w:hAnsi="Times New Roman" w:eastAsia="Times New Roman" w:cs="Times New Roman"/>
        </w:rPr>
        <w:t xml:space="preserve"> </w:t>
      </w:r>
      <w:r>
        <w:rPr>
          <w:rFonts w:ascii="Malgun Gothic" w:hAnsi="Malgun Gothic" w:eastAsia="Malgun Gothic" w:cs="Malgun Gothic"/>
        </w:rPr>
        <w:t>제쳐졌다</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4</w:t>
      </w:r>
      <w:r>
        <w:rPr>
          <w:rFonts w:ascii="Malgun Gothic" w:hAnsi="Malgun Gothic" w:eastAsia="Malgun Gothic" w:cs="Malgun Gothic"/>
        </w:rPr>
        <w:t>월</w:t>
      </w:r>
      <w:r>
        <w:rPr>
          <w:rFonts w:ascii="Times New Roman" w:hAnsi="Times New Roman" w:eastAsia="Times New Roman" w:cs="Times New Roman"/>
        </w:rPr>
        <w:t xml:space="preserve"> 19</w:t>
      </w:r>
      <w:r>
        <w:rPr>
          <w:rFonts w:ascii="Malgun Gothic" w:hAnsi="Malgun Gothic" w:eastAsia="Malgun Gothic" w:cs="Malgun Gothic"/>
        </w:rPr>
        <w:t>일부터</w:t>
      </w:r>
      <w:r>
        <w:rPr>
          <w:rFonts w:ascii="Times New Roman" w:hAnsi="Times New Roman" w:eastAsia="Times New Roman" w:cs="Times New Roman"/>
        </w:rPr>
        <w:t xml:space="preserve"> 1850</w:t>
      </w:r>
      <w:r>
        <w:rPr>
          <w:rFonts w:ascii="Malgun Gothic" w:hAnsi="Malgun Gothic" w:eastAsia="Malgun Gothic" w:cs="Malgun Gothic"/>
        </w:rPr>
        <w:t>년까지는</w:t>
      </w:r>
      <w:r>
        <w:rPr>
          <w:rFonts w:ascii="Times New Roman" w:hAnsi="Times New Roman" w:eastAsia="Times New Roman" w:cs="Times New Roman"/>
        </w:rPr>
        <w:t xml:space="preserve"> </w:t>
      </w:r>
      <w:r>
        <w:rPr>
          <w:rFonts w:ascii="Malgun Gothic" w:hAnsi="Malgun Gothic" w:eastAsia="Malgun Gothic" w:cs="Malgun Gothic"/>
        </w:rPr>
        <w:t>하박국의</w:t>
      </w:r>
      <w:r>
        <w:rPr>
          <w:rFonts w:ascii="Times New Roman" w:hAnsi="Times New Roman" w:eastAsia="Times New Roman" w:cs="Times New Roman"/>
        </w:rPr>
        <w:t xml:space="preserve"> </w:t>
      </w:r>
      <w:r>
        <w:rPr>
          <w:rFonts w:ascii="Malgun Gothic" w:hAnsi="Malgun Gothic" w:eastAsia="Malgun Gothic" w:cs="Malgun Gothic"/>
        </w:rPr>
        <w:t>표가</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도표는</w:t>
      </w:r>
      <w:r>
        <w:rPr>
          <w:rFonts w:ascii="Times New Roman" w:hAnsi="Times New Roman" w:eastAsia="Times New Roman" w:cs="Times New Roman"/>
        </w:rPr>
        <w:t xml:space="preserve"> </w:t>
      </w:r>
      <w:r>
        <w:rPr>
          <w:rFonts w:ascii="Malgun Gothic" w:hAnsi="Malgun Gothic" w:eastAsia="Malgun Gothic" w:cs="Malgun Gothic"/>
        </w:rPr>
        <w:t>없었고</w:t>
      </w:r>
      <w:r>
        <w:rPr>
          <w:rFonts w:ascii="Times New Roman" w:hAnsi="Times New Roman" w:eastAsia="Times New Roman" w:cs="Times New Roman"/>
        </w:rPr>
        <w:t>—</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무너졌다</w:t>
      </w:r>
      <w:r>
        <w:rPr>
          <w:rFonts w:ascii="Times New Roman" w:hAnsi="Times New Roman" w:eastAsia="Times New Roman" w:cs="Times New Roman"/>
        </w:rPr>
        <w:t xml:space="preserve">. </w:t>
      </w:r>
      <w:r>
        <w:rPr>
          <w:rFonts w:ascii="Malgun Gothic" w:hAnsi="Malgun Gothic" w:eastAsia="Malgun Gothic" w:cs="Malgun Gothic"/>
        </w:rPr>
        <w:t>알파는</w:t>
      </w:r>
      <w:r>
        <w:rPr>
          <w:rFonts w:ascii="Times New Roman" w:hAnsi="Times New Roman" w:eastAsia="Times New Roman" w:cs="Times New Roman"/>
        </w:rPr>
        <w:t xml:space="preserve"> </w:t>
      </w:r>
      <w:r>
        <w:rPr>
          <w:rFonts w:ascii="Malgun Gothic" w:hAnsi="Malgun Gothic" w:eastAsia="Malgun Gothic" w:cs="Malgun Gothic"/>
        </w:rPr>
        <w:t>표요</w:t>
      </w:r>
      <w:r>
        <w:rPr>
          <w:rFonts w:ascii="Times New Roman" w:hAnsi="Times New Roman" w:eastAsia="Times New Roman" w:cs="Times New Roman"/>
        </w:rPr>
        <w:t xml:space="preserve"> </w:t>
      </w:r>
      <w:r>
        <w:rPr>
          <w:rFonts w:ascii="Malgun Gothic" w:hAnsi="Malgun Gothic" w:eastAsia="Malgun Gothic" w:cs="Malgun Gothic"/>
        </w:rPr>
        <w:t>오메가는</w:t>
      </w:r>
      <w:r>
        <w:rPr>
          <w:rFonts w:ascii="Times New Roman" w:hAnsi="Times New Roman" w:eastAsia="Times New Roman" w:cs="Times New Roman"/>
        </w:rPr>
        <w:t xml:space="preserve"> </w:t>
      </w:r>
      <w:r>
        <w:rPr>
          <w:rFonts w:ascii="Malgun Gothic" w:hAnsi="Malgun Gothic" w:eastAsia="Malgun Gothic" w:cs="Malgun Gothic"/>
        </w:rPr>
        <w:t>표이며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중간은</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몰락이니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표가</w:t>
      </w:r>
      <w:r>
        <w:rPr>
          <w:rFonts w:ascii="Times New Roman" w:hAnsi="Times New Roman" w:eastAsia="Times New Roman" w:cs="Times New Roman"/>
        </w:rPr>
        <w:t xml:space="preserve"> </w:t>
      </w:r>
      <w:r>
        <w:rPr>
          <w:rFonts w:ascii="Malgun Gothic" w:hAnsi="Malgun Gothic" w:eastAsia="Malgun Gothic" w:cs="Malgun Gothic"/>
        </w:rPr>
        <w:t>없었던</w:t>
      </w:r>
      <w:r>
        <w:rPr>
          <w:rFonts w:ascii="Times New Roman" w:hAnsi="Times New Roman" w:eastAsia="Times New Roman" w:cs="Times New Roman"/>
        </w:rPr>
        <w:t xml:space="preserve"> </w:t>
      </w:r>
      <w:r>
        <w:rPr>
          <w:rFonts w:ascii="Malgun Gothic" w:hAnsi="Malgun Gothic" w:eastAsia="Malgun Gothic" w:cs="Malgun Gothic"/>
        </w:rPr>
        <w:t>기간과</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반역의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하박국의</w:t>
      </w:r>
      <w:r>
        <w:rPr>
          <w:rFonts w:ascii="Times New Roman" w:hAnsi="Times New Roman" w:eastAsia="Times New Roman" w:cs="Times New Roman"/>
        </w:rPr>
        <w:t xml:space="preserve"> </w:t>
      </w:r>
      <w:r>
        <w:rPr>
          <w:rFonts w:ascii="Malgun Gothic" w:hAnsi="Malgun Gothic" w:eastAsia="Malgun Gothic" w:cs="Malgun Gothic"/>
        </w:rPr>
        <w:t>표들의</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지닌다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1850 sinaïim chir waṅko Ttoro uk baalbiŋa. Ed baafí Pentekot ga, benne yiir ñaari mburu yu yëngal yeesu leen. Jëfandikookat bi ci yëkkati mburu yi yu yëngal mi ngi feeñ ci móol ak yóbbu tebal bi ci weeru Mee 1842, ak ci jaar-jaaru 1849 bañ ñaareelu sáart bi waajaloo, ak 1850 bi mu nekk woon ci jàppandi. Jamono jooju feeñ na ci çiz bu Kirist ci ni juróom-fukk fan ak juróom ñaari fan yi nekk diggante ndekkiteem ak Pentekot, di jamono ju ñuy xàjjal ci ñeent-fukk fan, topp ten.</w:t>
      </w:r>
    </w:p>
    <w:p>
      <w:pPr>
        <w:pStyle w:val="ArticleBody"/>
        <w:jc w:val="left"/>
      </w:pPr>
      <w:r>
        <w:rPr>
          <w:rFonts w:ascii="Times New Roman" w:hAnsi="Times New Roman" w:eastAsia="Times New Roman" w:cs="Times New Roman"/>
        </w:rPr>
        <w:t>1849 pan̄haṅga Khrista tārā hāt duguni samānaśa bhābē pracārita karuṭhilē, āu 1850 pan̄haṅgē Habakkuk-r duguni table upalabdha haṭhilā āu Kadesh-ku niẏā jāithibā parīkṣā-prakriyā āgaku baṛhilā. 1856 pan̄haṅgē prācīna Israel-r daśaṭi parīkṣā madhyaru śeṣaṭi āsilā, jetēbēḷē Miller-r mūlabhūta bhaviṣyadbāṇīmūlaka prakāśa upare nūā āloka āndōlana-r patrikāre prakāśita haṭhilā. Duī hājāra pān̄ca śata biśa bhaviṣyadbāṇīmūlaka dina parjyanta, 1856 thāru 1863 parjyanta, guptacaramāne deśa anusandhāna karibāku prabēśa karithilē. 1863 pan̄haṅgē sēmāne tāṅku Miśraku pherāi nēbā pāĩ eka nūā netā bachhilē.</w:t>
      </w:r>
    </w:p>
    <w:p>
      <w:pPr>
        <w:pStyle w:val="ArticleBody"/>
        <w:jc w:val="left"/>
      </w:pPr>
      <w:r>
        <w:rPr>
          <w:rFonts w:ascii="Times New Roman" w:hAnsi="Times New Roman" w:eastAsia="Times New Roman" w:cs="Times New Roman"/>
        </w:rPr>
        <w:t>Yan hakikatleri nê li gotara pêş de bidomînin.</w:t>
      </w:r>
    </w:p>
    <w:p>
      <w:pPr>
        <w:pStyle w:val="ArticleScripture"/>
        <w:jc w:val="left"/>
      </w:pPr>
      <w:r>
        <w:rPr>
          <w:rFonts w:ascii="Times New Roman" w:hAnsi="Times New Roman" w:eastAsia="Times New Roman" w:cs="Times New Roman"/>
        </w:rPr>
        <w:t>“Bordoville, Vermont’te 10 Aralık 1871 tarihinde bana verilen bir görümde, kocamın konumunun çok güç bir konum olduğu bana gösterildi. Üzerinde bakım ve emeğin baskısı bulunuyordu. Hizmetteki kardeşleri bu yükleri taşımamışlardı ve onun emeklerini takdir etmemişlerdi. Üzerindeki sürekli baskı onu zihinsel ve bedensel olarak yıpratmıştır. Bana, onun Tanrı halkıyla olan ilişkisinin, bazı bakımlardan, Musa’nın İsrail’le olan ilişkisine benzer olduğu gösterildi. Olumsuz koşullar altında Musa’ya karşı söylenenler vardı; ona karşı da söylenenler olmuştur.” Testimonies, cilt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لاودیکیہ کی سیونتھ ڈے ایڈونٹسٹ کلیسیا - نمبر تیرہ</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