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یۆئێل و کڵێسای لاودیکەی ئۆتدڤێنتیستەکانی رۆژی حەوتەم - ژمارە شازدە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SIXTÉEN نمبر</w:t>
      </w:r>
    </w:p>
    <w:p>
      <w:pPr>
        <w:pStyle w:val="ArticleBody"/>
        <w:jc w:val="left"/>
      </w:pPr>
      <w:r>
        <w:rPr>
          <w:rFonts w:ascii="Times New Roman" w:hAnsi="Times New Roman" w:eastAsia="Times New Roman" w:cs="Times New Roman"/>
        </w:rPr>
        <w:t>Ti be xwestinê min ku ez pêşî ji bo van hemû peyvan lêborînê bixwazim berî ku em mijara bingehîn dest pê bikin. Ez dixwazim hin xetên pêxemberî li cihê xwe danim, yên ku parçeyên girîng ên mantiqa ne ku ez ê dema em bi awayekî rasterast pirtûka Yoêl berçav bikin bi kar bînim. Min berê amaje pê kiribû ku peyva Îbranî ya ku di pirtûka Yoêl de wekî “jêkirî” hatî wergerandin, kokên xwe di rêbaza qurbaniyê ya piştrastkirina peymanê de di rojên Îbrahîm de dibîne.</w:t>
      </w:r>
    </w:p>
    <w:p>
      <w:pPr>
        <w:pStyle w:val="ArticleScripture"/>
        <w:jc w:val="left"/>
      </w:pPr>
      <w:r>
        <w:rPr>
          <w:rFonts w:ascii="Times New Roman" w:hAnsi="Times New Roman" w:eastAsia="Times New Roman" w:cs="Times New Roman"/>
        </w:rPr>
        <w:t>Kavego, vi masto, no jo soke; no vi tagi rarawa, vi ira kece era dau gunu waini, ena vuku ni na waini vou; ni sa kau tani mai na gusumuni. Joeli 1:5.</w:t>
      </w:r>
    </w:p>
    <w:p>
      <w:pPr>
        <w:pStyle w:val="ArticleBody"/>
        <w:jc w:val="left"/>
      </w:pPr>
      <w:r>
        <w:rPr>
          <w:rFonts w:ascii="Times New Roman" w:hAnsi="Times New Roman" w:eastAsia="Times New Roman" w:cs="Times New Roman"/>
        </w:rPr>
        <w:t>El vocablo hebreo «cut off» es H3772, y es una raíz primitiva que significa «cortar (fuera, abajo o en dos); por implicación, destruir o consumir; específicamente, hacer pacto (es decir, concertar una alianza o convenio, originalmente mediante el corte de la carne y el paso entre las partes)».</w:t>
      </w:r>
    </w:p>
    <w:p>
      <w:pPr>
        <w:pStyle w:val="ArticleBody"/>
        <w:jc w:val="left"/>
      </w:pPr>
      <w:r>
        <w:rPr>
          <w:rFonts w:ascii="Times New Roman" w:hAnsi="Times New Roman" w:eastAsia="Times New Roman" w:cs="Times New Roman"/>
        </w:rPr>
        <w:t>Ñuqaqa amuytwa kunatix Strong’s ukan “khuchhuta” siski ukax gramática toqetxa “saphïri nayrïr saphi” sasaw uñt’ayasi. Ukhamäkchïnsa, arust’äwimpi Abrahamamp chikt’at uka khuchhuñax uñacht’ayiwa kunjamtï arust’äwin qhanapax arur ch’iqt’atäki ukxa, uka qhanasti nayrïr sarnaqäwipan saphiparuw qhanstayi. “Khuchhuña” arust’äw nayra sarnaqäwinxa, profético chimpüniwa nayrïr saphinakaparjam utt’ayata; ukhamaraki gramática toqetsa “saphïri nayrïr saphi” sasaw uñt’ataraki.</w:t>
      </w:r>
    </w:p>
    <w:p>
      <w:pPr>
        <w:pStyle w:val="ArticleBody"/>
        <w:jc w:val="left"/>
      </w:pPr>
      <w:r>
        <w:rPr>
          <w:rFonts w:ascii="Times New Roman" w:hAnsi="Times New Roman" w:eastAsia="Times New Roman" w:cs="Times New Roman"/>
        </w:rPr>
        <w:t>A pronunsiasyon do verse five no ta solo identifika ku nan no tin e mensahe di e yobi di atrobe, manera ta representá pa e “bini nobo”, sino tambe ku nan ta keda rechazá ‘na e mesun momento i na e mesun lugá’ komo e pueblo di pakto di Dios, un pueblo di pakto ku ta rastra su “raisnan primitivo” bai te na Abraham.</w:t>
      </w:r>
    </w:p>
    <w:p>
      <w:pPr>
        <w:pStyle w:val="ArticleBody"/>
        <w:jc w:val="left"/>
      </w:pPr>
      <w:r>
        <w:rPr>
          <w:rFonts w:ascii="Nirmala UI" w:hAnsi="Nirmala UI" w:eastAsia="Nirmala UI" w:cs="Nirmala UI"/>
        </w:rPr>
        <w:t>४०</w:t>
      </w:r>
      <w:r>
        <w:rPr>
          <w:rFonts w:ascii="Times New Roman" w:hAnsi="Times New Roman" w:eastAsia="Times New Roman" w:cs="Times New Roman"/>
        </w:rPr>
        <w:t xml:space="preserve"> </w:t>
      </w:r>
      <w:r>
        <w:rPr>
          <w:rFonts w:ascii="Nirmala UI" w:hAnsi="Nirmala UI" w:eastAsia="Nirmala UI" w:cs="Nirmala UI"/>
        </w:rPr>
        <w:t>वर्षसम्म</w:t>
      </w:r>
      <w:r>
        <w:rPr>
          <w:rFonts w:ascii="Times New Roman" w:hAnsi="Times New Roman" w:eastAsia="Times New Roman" w:cs="Times New Roman"/>
        </w:rPr>
        <w:t xml:space="preserve"> </w:t>
      </w:r>
      <w:r>
        <w:rPr>
          <w:rFonts w:ascii="Nirmala UI" w:hAnsi="Nirmala UI" w:eastAsia="Nirmala UI" w:cs="Nirmala UI"/>
        </w:rPr>
        <w:t>उजाडस्थानमा</w:t>
      </w:r>
      <w:r>
        <w:rPr>
          <w:rFonts w:ascii="Times New Roman" w:hAnsi="Times New Roman" w:eastAsia="Times New Roman" w:cs="Times New Roman"/>
        </w:rPr>
        <w:t xml:space="preserve"> </w:t>
      </w:r>
      <w:r>
        <w:rPr>
          <w:rFonts w:ascii="Nirmala UI" w:hAnsi="Nirmala UI" w:eastAsia="Nirmala UI" w:cs="Nirmala UI"/>
        </w:rPr>
        <w:t>मरेको</w:t>
      </w:r>
      <w:r>
        <w:rPr>
          <w:rFonts w:ascii="Times New Roman" w:hAnsi="Times New Roman" w:eastAsia="Times New Roman" w:cs="Times New Roman"/>
        </w:rPr>
        <w:t xml:space="preserve"> </w:t>
      </w:r>
      <w:r>
        <w:rPr>
          <w:rFonts w:ascii="Nirmala UI" w:hAnsi="Nirmala UI" w:eastAsia="Nirmala UI" w:cs="Nirmala UI"/>
        </w:rPr>
        <w:t>पुस्ताले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अब्राहामसम्म</w:t>
      </w:r>
      <w:r>
        <w:rPr>
          <w:rFonts w:ascii="Times New Roman" w:hAnsi="Times New Roman" w:eastAsia="Times New Roman" w:cs="Times New Roman"/>
        </w:rPr>
        <w:t xml:space="preserve"> </w:t>
      </w:r>
      <w:r>
        <w:rPr>
          <w:rFonts w:ascii="Nirmala UI" w:hAnsi="Nirmala UI" w:eastAsia="Nirmala UI" w:cs="Nirmala UI"/>
        </w:rPr>
        <w:t>लगाउँथ्यो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जातिहरूका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यहोशूसँगै</w:t>
      </w:r>
      <w:r>
        <w:rPr>
          <w:rFonts w:ascii="Times New Roman" w:hAnsi="Times New Roman" w:eastAsia="Times New Roman" w:cs="Times New Roman"/>
        </w:rPr>
        <w:t xml:space="preserve"> </w:t>
      </w:r>
      <w:r>
        <w:rPr>
          <w:rFonts w:ascii="Nirmala UI" w:hAnsi="Nirmala UI" w:eastAsia="Nirmala UI" w:cs="Nirmala UI"/>
        </w:rPr>
        <w:t>प्रतिज्ञात</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पुस्ताले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अब्राहामसम्म</w:t>
      </w:r>
      <w:r>
        <w:rPr>
          <w:rFonts w:ascii="Times New Roman" w:hAnsi="Times New Roman" w:eastAsia="Times New Roman" w:cs="Times New Roman"/>
        </w:rPr>
        <w:t xml:space="preserve"> </w:t>
      </w:r>
      <w:r>
        <w:rPr>
          <w:rFonts w:ascii="Nirmala UI" w:hAnsi="Nirmala UI" w:eastAsia="Nirmala UI" w:cs="Nirmala UI"/>
        </w:rPr>
        <w:t>लगाउँथ्यो।</w:t>
      </w:r>
      <w:r>
        <w:rPr>
          <w:rFonts w:ascii="Times New Roman" w:hAnsi="Times New Roman" w:eastAsia="Times New Roman" w:cs="Times New Roman"/>
        </w:rPr>
        <w:t xml:space="preserve"> </w:t>
      </w:r>
      <w:r>
        <w:rPr>
          <w:rFonts w:ascii="Nirmala UI" w:hAnsi="Nirmala UI" w:eastAsia="Nirmala UI" w:cs="Nirmala UI"/>
        </w:rPr>
        <w:t>ख्रीष्टलाई</w:t>
      </w:r>
      <w:r>
        <w:rPr>
          <w:rFonts w:ascii="Times New Roman" w:hAnsi="Times New Roman" w:eastAsia="Times New Roman" w:cs="Times New Roman"/>
        </w:rPr>
        <w:t xml:space="preserve"> </w:t>
      </w:r>
      <w:r>
        <w:rPr>
          <w:rFonts w:ascii="Nirmala UI" w:hAnsi="Nirmala UI" w:eastAsia="Nirmala UI" w:cs="Nirmala UI"/>
        </w:rPr>
        <w:t>क्रूसमा</w:t>
      </w:r>
      <w:r>
        <w:rPr>
          <w:rFonts w:ascii="Times New Roman" w:hAnsi="Times New Roman" w:eastAsia="Times New Roman" w:cs="Times New Roman"/>
        </w:rPr>
        <w:t xml:space="preserve"> </w:t>
      </w:r>
      <w:r>
        <w:rPr>
          <w:rFonts w:ascii="Nirmala UI" w:hAnsi="Nirmala UI" w:eastAsia="Nirmala UI" w:cs="Nirmala UI"/>
        </w:rPr>
        <w:t>चढाउने</w:t>
      </w:r>
      <w:r>
        <w:rPr>
          <w:rFonts w:ascii="Times New Roman" w:hAnsi="Times New Roman" w:eastAsia="Times New Roman" w:cs="Times New Roman"/>
        </w:rPr>
        <w:t xml:space="preserve"> </w:t>
      </w:r>
      <w:r>
        <w:rPr>
          <w:rFonts w:ascii="Nirmala UI" w:hAnsi="Nirmala UI" w:eastAsia="Nirmala UI" w:cs="Nirmala UI"/>
        </w:rPr>
        <w:t>यहूदीहरूले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अब्राहामसम्म</w:t>
      </w:r>
      <w:r>
        <w:rPr>
          <w:rFonts w:ascii="Times New Roman" w:hAnsi="Times New Roman" w:eastAsia="Times New Roman" w:cs="Times New Roman"/>
        </w:rPr>
        <w:t xml:space="preserve"> </w:t>
      </w:r>
      <w:r>
        <w:rPr>
          <w:rFonts w:ascii="Nirmala UI" w:hAnsi="Nirmala UI" w:eastAsia="Nirmala UI" w:cs="Nirmala UI"/>
        </w:rPr>
        <w:t>लगाउँथे।</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युगबाट</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निस्केका</w:t>
      </w:r>
      <w:r>
        <w:rPr>
          <w:rFonts w:ascii="Times New Roman" w:hAnsi="Times New Roman" w:eastAsia="Times New Roman" w:cs="Times New Roman"/>
        </w:rPr>
        <w:t xml:space="preserve"> </w:t>
      </w:r>
      <w:r>
        <w:rPr>
          <w:rFonts w:ascii="Nirmala UI" w:hAnsi="Nirmala UI" w:eastAsia="Nirmala UI" w:cs="Nirmala UI"/>
        </w:rPr>
        <w:t>प्रोटेस्टेन्टहरूले</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अब्राहामसम्म</w:t>
      </w:r>
      <w:r>
        <w:rPr>
          <w:rFonts w:ascii="Times New Roman" w:hAnsi="Times New Roman" w:eastAsia="Times New Roman" w:cs="Times New Roman"/>
        </w:rPr>
        <w:t xml:space="preserve"> </w:t>
      </w:r>
      <w:r>
        <w:rPr>
          <w:rFonts w:ascii="Nirmala UI" w:hAnsi="Nirmala UI" w:eastAsia="Nirmala UI" w:cs="Nirmala UI"/>
        </w:rPr>
        <w:t>लगाउँथे।</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22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फिलाडेल्फियाली</w:t>
      </w:r>
      <w:r>
        <w:rPr>
          <w:rFonts w:ascii="Times New Roman" w:hAnsi="Times New Roman" w:eastAsia="Times New Roman" w:cs="Times New Roman"/>
        </w:rPr>
        <w:t xml:space="preserve"> </w:t>
      </w:r>
      <w:r>
        <w:rPr>
          <w:rFonts w:ascii="Nirmala UI" w:hAnsi="Nirmala UI" w:eastAsia="Nirmala UI" w:cs="Nirmala UI"/>
        </w:rPr>
        <w:t>आन्दोलनले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अब्राहामसम्म</w:t>
      </w:r>
      <w:r>
        <w:rPr>
          <w:rFonts w:ascii="Times New Roman" w:hAnsi="Times New Roman" w:eastAsia="Times New Roman" w:cs="Times New Roman"/>
        </w:rPr>
        <w:t xml:space="preserve"> </w:t>
      </w:r>
      <w:r>
        <w:rPr>
          <w:rFonts w:ascii="Nirmala UI" w:hAnsi="Nirmala UI" w:eastAsia="Nirmala UI" w:cs="Nirmala UI"/>
        </w:rPr>
        <w:t>लगाउँथ्यो।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यरीहो</w:t>
      </w:r>
      <w:r>
        <w:rPr>
          <w:rFonts w:ascii="Times New Roman" w:hAnsi="Times New Roman" w:eastAsia="Times New Roman" w:cs="Times New Roman"/>
        </w:rPr>
        <w:t xml:space="preserve"> </w:t>
      </w:r>
      <w:r>
        <w:rPr>
          <w:rFonts w:ascii="Nirmala UI" w:hAnsi="Nirmala UI" w:eastAsia="Nirmala UI" w:cs="Nirmala UI"/>
        </w:rPr>
        <w:t>पुनर्निर्माण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लाओडिसियाली</w:t>
      </w:r>
      <w:r>
        <w:rPr>
          <w:rFonts w:ascii="Times New Roman" w:hAnsi="Times New Roman" w:eastAsia="Times New Roman" w:cs="Times New Roman"/>
        </w:rPr>
        <w:t xml:space="preserve"> </w:t>
      </w:r>
      <w:r>
        <w:rPr>
          <w:rFonts w:ascii="Nirmala UI" w:hAnsi="Nirmala UI" w:eastAsia="Nirmala UI" w:cs="Nirmala UI"/>
        </w:rPr>
        <w:t>आन्दोलनले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अब्राहामसम्म</w:t>
      </w:r>
      <w:r>
        <w:rPr>
          <w:rFonts w:ascii="Times New Roman" w:hAnsi="Times New Roman" w:eastAsia="Times New Roman" w:cs="Times New Roman"/>
        </w:rPr>
        <w:t xml:space="preserve"> </w:t>
      </w:r>
      <w:r>
        <w:rPr>
          <w:rFonts w:ascii="Nirmala UI" w:hAnsi="Nirmala UI" w:eastAsia="Nirmala UI" w:cs="Nirmala UI"/>
        </w:rPr>
        <w:t>लगाउँथ्यो।</w:t>
      </w:r>
      <w:r>
        <w:rPr>
          <w:rFonts w:ascii="Times New Roman" w:hAnsi="Times New Roman" w:eastAsia="Times New Roman" w:cs="Times New Roman"/>
        </w:rPr>
        <w:t xml:space="preserve"> </w:t>
      </w:r>
      <w:r>
        <w:rPr>
          <w:rFonts w:ascii="Nirmala UI" w:hAnsi="Nirmala UI" w:eastAsia="Nirmala UI" w:cs="Nirmala UI"/>
        </w:rPr>
        <w:t>छिट्टै</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मुखबाट</w:t>
      </w:r>
      <w:r>
        <w:rPr>
          <w:rFonts w:ascii="Times New Roman" w:hAnsi="Times New Roman" w:eastAsia="Times New Roman" w:cs="Times New Roman"/>
        </w:rPr>
        <w:t xml:space="preserve"> </w:t>
      </w:r>
      <w:r>
        <w:rPr>
          <w:rFonts w:ascii="Nirmala UI" w:hAnsi="Nirmala UI" w:eastAsia="Nirmala UI" w:cs="Nirmala UI"/>
        </w:rPr>
        <w:t>उकेलिने</w:t>
      </w:r>
      <w:r>
        <w:rPr>
          <w:rFonts w:ascii="Times New Roman" w:hAnsi="Times New Roman" w:eastAsia="Times New Roman" w:cs="Times New Roman"/>
        </w:rPr>
        <w:t xml:space="preserve"> </w:t>
      </w:r>
      <w:r>
        <w:rPr>
          <w:rFonts w:ascii="Nirmala UI" w:hAnsi="Nirmala UI" w:eastAsia="Nirmala UI" w:cs="Nirmala UI"/>
        </w:rPr>
        <w:t>लाओडिसियाली</w:t>
      </w:r>
      <w:r>
        <w:rPr>
          <w:rFonts w:ascii="Times New Roman" w:hAnsi="Times New Roman" w:eastAsia="Times New Roman" w:cs="Times New Roman"/>
        </w:rPr>
        <w:t xml:space="preserve"> </w:t>
      </w:r>
      <w:r>
        <w:rPr>
          <w:rFonts w:ascii="Nirmala UI" w:hAnsi="Nirmala UI" w:eastAsia="Nirmala UI" w:cs="Nirmala UI"/>
        </w:rPr>
        <w:t>सेभेन्थ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मण्डलीले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अब्राहामसम्म</w:t>
      </w:r>
      <w:r>
        <w:rPr>
          <w:rFonts w:ascii="Times New Roman" w:hAnsi="Times New Roman" w:eastAsia="Times New Roman" w:cs="Times New Roman"/>
        </w:rPr>
        <w:t xml:space="preserve"> </w:t>
      </w:r>
      <w:r>
        <w:rPr>
          <w:rFonts w:ascii="Nirmala UI" w:hAnsi="Nirmala UI" w:eastAsia="Nirmala UI" w:cs="Nirmala UI"/>
        </w:rPr>
        <w:t>लगाउँथ्यो।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पुस्ताहरूले</w:t>
      </w:r>
      <w:r>
        <w:rPr>
          <w:rFonts w:ascii="Times New Roman" w:hAnsi="Times New Roman" w:eastAsia="Times New Roman" w:cs="Times New Roman"/>
        </w:rPr>
        <w:t xml:space="preserve"> </w:t>
      </w:r>
      <w:r>
        <w:rPr>
          <w:rFonts w:ascii="Nirmala UI" w:hAnsi="Nirmala UI" w:eastAsia="Nirmala UI" w:cs="Nirmala UI"/>
        </w:rPr>
        <w:t>दाखबारीको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गर्नेछन्।</w:t>
      </w:r>
    </w:p>
    <w:p>
      <w:pPr>
        <w:pStyle w:val="ArticleBody"/>
        <w:jc w:val="left"/>
      </w:pPr>
      <w:r>
        <w:rPr>
          <w:rFonts w:ascii="Gadugi" w:hAnsi="Gadugi" w:eastAsia="Gadugi" w:cs="Gadugi"/>
        </w:rPr>
        <w:t>ᎤᏂᏴᎩ</w:t>
      </w:r>
      <w:r>
        <w:rPr>
          <w:rFonts w:ascii="Times New Roman" w:hAnsi="Times New Roman" w:eastAsia="Times New Roman" w:cs="Times New Roman"/>
        </w:rPr>
        <w:t xml:space="preserve"> </w:t>
      </w:r>
      <w:r>
        <w:rPr>
          <w:rFonts w:ascii="Gadugi" w:hAnsi="Gadugi" w:eastAsia="Gadugi" w:cs="Gadugi"/>
        </w:rPr>
        <w:t>ᏦᏥ</w:t>
      </w:r>
      <w:r>
        <w:rPr>
          <w:rFonts w:ascii="Times New Roman" w:hAnsi="Times New Roman" w:eastAsia="Times New Roman" w:cs="Times New Roman"/>
        </w:rPr>
        <w:t xml:space="preserve"> </w:t>
      </w:r>
      <w:r>
        <w:rPr>
          <w:rFonts w:ascii="Gadugi" w:hAnsi="Gadugi" w:eastAsia="Gadugi" w:cs="Gadugi"/>
        </w:rPr>
        <w:t>ᎾᎥ</w:t>
      </w:r>
      <w:r>
        <w:rPr>
          <w:rFonts w:ascii="Times New Roman" w:hAnsi="Times New Roman" w:eastAsia="Times New Roman" w:cs="Times New Roman"/>
        </w:rPr>
        <w:t xml:space="preserve"> </w:t>
      </w:r>
      <w:r>
        <w:rPr>
          <w:rFonts w:ascii="Gadugi" w:hAnsi="Gadugi" w:eastAsia="Gadugi" w:cs="Gadugi"/>
        </w:rPr>
        <w:t>ᎤᎾᏗᏫᏎᎲ</w:t>
      </w:r>
      <w:r>
        <w:rPr>
          <w:rFonts w:ascii="Times New Roman" w:hAnsi="Times New Roman" w:eastAsia="Times New Roman" w:cs="Times New Roman"/>
        </w:rPr>
        <w:t xml:space="preserve"> </w:t>
      </w:r>
      <w:r>
        <w:rPr>
          <w:rFonts w:ascii="Gadugi" w:hAnsi="Gadugi" w:eastAsia="Gadugi" w:cs="Gadugi"/>
        </w:rPr>
        <w:t>ᎤᏂᎦᏔᎭ</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ᎤᎾᏓᏅᏙᎢ</w:t>
      </w:r>
      <w:r>
        <w:rPr>
          <w:rFonts w:ascii="Times New Roman" w:hAnsi="Times New Roman" w:eastAsia="Times New Roman" w:cs="Times New Roman"/>
        </w:rPr>
        <w:t xml:space="preserve"> </w:t>
      </w:r>
      <w:r>
        <w:rPr>
          <w:rFonts w:ascii="Gadugi" w:hAnsi="Gadugi" w:eastAsia="Gadugi" w:cs="Gadugi"/>
        </w:rPr>
        <w:t>ᎠᏂᎥᏏ</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ᎤᎾᏛᎿᏕᎬ</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ᎠᏥᏁᎢᏍᏗ</w:t>
      </w:r>
      <w:r>
        <w:rPr>
          <w:rFonts w:ascii="Times New Roman" w:hAnsi="Times New Roman" w:eastAsia="Times New Roman" w:cs="Times New Roman"/>
        </w:rPr>
        <w:t xml:space="preserve"> </w:t>
      </w:r>
      <w:r>
        <w:rPr>
          <w:rFonts w:ascii="Gadugi" w:hAnsi="Gadugi" w:eastAsia="Gadugi" w:cs="Gadugi"/>
        </w:rPr>
        <w:t>ᎧᏃᎮᏍᎩ</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ᎤᏁᎢᏍᏗ</w:t>
      </w:r>
      <w:r>
        <w:rPr>
          <w:rFonts w:ascii="Times New Roman" w:hAnsi="Times New Roman" w:eastAsia="Times New Roman" w:cs="Times New Roman"/>
        </w:rPr>
        <w:t xml:space="preserve"> </w:t>
      </w:r>
      <w:r>
        <w:rPr>
          <w:rFonts w:ascii="Gadugi" w:hAnsi="Gadugi" w:eastAsia="Gadugi" w:cs="Gadugi"/>
        </w:rPr>
        <w:t>ᎤᏙᎯᏳᎭ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ᏦᏥ</w:t>
      </w:r>
      <w:r>
        <w:rPr>
          <w:rFonts w:ascii="Times New Roman" w:hAnsi="Times New Roman" w:eastAsia="Times New Roman" w:cs="Times New Roman"/>
        </w:rPr>
        <w:t xml:space="preserve"> </w:t>
      </w:r>
      <w:r>
        <w:rPr>
          <w:rFonts w:ascii="Gadugi" w:hAnsi="Gadugi" w:eastAsia="Gadugi" w:cs="Gadugi"/>
        </w:rPr>
        <w:t>ᏗᎬᏩᎵᏍᏔᏂᎸᎯ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ᎤᏂᏍᏚᎶᏗ</w:t>
      </w:r>
      <w:r>
        <w:rPr>
          <w:rFonts w:ascii="Times New Roman" w:hAnsi="Times New Roman" w:eastAsia="Times New Roman" w:cs="Times New Roman"/>
        </w:rPr>
        <w:t xml:space="preserve"> </w:t>
      </w:r>
      <w:r>
        <w:rPr>
          <w:rFonts w:ascii="Gadugi" w:hAnsi="Gadugi" w:eastAsia="Gadugi" w:cs="Gadugi"/>
        </w:rPr>
        <w:t>ᎦᏓᏘ</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ᎤᎾᏴᎵᎯ</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ᎤᏃᏔᏅ</w:t>
      </w:r>
      <w:r>
        <w:rPr>
          <w:rFonts w:ascii="Times New Roman" w:hAnsi="Times New Roman" w:eastAsia="Times New Roman" w:cs="Times New Roman"/>
        </w:rPr>
        <w:t xml:space="preserve">, </w:t>
      </w:r>
      <w:r>
        <w:rPr>
          <w:rFonts w:ascii="Gadugi" w:hAnsi="Gadugi" w:eastAsia="Gadugi" w:cs="Gadugi"/>
        </w:rPr>
        <w:t>ᎠᏥᏍᏚᎲ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ᎡᎵᏌᏕᎲ</w:t>
      </w:r>
      <w:r>
        <w:rPr>
          <w:rFonts w:ascii="Times New Roman" w:hAnsi="Times New Roman" w:eastAsia="Times New Roman" w:cs="Times New Roman"/>
        </w:rPr>
        <w:t xml:space="preserve"> </w:t>
      </w:r>
      <w:r>
        <w:rPr>
          <w:rFonts w:ascii="Gadugi" w:hAnsi="Gadugi" w:eastAsia="Gadugi" w:cs="Gadugi"/>
        </w:rPr>
        <w:t>ᎠᏓᏁᎸᎢ</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ᎤᏃᏔᏅ</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ᏧᏑᏰᏒ</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ᎠᏂᏰᎵ</w:t>
      </w:r>
      <w:r>
        <w:rPr>
          <w:rFonts w:ascii="Times New Roman" w:hAnsi="Times New Roman" w:eastAsia="Times New Roman" w:cs="Times New Roman"/>
        </w:rPr>
        <w:t xml:space="preserve"> </w:t>
      </w:r>
      <w:r>
        <w:rPr>
          <w:rFonts w:ascii="Gadugi" w:hAnsi="Gadugi" w:eastAsia="Gadugi" w:cs="Gadugi"/>
        </w:rPr>
        <w:t>ᎤᏓᎴᎾᏍᏗ</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ᎤᎾᏍᏗᎭ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ᎤᏂᎬᏅᎢ</w:t>
      </w:r>
      <w:r>
        <w:rPr>
          <w:rFonts w:ascii="Times New Roman" w:hAnsi="Times New Roman" w:eastAsia="Times New Roman" w:cs="Times New Roman"/>
        </w:rPr>
        <w:t xml:space="preserve">” </w:t>
      </w:r>
      <w:r>
        <w:rPr>
          <w:rFonts w:ascii="Gadugi" w:hAnsi="Gadugi" w:eastAsia="Gadugi" w:cs="Gadugi"/>
        </w:rPr>
        <w:t>ᏧᏟᏃᎮᏍᏗ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ᎠᏥᎪᎵᏰᎥ</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ᎤᎴᏅᎯ</w:t>
      </w:r>
      <w:r>
        <w:rPr>
          <w:rFonts w:ascii="Times New Roman" w:hAnsi="Times New Roman" w:eastAsia="Times New Roman" w:cs="Times New Roman"/>
        </w:rPr>
        <w:t xml:space="preserve"> </w:t>
      </w:r>
      <w:r>
        <w:rPr>
          <w:rFonts w:ascii="Gadugi" w:hAnsi="Gadugi" w:eastAsia="Gadugi" w:cs="Gadugi"/>
        </w:rPr>
        <w:t>ᏆᏍᏗ</w:t>
      </w:r>
      <w:r>
        <w:rPr>
          <w:rFonts w:ascii="Times New Roman" w:hAnsi="Times New Roman" w:eastAsia="Times New Roman" w:cs="Times New Roman"/>
        </w:rPr>
        <w:t xml:space="preserve"> </w:t>
      </w:r>
      <w:r>
        <w:rPr>
          <w:rFonts w:ascii="Gadugi" w:hAnsi="Gadugi" w:eastAsia="Gadugi" w:cs="Gadugi"/>
        </w:rPr>
        <w:t>ᎤᎾᏙᎯᏳᎯ</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ᎤᏂᎬᏅᎢ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ᎤᏓᎴᎾᏍᏗ</w:t>
      </w:r>
      <w:r>
        <w:rPr>
          <w:rFonts w:ascii="Times New Roman" w:hAnsi="Times New Roman" w:eastAsia="Times New Roman" w:cs="Times New Roman"/>
        </w:rPr>
        <w:t xml:space="preserve"> </w:t>
      </w:r>
      <w:r>
        <w:rPr>
          <w:rFonts w:ascii="Gadugi" w:hAnsi="Gadugi" w:eastAsia="Gadugi" w:cs="Gadugi"/>
        </w:rPr>
        <w:t>ᏧᏣᎳᎩ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ᎤᏁᏎᎢ</w:t>
      </w:r>
      <w:r>
        <w:rPr>
          <w:rFonts w:ascii="Times New Roman" w:hAnsi="Times New Roman" w:eastAsia="Times New Roman" w:cs="Times New Roman"/>
        </w:rPr>
        <w:t xml:space="preserve">. </w:t>
      </w:r>
      <w:r>
        <w:rPr>
          <w:rFonts w:ascii="Gadugi" w:hAnsi="Gadugi" w:eastAsia="Gadugi" w:cs="Gadugi"/>
        </w:rPr>
        <w:t>ᏗᏁᏎᎢ</w:t>
      </w:r>
      <w:r>
        <w:rPr>
          <w:rFonts w:ascii="Times New Roman" w:hAnsi="Times New Roman" w:eastAsia="Times New Roman" w:cs="Times New Roman"/>
        </w:rPr>
        <w:t xml:space="preserve"> </w:t>
      </w:r>
      <w:r>
        <w:rPr>
          <w:rFonts w:ascii="Gadugi" w:hAnsi="Gadugi" w:eastAsia="Gadugi" w:cs="Gadugi"/>
        </w:rPr>
        <w:t>ᎠᏥᏲᎢᏎᎭ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ᎠᏥᏓᏅᏏᎭ</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ᏧᏣᎳᎩ</w:t>
      </w:r>
      <w:r>
        <w:rPr>
          <w:rFonts w:ascii="Times New Roman" w:hAnsi="Times New Roman" w:eastAsia="Times New Roman" w:cs="Times New Roman"/>
        </w:rPr>
        <w:t xml:space="preserve"> </w:t>
      </w:r>
      <w:r>
        <w:rPr>
          <w:rFonts w:ascii="Gadugi" w:hAnsi="Gadugi" w:eastAsia="Gadugi" w:cs="Gadugi"/>
        </w:rPr>
        <w:t>ᎤᏂᏣᎳᎲᎯ</w:t>
      </w:r>
      <w:r>
        <w:rPr>
          <w:rFonts w:ascii="Times New Roman" w:hAnsi="Times New Roman" w:eastAsia="Times New Roman" w:cs="Times New Roman"/>
        </w:rPr>
        <w:t xml:space="preserve"> </w:t>
      </w:r>
      <w:r>
        <w:rPr>
          <w:rFonts w:ascii="Gadugi" w:hAnsi="Gadugi" w:eastAsia="Gadugi" w:cs="Gadugi"/>
        </w:rPr>
        <w:t>ᎨᏐ</w:t>
      </w:r>
      <w:r>
        <w:rPr>
          <w:rFonts w:ascii="Times New Roman" w:hAnsi="Times New Roman" w:eastAsia="Times New Roman" w:cs="Times New Roman"/>
        </w:rPr>
        <w:t xml:space="preserve"> </w:t>
      </w:r>
      <w:r>
        <w:rPr>
          <w:rFonts w:ascii="Gadugi" w:hAnsi="Gadugi" w:eastAsia="Gadugi" w:cs="Gadugi"/>
        </w:rPr>
        <w:t>ᏉᏂᎪᏗ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ᎤᏔᏅ</w:t>
      </w:r>
      <w:r>
        <w:rPr>
          <w:rFonts w:ascii="Times New Roman" w:hAnsi="Times New Roman" w:eastAsia="Times New Roman" w:cs="Times New Roman"/>
        </w:rPr>
        <w:t xml:space="preserve"> </w:t>
      </w:r>
      <w:r>
        <w:rPr>
          <w:rFonts w:ascii="Gadugi" w:hAnsi="Gadugi" w:eastAsia="Gadugi" w:cs="Gadugi"/>
        </w:rPr>
        <w:t>ᏧᏣᎳᎩ</w:t>
      </w:r>
      <w:r>
        <w:rPr>
          <w:rFonts w:ascii="Times New Roman" w:hAnsi="Times New Roman" w:eastAsia="Times New Roman" w:cs="Times New Roman"/>
        </w:rPr>
        <w:t xml:space="preserve"> </w:t>
      </w:r>
      <w:r>
        <w:rPr>
          <w:rFonts w:ascii="Gadugi" w:hAnsi="Gadugi" w:eastAsia="Gadugi" w:cs="Gadugi"/>
        </w:rPr>
        <w:t>ᎠᏓᏁᎸᎢ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ᎡᎵᏌᏕᎭ</w:t>
      </w:r>
      <w:r>
        <w:rPr>
          <w:rFonts w:ascii="Times New Roman" w:hAnsi="Times New Roman" w:eastAsia="Times New Roman" w:cs="Times New Roman"/>
        </w:rPr>
        <w:t>,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ᎢᎸᏍᎩ</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Կան չորս տեղեր, որոնք սովորաբար մատնանշվում են՝ ներկայացնելու Աբրահամի ուխտը։ Ծննդոց տասներկուսում Աբրահամը «կանչվում» է, և նրան տրվում է խոստումը՝ նրան մեծ ազգ դարձնելու մասին։ Սա ուխտի մաս չէ, այլ խոստման կանչն է։ Այդ պահին նրա անունը Աբրամ է, որովհետև ուխտային հարաբերության խորհրդանիշներից մեկը անվանափոխությունն է։ Աբրամի անունը փոխվում է ուխտի չորս փուլերից երրորդում։</w:t>
      </w:r>
    </w:p>
    <w:p>
      <w:pPr>
        <w:pStyle w:val="ArticleScripture"/>
        <w:jc w:val="left"/>
      </w:pPr>
      <w:r>
        <w:rPr>
          <w:rFonts w:ascii="Times New Roman" w:hAnsi="Times New Roman" w:eastAsia="Times New Roman" w:cs="Times New Roman"/>
        </w:rPr>
        <w:t>Yáakʼidááł biniiyé, Diyin God Ábraham yázhí bił haneʼ yiká adoolwołgo, tʼáá nihá nihá yáhootʼéego bee haneʼ yiká adoolwołgo doo shíł bééhózin da, háálá bee haneʼ yiká adoolwołgo tʼáá ajiłiiʼgo bił yiká adoolwoł; jiní, Tʼáá shoodí náásgóó shí éí nitsáhákeesgo nihoojíł dooleeł, dóó tʼáá shoodí nihootʼaahgo shí éí nihaʼałtsááh dooleeł. Dóó áko, yáʼátʼééhgo bikáaʼgi hólǫ́ǫgo yázhí nidaanishgo, haneʼ biniiyé yíhootʼááł. Dóó dineʼ éí tʼáá nihá nihá bináhádidzooí bee yiká adoolwoł; dóó haneʼ yiká adoolwoł bee haditʼį́į́ʼígíí éí tʼáá ałtsé bikáaʼgi haditʼį́į́ʼígíí da naashá. Áádóó Diyin God éí haneʼ biniiyé daniidlį́į́hígíí bichʼįʼ nitsáhákeesgo, biniiyeʼ bikáaʼgi doo haditsʼáadah da yitʼéego tʼáá nihágo bináházʼáanii biyiʼ nidaalnishgo, haneʼ yiká adoolwoł bee yiká ánítʼį́į́ł; tʼáá ajiłiiʼgo naaki bee doo haditsʼáadah da yitʼéego, áádóó Diyin God doo jiníłtiʼ da yitʼéego, nihí éí nihá shikaadééłgo nihaʼałnííhígíí bikáaʼgi nihaʼałtsáhgo nitsáhákees bee nihá shikaadééł dooleeł; éí tʼáá nihá nihá nihá biniinaago tʼáá niheʼ yáhootʼééłgo nihá bitsʼįʼ sidaaʼii. Éí bitsʼįʼ sidaaʼii éí nihí iiná biyiʼ bąąh nitsaaígíí átʼé, tʼáá ałtsoní dóó doo haditsʼáadah da yitʼé; dóó éí bee akʼeʼ dah naaznilígíí biyiʼgo naashá; áadi hólǫ́ǫgo nihí biniiyé aláahdi naasháhígíí, Jesus, tʼáá ałtsoní hataałii nitsaaígíí yílį́, Melchisedec bikʼehgo. Hebrews 6:13–20.</w:t>
      </w:r>
    </w:p>
    <w:p>
      <w:pPr>
        <w:pStyle w:val="ArticleBody"/>
        <w:jc w:val="left"/>
      </w:pPr>
      <w:r>
        <w:rPr>
          <w:rFonts w:ascii="Gadugi" w:hAnsi="Gadugi" w:eastAsia="Gadugi" w:cs="Gadugi"/>
        </w:rPr>
        <w:t>ᎤᏯᏅᎯ</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ᎤᏃᎮᏍᎬ</w:t>
      </w:r>
      <w:r>
        <w:rPr>
          <w:rFonts w:ascii="Times New Roman" w:hAnsi="Times New Roman" w:eastAsia="Times New Roman" w:cs="Times New Roman"/>
        </w:rPr>
        <w:t xml:space="preserve"> </w:t>
      </w:r>
      <w:r>
        <w:rPr>
          <w:rFonts w:ascii="Gadugi" w:hAnsi="Gadugi" w:eastAsia="Gadugi" w:cs="Gadugi"/>
        </w:rPr>
        <w:t>ᎤᏁᏤᎸ</w:t>
      </w:r>
      <w:r>
        <w:rPr>
          <w:rFonts w:ascii="Times New Roman" w:hAnsi="Times New Roman" w:eastAsia="Times New Roman" w:cs="Times New Roman"/>
        </w:rPr>
        <w:t xml:space="preserve"> </w:t>
      </w:r>
      <w:r>
        <w:rPr>
          <w:rFonts w:ascii="Gadugi" w:hAnsi="Gadugi" w:eastAsia="Gadugi" w:cs="Gadugi"/>
        </w:rPr>
        <w:t>ᎡᏆᎻ</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ᎤᏃᎯᏳᏔᏅᎯ</w:t>
      </w:r>
      <w:r>
        <w:rPr>
          <w:rFonts w:ascii="Times New Roman" w:hAnsi="Times New Roman" w:eastAsia="Times New Roman" w:cs="Times New Roman"/>
        </w:rPr>
        <w:t xml:space="preserve"> </w:t>
      </w:r>
      <w:r>
        <w:rPr>
          <w:rFonts w:ascii="Gadugi" w:hAnsi="Gadugi" w:eastAsia="Gadugi" w:cs="Gadugi"/>
        </w:rPr>
        <w:t>ᏗᎦᏎᏍᏗᎢ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ᎤᎪᎵᏰᏗ</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ᎤᎪᎵᏰᏗ</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ᏧᏓᎴᎿᎢ</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ᎤᏯᏅᎯ</w:t>
      </w:r>
      <w:r>
        <w:rPr>
          <w:rFonts w:ascii="Times New Roman" w:hAnsi="Times New Roman" w:eastAsia="Times New Roman" w:cs="Times New Roman"/>
        </w:rPr>
        <w:t xml:space="preserve"> </w:t>
      </w:r>
      <w:r>
        <w:rPr>
          <w:rFonts w:ascii="Gadugi" w:hAnsi="Gadugi" w:eastAsia="Gadugi" w:cs="Gadugi"/>
        </w:rPr>
        <w:t>ᎠᏚᎢᏍᏗ</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ᏗᎨᏒᎢ</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ᏅᎩᏁ</w:t>
      </w:r>
      <w:r>
        <w:rPr>
          <w:rFonts w:ascii="Times New Roman" w:hAnsi="Times New Roman" w:eastAsia="Times New Roman" w:cs="Times New Roman"/>
        </w:rPr>
        <w:t xml:space="preserve"> </w:t>
      </w:r>
      <w:r>
        <w:rPr>
          <w:rFonts w:ascii="Gadugi" w:hAnsi="Gadugi" w:eastAsia="Gadugi" w:cs="Gadugi"/>
        </w:rPr>
        <w:t>ᏗᎨᏒᎢ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ᏧᏓᎴᎿ</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ᎤᏑᏰᏒ</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ᎡᏍᏆᏂᎪᏔᏅ</w:t>
      </w:r>
      <w:r>
        <w:rPr>
          <w:rFonts w:ascii="Times New Roman" w:hAnsi="Times New Roman" w:eastAsia="Times New Roman" w:cs="Times New Roman"/>
        </w:rPr>
        <w:t xml:space="preserve"> </w:t>
      </w:r>
      <w:r>
        <w:rPr>
          <w:rFonts w:ascii="Gadugi" w:hAnsi="Gadugi" w:eastAsia="Gadugi" w:cs="Gadugi"/>
        </w:rPr>
        <w:t>ᏌᏊᎾ</w:t>
      </w:r>
      <w:r>
        <w:rPr>
          <w:rFonts w:ascii="Times New Roman" w:hAnsi="Times New Roman" w:eastAsia="Times New Roman" w:cs="Times New Roman"/>
        </w:rPr>
        <w:t xml:space="preserve"> </w:t>
      </w:r>
      <w:r>
        <w:rPr>
          <w:rFonts w:ascii="Gadugi" w:hAnsi="Gadugi" w:eastAsia="Gadugi" w:cs="Gadugi"/>
        </w:rPr>
        <w:t>ᎢᏯᏍᏗᏱ</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ᎤᏃᎮᎸᎯ</w:t>
      </w:r>
      <w:r>
        <w:rPr>
          <w:rFonts w:ascii="Times New Roman" w:hAnsi="Times New Roman" w:eastAsia="Times New Roman" w:cs="Times New Roman"/>
        </w:rPr>
        <w:t xml:space="preserve"> </w:t>
      </w:r>
      <w:r>
        <w:rPr>
          <w:rFonts w:ascii="Gadugi" w:hAnsi="Gadugi" w:eastAsia="Gadugi" w:cs="Gadugi"/>
        </w:rPr>
        <w:t>ᎤᏍᏆᏂᎪᏔᏅ</w:t>
      </w:r>
      <w:r>
        <w:rPr>
          <w:rFonts w:ascii="Times New Roman" w:hAnsi="Times New Roman" w:eastAsia="Times New Roman" w:cs="Times New Roman"/>
        </w:rPr>
        <w:t xml:space="preserve"> (“</w:t>
      </w:r>
      <w:r>
        <w:rPr>
          <w:rFonts w:ascii="Gadugi" w:hAnsi="Gadugi" w:eastAsia="Gadugi" w:cs="Gadugi"/>
        </w:rPr>
        <w:t>ᎤᏍᏕᎸ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ᎤᏩᏁᎬ</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ᎤᎾᏛᏁᎸ</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ᏗᎦᎸᎢ</w:t>
      </w:r>
      <w:r>
        <w:rPr>
          <w:rFonts w:ascii="Times New Roman" w:hAnsi="Times New Roman" w:eastAsia="Times New Roman" w:cs="Times New Roman"/>
        </w:rPr>
        <w:t xml:space="preserve"> </w:t>
      </w:r>
      <w:r>
        <w:rPr>
          <w:rFonts w:ascii="Gadugi" w:hAnsi="Gadugi" w:eastAsia="Gadugi" w:cs="Gadugi"/>
        </w:rPr>
        <w:t>ᎠᏂᏅᏓᏓᏅᏛ</w:t>
      </w:r>
      <w:r>
        <w:rPr>
          <w:rFonts w:ascii="Times New Roman" w:hAnsi="Times New Roman" w:eastAsia="Times New Roman" w:cs="Times New Roman"/>
        </w:rPr>
        <w:t xml:space="preserve"> </w:t>
      </w:r>
      <w:r>
        <w:rPr>
          <w:rFonts w:ascii="Gadugi" w:hAnsi="Gadugi" w:eastAsia="Gadugi" w:cs="Gadugi"/>
        </w:rPr>
        <w:t>ᎤᏃᎴᏛᎢ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ᎤᏪᏙᎸ</w:t>
      </w:r>
      <w:r>
        <w:rPr>
          <w:rFonts w:ascii="Times New Roman" w:hAnsi="Times New Roman" w:eastAsia="Times New Roman" w:cs="Times New Roman"/>
        </w:rPr>
        <w:t xml:space="preserve"> </w:t>
      </w:r>
      <w:r>
        <w:rPr>
          <w:rFonts w:ascii="Gadugi" w:hAnsi="Gadugi" w:eastAsia="Gadugi" w:cs="Gadugi"/>
        </w:rPr>
        <w:t>ᎤᏓᏰᎵᏒ</w:t>
      </w:r>
      <w:r>
        <w:rPr>
          <w:rFonts w:ascii="Times New Roman" w:hAnsi="Times New Roman" w:eastAsia="Times New Roman" w:cs="Times New Roman"/>
        </w:rPr>
        <w:t xml:space="preserve"> </w:t>
      </w:r>
      <w:r>
        <w:rPr>
          <w:rFonts w:ascii="Gadugi" w:hAnsi="Gadugi" w:eastAsia="Gadugi" w:cs="Gadugi"/>
        </w:rPr>
        <w:t>ᏗᏓᏂᏍᎬ</w:t>
      </w:r>
      <w:r>
        <w:rPr>
          <w:rFonts w:ascii="Times New Roman" w:hAnsi="Times New Roman" w:eastAsia="Times New Roman" w:cs="Times New Roman"/>
        </w:rPr>
        <w:t xml:space="preserve"> </w:t>
      </w:r>
      <w:r>
        <w:rPr>
          <w:rFonts w:ascii="Gadugi" w:hAnsi="Gadugi" w:eastAsia="Gadugi" w:cs="Gadugi"/>
        </w:rPr>
        <w:t>ᎠᎾᎵᏍᏕᎸᏙᏗ</w:t>
      </w:r>
      <w:r>
        <w:rPr>
          <w:rFonts w:ascii="Times New Roman" w:hAnsi="Times New Roman" w:eastAsia="Times New Roman" w:cs="Times New Roman"/>
        </w:rPr>
        <w:t xml:space="preserve">, </w:t>
      </w:r>
      <w:r>
        <w:rPr>
          <w:rFonts w:ascii="Gadugi" w:hAnsi="Gadugi" w:eastAsia="Gadugi" w:cs="Gadugi"/>
        </w:rPr>
        <w:t>ᎤᏲᎯᏳᎯ</w:t>
      </w:r>
      <w:r>
        <w:rPr>
          <w:rFonts w:ascii="Times New Roman" w:hAnsi="Times New Roman" w:eastAsia="Times New Roman" w:cs="Times New Roman"/>
        </w:rPr>
        <w:t xml:space="preserve"> </w:t>
      </w:r>
      <w:r>
        <w:rPr>
          <w:rFonts w:ascii="Gadugi" w:hAnsi="Gadugi" w:eastAsia="Gadugi" w:cs="Gadugi"/>
        </w:rPr>
        <w:t>ᎤᏚᎢᏍᏗ</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ᎡᏆᎭᎻ</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ᎠᏂᏁᎲ</w:t>
      </w:r>
      <w:r>
        <w:rPr>
          <w:rFonts w:ascii="Times New Roman" w:hAnsi="Times New Roman" w:eastAsia="Times New Roman" w:cs="Times New Roman"/>
        </w:rPr>
        <w:t xml:space="preserve">. </w:t>
      </w:r>
      <w:r>
        <w:rPr>
          <w:rFonts w:ascii="Gadugi" w:hAnsi="Gadugi" w:eastAsia="Gadugi" w:cs="Gadugi"/>
        </w:rPr>
        <w:t>ᎤᏚᎢᏍᏗ</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ᎤᏤᎸᎯ</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ᎤᏪᏴᎢ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ᎢᏥᏈ</w:t>
      </w:r>
      <w:r>
        <w:rPr>
          <w:rFonts w:ascii="Times New Roman" w:hAnsi="Times New Roman" w:eastAsia="Times New Roman" w:cs="Times New Roman"/>
        </w:rPr>
        <w:t xml:space="preserve"> </w:t>
      </w:r>
      <w:r>
        <w:rPr>
          <w:rFonts w:ascii="Gadugi" w:hAnsi="Gadugi" w:eastAsia="Gadugi" w:cs="Gadugi"/>
        </w:rPr>
        <w:t>ᎤᎦᏚᏴ</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ᏳᎦᏆᏟ</w:t>
      </w:r>
      <w:r>
        <w:rPr>
          <w:rFonts w:ascii="Times New Roman" w:hAnsi="Times New Roman" w:eastAsia="Times New Roman" w:cs="Times New Roman"/>
        </w:rPr>
        <w:t xml:space="preserve"> </w:t>
      </w:r>
      <w:r>
        <w:rPr>
          <w:rFonts w:ascii="Gadugi" w:hAnsi="Gadugi" w:eastAsia="Gadugi" w:cs="Gadugi"/>
        </w:rPr>
        <w:t>ᎤᎦᏚᏴ</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ᏧᏓᎴᎿ</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ᎤᏯᏅᎯ</w:t>
      </w:r>
      <w:r>
        <w:rPr>
          <w:rFonts w:ascii="Times New Roman" w:hAnsi="Times New Roman" w:eastAsia="Times New Roman" w:cs="Times New Roman"/>
        </w:rPr>
        <w:t xml:space="preserve"> </w:t>
      </w:r>
      <w:r>
        <w:rPr>
          <w:rFonts w:ascii="Gadugi" w:hAnsi="Gadugi" w:eastAsia="Gadugi" w:cs="Gadugi"/>
        </w:rPr>
        <w:t>ᎠᏯᏛᎭ</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ᎤᏎᎵᏔᏅ</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ᏧᏟᎶᏍᏛᎢ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ᎤᏩᏁᎯ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ᎤᏟᎶᏍᏛ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ᏳᎳᎢ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ᎭᏕᎩᎵ</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ᎠᏍᏛᎭ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ᏄᎾᎵᏍᏆᏗᏒ</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ᎠᏥᏟᎶᏍᏔᏅᎯ</w:t>
      </w:r>
      <w:r>
        <w:rPr>
          <w:rFonts w:ascii="Times New Roman" w:hAnsi="Times New Roman" w:eastAsia="Times New Roman" w:cs="Times New Roman"/>
        </w:rPr>
        <w:t xml:space="preserve"> </w:t>
      </w:r>
      <w:r>
        <w:rPr>
          <w:rFonts w:ascii="Gadugi" w:hAnsi="Gadugi" w:eastAsia="Gadugi" w:cs="Gadugi"/>
        </w:rPr>
        <w:t>ᎡᏆᎻ</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ᎡᏆᎻ</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ᏚᎾᏓᏟᎶᏍᏔᏅ</w:t>
      </w:r>
      <w:r>
        <w:rPr>
          <w:rFonts w:ascii="Times New Roman" w:hAnsi="Times New Roman" w:eastAsia="Times New Roman" w:cs="Times New Roman"/>
        </w:rPr>
        <w:t xml:space="preserve"> </w:t>
      </w:r>
      <w:r>
        <w:rPr>
          <w:rFonts w:ascii="Gadugi" w:hAnsi="Gadugi" w:eastAsia="Gadugi" w:cs="Gadugi"/>
        </w:rPr>
        <w:t>ᏓᏂᏰᎵᎯ</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ᎠᏂᏎᎭ</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ᏂᎦᎥᏰᏃ</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ᎨᏒᎢ</w:t>
      </w:r>
      <w:r>
        <w:rPr>
          <w:rFonts w:ascii="Myanmar Text" w:hAnsi="Myanmar Text" w:eastAsia="Myanmar Text" w:cs="Myanmar Text"/>
        </w:rPr>
        <w:t>။</w:t>
      </w:r>
    </w:p>
    <w:p>
      <w:pPr>
        <w:pStyle w:val="ArticleScripture"/>
        <w:jc w:val="left"/>
      </w:pPr>
      <w:r>
        <w:rPr>
          <w:rFonts w:ascii="Times New Roman" w:hAnsi="Times New Roman" w:eastAsia="Times New Roman" w:cs="Times New Roman"/>
        </w:rPr>
        <w:t>Mu ọjọ́ kan náà ni Olúwa bá Ábírámù dá májẹ̀mú, ó sì wí pé, “Fún irú-ọmọ rẹ ni mo ti fi ilẹ̀ yìí fún, láti odò Ejibiti títí dé odò ńlá náà, odò Yúfírétì: àwọn Kénì, àti àwọn Kénísì, àti àwọn Kádímónì, àti àwọn Hétì, àti àwọn Pérísì, àti àwọn Réfáímù, àti àwọn Ámórì, àti àwọn Kénáánì, àti àwọn Gígásì, àti àwọn Jébúsì.” Jẹ́nẹ́sísì 15:18–21.</w:t>
      </w:r>
    </w:p>
    <w:p>
      <w:pPr>
        <w:pStyle w:val="ArticleBody"/>
        <w:jc w:val="left"/>
      </w:pPr>
      <w:r>
        <w:rPr>
          <w:rFonts w:ascii="Times New Roman" w:hAnsi="Times New Roman" w:eastAsia="Times New Roman" w:cs="Times New Roman"/>
        </w:rPr>
        <w:t>ئەو خاکەی بە ئابرام بەڵێن درا، هەموو جیهان بوو، کە لە ڕۆژانی دواوەدا بە دە پاشا نیشان دەدرێت؛ هەروەها لە ڕۆژانی یەکەمی پەیماندا وەک دە هۆز تۆمار کرابوو، نەک پاشا. سەد و چل و چوار هەزارەکە لەگەڵ تەواوی جیهاندا لە ناکۆکی و پێکداداندا دەبن. ئینجا جیهان دەچێتە ناو پرۆسەی تاقیکردنەوەی جێبەجێکردنی پەرستنی یەکشەممە، لەژێر حوکمی حکومەتێکی یەک-جیهانی بە ڕێنمایی ئەو داوێنە سوورەڕەنگەی ئاشکراکردنی حەڤدە، کە بەسەر دە پاشای زەویدا فەرمانڕەوایی دەکات. لەگەڵ ئابرامدا، نیشانەی کڵێسا و دەوڵەت لە وێنەی ئاژەڵدا بە ڕووباری میسر نیشان دراوە، وەک هێمای کارگێڕیی دەوڵەت، و بە ڕووباری بابڵ، وەک هێمای کارگێڕیی کڵێسا.</w:t>
      </w:r>
    </w:p>
    <w:p>
      <w:pPr>
        <w:pStyle w:val="ArticleScripture"/>
        <w:jc w:val="left"/>
      </w:pPr>
      <w:r>
        <w:rPr>
          <w:rFonts w:ascii="Times New Roman" w:hAnsi="Times New Roman" w:eastAsia="Times New Roman" w:cs="Times New Roman"/>
        </w:rPr>
        <w:t>Mfa chuba nkan ta, okwu nke Onye-nwe-ayi biakutere Abram n’ọhụụ, sị,</w:t>
      </w:r>
    </w:p>
    <w:p>
      <w:pPr>
        <w:pStyle w:val="ArticleScripture"/>
        <w:jc w:val="left"/>
      </w:pPr>
      <w:r>
        <w:rPr>
          <w:rFonts w:ascii="Times New Roman" w:hAnsi="Times New Roman" w:eastAsia="Times New Roman" w:cs="Times New Roman"/>
        </w:rPr>
        <w:t>Ma asoro, Abram: ɛnne me yɛ wo kyɛm, na mʼakyɛde a ɛso sen biara.</w:t>
      </w:r>
    </w:p>
    <w:p>
      <w:pPr>
        <w:pStyle w:val="ArticleScripture"/>
        <w:jc w:val="left"/>
      </w:pPr>
      <w:r>
        <w:rPr>
          <w:rFonts w:ascii="Times New Roman" w:hAnsi="Times New Roman" w:eastAsia="Times New Roman" w:cs="Times New Roman"/>
        </w:rPr>
        <w:t>Abram naa, “Afuura Nyankopɔn, dɛn na wobɛma me, efisɛ merekɔ a minni ba, na me fi sohwɛfo no ne Damasko Elieser yi?” Na Abram kaa bio sɛ, “Hwɛ, woamma me abafo biara; na hwɛ, deɛ wɔawo no me fie yi ne m’adedifo.” Na hwɛ, Awurade asɛm baa ne nkyɛn sɛ,</w:t>
      </w:r>
    </w:p>
    <w:p>
      <w:pPr>
        <w:pStyle w:val="ArticleScripture"/>
        <w:jc w:val="left"/>
      </w:pPr>
      <w:r>
        <w:rPr>
          <w:rFonts w:ascii="Times New Roman" w:hAnsi="Times New Roman" w:eastAsia="Times New Roman" w:cs="Times New Roman"/>
        </w:rPr>
        <w:t>Mənim irsim bu olmayacaq; lakin sənin öz belindən çıxacaq olan sənin varisin olacaq. Və onu çölə çıxarıb dedi: İndi göyə bax və əgər onları saymağa qadir olsan, ulduzları say. Sonra ona dedi: Sənin nəslin də belə olacaq.</w:t>
      </w:r>
    </w:p>
    <w:p>
      <w:pPr>
        <w:pStyle w:val="ArticleScripture"/>
        <w:jc w:val="left"/>
      </w:pPr>
      <w:r>
        <w:rPr>
          <w:rFonts w:ascii="Times New Roman" w:hAnsi="Times New Roman" w:eastAsia="Times New Roman" w:cs="Times New Roman"/>
        </w:rPr>
        <w:t>Y creyó en el Señor; y le fue contado por justicia. Y le dijo,</w:t>
      </w:r>
    </w:p>
    <w:p>
      <w:pPr>
        <w:pStyle w:val="ArticleScripture"/>
        <w:jc w:val="left"/>
      </w:pPr>
      <w:r>
        <w:rPr>
          <w:rFonts w:ascii="Times New Roman" w:hAnsi="Times New Roman" w:eastAsia="Times New Roman" w:cs="Times New Roman"/>
        </w:rPr>
        <w:t>Mən səni Xaldeylilərin Urundan çıxaran Rəbbəm ki, bu torpağı onu irs olaraq sənə verim.</w:t>
      </w:r>
    </w:p>
    <w:p>
      <w:pPr>
        <w:pStyle w:val="ArticleScripture"/>
        <w:jc w:val="left"/>
      </w:pPr>
      <w:r>
        <w:rPr>
          <w:rFonts w:ascii="Times New Roman" w:hAnsi="Times New Roman" w:eastAsia="Times New Roman" w:cs="Times New Roman"/>
        </w:rPr>
        <w:t>Ва ӯ гуфт: «Эй Парвардигор Худо, ба чӣ донам, ки онро ба мерос хоҳам гирифт?» Ва Ӯ ба вай гуфт,</w:t>
      </w:r>
    </w:p>
    <w:p>
      <w:pPr>
        <w:pStyle w:val="ArticleScripture"/>
        <w:jc w:val="left"/>
      </w:pPr>
      <w:r>
        <w:rPr>
          <w:rFonts w:ascii="Times New Roman" w:hAnsi="Times New Roman" w:eastAsia="Times New Roman" w:cs="Times New Roman"/>
        </w:rPr>
        <w:t>Aly manna gyz sygyr, üç ýaşly bir geçi, üç ýaşly bir goç, bir hüwdük we bir ýaş kepderi al.</w:t>
      </w:r>
    </w:p>
    <w:p>
      <w:pPr>
        <w:pStyle w:val="ArticleScripture"/>
        <w:jc w:val="left"/>
      </w:pPr>
      <w:r>
        <w:rPr>
          <w:rFonts w:ascii="Times New Roman" w:hAnsi="Times New Roman" w:eastAsia="Times New Roman" w:cs="Times New Roman"/>
        </w:rPr>
        <w:t>А усі оці взяв він собі, і розітнув їх навпіл, і поклав кожну частину одну проти одної; а птахів не розітнув. І коли хижі птахи спадали на трупи, Аврам відганяв їх. І сталося, коли сонце заходило, міцний сон упав на Аврама; і ось, жах великої темряви впав на нього. І сказав Він до Аврама,</w:t>
      </w:r>
    </w:p>
    <w:p>
      <w:pPr>
        <w:pStyle w:val="ArticleScripture"/>
        <w:jc w:val="left"/>
      </w:pPr>
      <w:r>
        <w:rPr>
          <w:rFonts w:ascii="Times New Roman" w:hAnsi="Times New Roman" w:eastAsia="Times New Roman" w:cs="Times New Roman"/>
        </w:rPr>
        <w:t>Gelit ki, thy zāryad mellate bisāng band ūrd et; and shall serve them; and they shall afflict them four hundred years; And also that nation, whom they shall serve, will I judge: and afterward shall they come out with great substance.</w:t>
      </w:r>
    </w:p>
    <w:p>
      <w:pPr>
        <w:pStyle w:val="ArticleScripture"/>
        <w:jc w:val="left"/>
      </w:pPr>
      <w:r>
        <w:rPr>
          <w:rFonts w:ascii="Times New Roman" w:hAnsi="Times New Roman" w:eastAsia="Times New Roman" w:cs="Times New Roman"/>
        </w:rPr>
        <w:t>Kuna manaaka runakunakaman sumaj kawsaypi rinki; allin machuyaypi pampasqa kanki.</w:t>
      </w:r>
    </w:p>
    <w:p>
      <w:pPr>
        <w:pStyle w:val="ArticleScripture"/>
        <w:jc w:val="left"/>
      </w:pPr>
      <w:r>
        <w:rPr>
          <w:rFonts w:ascii="Times New Roman" w:hAnsi="Times New Roman" w:eastAsia="Times New Roman" w:cs="Times New Roman"/>
        </w:rPr>
        <w:t>Ma ulusiya ngin a na kapatiran, mangibalik da didto: ta ti kinadakes dagiti Amorita saan pay a napunno.</w:t>
      </w:r>
    </w:p>
    <w:p>
      <w:pPr>
        <w:pStyle w:val="ArticleScripture"/>
        <w:jc w:val="left"/>
      </w:pPr>
      <w:r>
        <w:rPr>
          <w:rFonts w:ascii="Times New Roman" w:hAnsi="Times New Roman" w:eastAsia="Times New Roman" w:cs="Times New Roman"/>
        </w:rPr>
        <w:t>I me ciyime, ma, vezin ānogar iksan, se rijos naejot, ēdruta, aōha qrinun hen urnen, se aōha ziry līrī ilagon hēnkirī bē ilzi lentot. Genesis 15:1–17.</w:t>
      </w:r>
    </w:p>
    <w:p>
      <w:pPr>
        <w:pStyle w:val="ArticleBody"/>
        <w:jc w:val="left"/>
      </w:pPr>
      <w:r>
        <w:rPr>
          <w:rFonts w:ascii="Times New Roman" w:hAnsi="Times New Roman" w:eastAsia="Times New Roman" w:cs="Times New Roman"/>
        </w:rPr>
        <w:t>Yaadessa halkaniinis Israa’eliin halkan utubaa ibiddaatiin, guyyaas duumessaatiin kan qajeelchu sun, gosaalee “muraman” sana gidduudhaan akka furnoo aaruufi ibsaa boba’uutti darbe.</w:t>
      </w:r>
    </w:p>
    <w:p>
      <w:pPr>
        <w:pStyle w:val="ArticleScripture"/>
        <w:jc w:val="left"/>
      </w:pPr>
      <w:r>
        <w:rPr>
          <w:rFonts w:ascii="Times New Roman" w:hAnsi="Times New Roman" w:eastAsia="Times New Roman" w:cs="Times New Roman"/>
        </w:rPr>
        <w:t>Ja RAB nae, arkhaungni lam dongshwa bamrigaang de di majangni janggini khamgipa songgiminni salo; aro walon wa∙alni khamgipa songgiminchi uamangna seng∙aniko on∙na, maikai uamang saloba aro waloba re∙na man∙genchim, uamangni mikkango re∙angaha. Saloba janggini khamgipa songgiminko, waloba wa∙alni khamgipa songgiminko, Ua manderangni mikkangoniko ra∙jawa. Exodus 13:21, 22.</w:t>
      </w:r>
    </w:p>
    <w:p>
      <w:pPr>
        <w:pStyle w:val="ArticleBody"/>
        <w:jc w:val="left"/>
      </w:pPr>
      <w:r>
        <w:rPr>
          <w:rFonts w:ascii="Times New Roman" w:hAnsi="Times New Roman" w:eastAsia="Times New Roman" w:cs="Times New Roman"/>
        </w:rPr>
        <w:t>Umunara waka n’itanura risohora umwotsi byagereranyaga inkingi y’igicu cyangwa iy’umuriro, kandi bigaragaza ikintu cy’ubuhanuzi cy’intambwe ya mbere muri izo ntambwe eshatu zagiranye isano n’ukuntu Imana yashyizeho isezerano na Aburamu. Igice gitangirana n’amagambo ngo, “Ntutinye,” kuko ubutumwa bw’umumarayika wa mbere ari ubwo kubaha Imana, kandi abameze nka Aburamu bubaha Imana, ntibazaba bakeneye gutinya Imana. Hariho ubwoko bubiri bw’ubwoba, kuko hariho ibyiciro bibiri by’abantu.</w:t>
      </w:r>
    </w:p>
    <w:p>
      <w:pPr>
        <w:pStyle w:val="ArticleBody"/>
        <w:jc w:val="left"/>
      </w:pPr>
      <w:r>
        <w:rPr>
          <w:rFonts w:ascii="Nirmala UI" w:hAnsi="Nirmala UI" w:eastAsia="Nirmala UI" w:cs="Nirmala UI"/>
        </w:rPr>
        <w:t>केभनेन्ट</w:t>
      </w:r>
      <w:r>
        <w:rPr>
          <w:rFonts w:ascii="Times New Roman" w:hAnsi="Times New Roman" w:eastAsia="Times New Roman" w:cs="Times New Roman"/>
        </w:rPr>
        <w:t xml:space="preserve"> </w:t>
      </w:r>
      <w:r>
        <w:rPr>
          <w:rFonts w:ascii="Nirmala UI" w:hAnsi="Nirmala UI" w:eastAsia="Nirmala UI" w:cs="Nirmala UI"/>
        </w:rPr>
        <w:t>प्रसङ्गभित्र</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अब्रामले</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वरलाई</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धार्मिकतामा</w:t>
      </w:r>
      <w:r>
        <w:rPr>
          <w:rFonts w:ascii="Times New Roman" w:hAnsi="Times New Roman" w:eastAsia="Times New Roman" w:cs="Times New Roman"/>
        </w:rPr>
        <w:t xml:space="preserve"> </w:t>
      </w:r>
      <w:r>
        <w:rPr>
          <w:rFonts w:ascii="Nirmala UI" w:hAnsi="Nirmala UI" w:eastAsia="Nirmala UI" w:cs="Nirmala UI"/>
        </w:rPr>
        <w:t>गनियो।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स्वर्गदूतहरूले</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कार्यसँग</w:t>
      </w:r>
      <w:r>
        <w:rPr>
          <w:rFonts w:ascii="Times New Roman" w:hAnsi="Times New Roman" w:eastAsia="Times New Roman" w:cs="Times New Roman"/>
        </w:rPr>
        <w:t xml:space="preserve"> </w:t>
      </w:r>
      <w:r>
        <w:rPr>
          <w:rFonts w:ascii="Nirmala UI" w:hAnsi="Nirmala UI" w:eastAsia="Nirmala UI" w:cs="Nirmala UI"/>
        </w:rPr>
        <w:t>समानान्तरता</w:t>
      </w:r>
      <w:r>
        <w:rPr>
          <w:rFonts w:ascii="Times New Roman" w:hAnsi="Times New Roman" w:eastAsia="Times New Roman" w:cs="Times New Roman"/>
        </w:rPr>
        <w:t xml:space="preserve"> </w:t>
      </w:r>
      <w:r>
        <w:rPr>
          <w:rFonts w:ascii="Nirmala UI" w:hAnsi="Nirmala UI" w:eastAsia="Nirmala UI" w:cs="Nirmala UI"/>
        </w:rPr>
        <w:t>राख्छन्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यूहन्नाले</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देखाउनुहुन्छ</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विशेषताहरू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स्वर्गदूतहरूसँग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खान्छन्</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केभनेन्ट</w:t>
      </w:r>
      <w:r>
        <w:rPr>
          <w:rFonts w:ascii="Times New Roman" w:hAnsi="Times New Roman" w:eastAsia="Times New Roman" w:cs="Times New Roman"/>
        </w:rPr>
        <w:t xml:space="preserve"> </w:t>
      </w:r>
      <w:r>
        <w:rPr>
          <w:rFonts w:ascii="Nirmala UI" w:hAnsi="Nirmala UI" w:eastAsia="Nirmala UI" w:cs="Nirmala UI"/>
        </w:rPr>
        <w:t>प्रसङ्गमा</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गरिएपछि</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घोषणाले</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केभनेन्टको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चरणले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पूर्वछाया</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सन्देशहरूको</w:t>
      </w:r>
      <w:r>
        <w:rPr>
          <w:rFonts w:ascii="Times New Roman" w:hAnsi="Times New Roman" w:eastAsia="Times New Roman" w:cs="Times New Roman"/>
        </w:rPr>
        <w:t xml:space="preserve"> </w:t>
      </w:r>
      <w:r>
        <w:rPr>
          <w:rFonts w:ascii="Nirmala UI" w:hAnsi="Nirmala UI" w:eastAsia="Nirmala UI" w:cs="Nirmala UI"/>
        </w:rPr>
        <w:t>फ्र्याक्टल</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केभनेन्ट</w:t>
      </w:r>
      <w:r>
        <w:rPr>
          <w:rFonts w:ascii="Times New Roman" w:hAnsi="Times New Roman" w:eastAsia="Times New Roman" w:cs="Times New Roman"/>
        </w:rPr>
        <w:t xml:space="preserve"> </w:t>
      </w:r>
      <w:r>
        <w:rPr>
          <w:rFonts w:ascii="Nirmala UI" w:hAnsi="Nirmala UI" w:eastAsia="Nirmala UI" w:cs="Nirmala UI"/>
        </w:rPr>
        <w:t>प्रक्रियाका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चरणहरूले</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चौधका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स्वर्गदूतहरूको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Body"/>
        <w:jc w:val="left"/>
      </w:pPr>
      <w:r>
        <w:rPr>
          <w:rFonts w:ascii="Times New Roman" w:hAnsi="Times New Roman" w:eastAsia="Times New Roman" w:cs="Times New Roman"/>
        </w:rPr>
        <w:t>Après qu’Abram a été compté comme juste, marquant le deuxième ange, il prépare une offrande, car l’offrande est préparée juste avant la troisième étape du jugement. Cette offrande représente l’offrande des Lévites de Malachie trois, qui est élevée comme une bannière. De même que les trois périodes de quarante ans dans la vie de Moïse représentent les messages des trois anges, les quarante premières années de Moïse renferment les trois étapes du message des trois anges.</w:t>
      </w:r>
    </w:p>
    <w:p>
      <w:pPr>
        <w:pStyle w:val="ArticleBody"/>
        <w:jc w:val="left"/>
      </w:pPr>
      <w:r>
        <w:rPr>
          <w:rFonts w:ascii="Times New Roman" w:hAnsi="Times New Roman" w:eastAsia="Times New Roman" w:cs="Times New Roman"/>
        </w:rPr>
        <w:t>یە ئەو شوێنەی دەستپێکەی شایەتیی موسا لەدایک و باوکی دەست پێ دەکات بە ترسی خودا، (هەنگاوی یەکەم)، و دوای ئەوە تاقیکردنەوەیەکی بینراو دێت. هەنگاوی دووەم تاقیکردنەوەیەکی بینراو لەخۆ دەگرێت، وەک لە دانیال بەشی یەکدا ڕوویدا، کاتێک دانیال یەکەم جار لە خودا ترسا و ڕەتی خواردنی خواردنی بابلی کردەوە، و پاشان بە پێی دەرکەوتنی جەستەیی خۆی تاقی کرایەوە. پاشان بۆ دانیال، تاقیکردنەوەی سێیەم سێ ساڵ دواتر لەلایەن پاشای نەبوخەدنەسەرەوە بوو، کە هێمای پاشای باکوور و یاسای یەکشەممەیە، کە ئەوەش نامەی سێیەمی فریشتەیە.</w:t>
      </w:r>
    </w:p>
    <w:p>
      <w:pPr>
        <w:pStyle w:val="ArticleBody"/>
        <w:jc w:val="left"/>
      </w:pPr>
      <w:r>
        <w:rPr>
          <w:rFonts w:ascii="Times New Roman" w:hAnsi="Times New Roman" w:eastAsia="Times New Roman" w:cs="Times New Roman"/>
        </w:rPr>
        <w:t>والدینِ موسیٰ خدا سے ڈرے، اسے پانی میں ایک صندوق میں رکھا، اور فرعون کی بیٹی کو اس صورتِ حال کو دیکھنے کی راہ دکھائی گئی؛ پھر اُس نے بچے کو بچانے کے حق میں فیصلہ دیا۔ موسیٰ کی زندگی کی ابتدا اُس عہد کی ایک تمثیل تھی جو خدا نے نوعِ انسان کے ساتھ باندھا، اور پھر موسیٰ ہی کے وسیلہ سے خدا نے نوعِ انسان میں سے برگزیدہ کی گئی ایک قوم کے ساتھ بھی ایک عہد باندھا۔ نوح کا نوعِ انسان کے ساتھ عہد اُس بڑی بھیڑ کی نمائندگی کرتا ہے، اور موسیٰ کا ایک برگزیدہ قوم کے ساتھ عہد ایک لاکھ چوالیس ہزار ہیں۔ اُس قربانی پر جو ابرام کو عہد کی توثیق کے لیے چڑھانی تھی، نوح کے عہد کی مہر ثبت تھی، جیسا کہ موسیٰ پر بھی تھی، جس نے صدیوں بعد ابرام کی پیشین گوئی کو پورا کیا۔</w:t>
      </w:r>
    </w:p>
    <w:p>
      <w:pPr>
        <w:pStyle w:val="ArticleBody"/>
        <w:jc w:val="left"/>
      </w:pPr>
      <w:r>
        <w:rPr>
          <w:rFonts w:ascii="Times New Roman" w:hAnsi="Times New Roman" w:eastAsia="Times New Roman" w:cs="Times New Roman"/>
        </w:rPr>
        <w:t>ئەو قوربانییە لە پێنج ئاژەڵی جۆراوجۆر پێک هاتبوو؛ مانگایەکی مێی سێ ساڵان، بزنێکی مێی سێ ساڵان، بەرخێکی نێری سێ ساڵان، کۆترێک و کۆتریلاوێک. باڵندگان بە تەواوی جێهێڵدران، و مانگاکە، بەرخەکە و بزنەکە بە دوو نیوە “بڕدران”. ئەم قوربانییە نموونەی بەرزکردنەوەی ئاڵایەکە لە ڕۆژانی دواوە وەک تاقیکردنەوەیەکی بینراو بۆ مرۆڤایەتی. نیشانەی بینراو بۆ کچی فیرعەون منداڵەکەی موسا بوو لە ناو سندوقەکەدا. سندوقەکە بە هەشت دەروونەکەی سەر سندوقەکە هێما دەکرێت. ژمارەی “هەشت” دامەزراوە وەک یەکێک لە تایبەتمەندییە پێشبینییەکانی ئاڵای ئەو سەد و چل و چوار هەزارە. کاتێک لەو پێنج قوربانییە ئاژەڵییانە دەڕوانیت و سێیان بە دوو نیوە دابەش دەکەیت، ئەوا قوربانییەکەت لە هەشت پارچە پێک دێت، وەک لەلایەن نوحەوە نموونە کراوە، و پاشان لە قوربانییەکەی ئەبرامدا پشتڕاست کراوەتەوە.</w:t>
      </w:r>
    </w:p>
    <w:p>
      <w:pPr>
        <w:pStyle w:val="ArticleBody"/>
        <w:jc w:val="left"/>
      </w:pPr>
      <w:r>
        <w:rPr>
          <w:rFonts w:ascii="Times New Roman" w:hAnsi="Times New Roman" w:eastAsia="Times New Roman" w:cs="Times New Roman"/>
        </w:rPr>
        <w:t>Animol aksel limãsan ota raksir tuhos ix Wàud, sinyara i nüm “walú,” tay inya, sinyara da sîra nga kar-ikkan iti panawen ti pagpatingga ti lubong a naitulad kadagiti “walú” a kar-ikkan idiay arka. Ti pagilasinan ti sirkunsision, nga isu ti maikadua a tukad iti tallo-a-bingay a tulag ni Abram, ket masapul a maaramid iti “maikawalu” nga aldaw kalpasan ti pannakaiyanak; ket ti rito ket naisukat iti bautismo, nga isu ti mangitulad iti panagungar ni Cristo a napasamak idi “maikawalu” nga aldaw. Ti nüm a “walú” ket naipasdek a kababalin dagiti tulag da Noe ken ni Moises, ket itultulad da ti sangagasut ken uppat a pulo ket uppat a ribo a maitangken a kas maysa nga ensign nga daton, ken isuda ti “maikawalu” a nagtaud iti pito.</w:t>
      </w:r>
    </w:p>
    <w:p>
      <w:pPr>
        <w:pStyle w:val="ArticleBody"/>
        <w:jc w:val="left"/>
      </w:pPr>
      <w:r>
        <w:rPr>
          <w:rFonts w:ascii="Times New Roman" w:hAnsi="Times New Roman" w:eastAsia="Times New Roman" w:cs="Times New Roman"/>
        </w:rPr>
        <w:t>O пяти животные символизируют пять мудрых дев, прообразом которых являются «восемь» в ковчеге; они перейдут из старого мира в новый мир, не увидев смерти.</w:t>
      </w:r>
    </w:p>
    <w:p>
      <w:pPr>
        <w:pStyle w:val="ArticleBody"/>
        <w:jc w:val="left"/>
      </w:pPr>
      <w:r>
        <w:rPr>
          <w:rFonts w:ascii="Nirmala UI" w:hAnsi="Nirmala UI" w:eastAsia="Nirmala UI" w:cs="Nirmala UI"/>
        </w:rPr>
        <w:t>एब्राहामक</w:t>
      </w:r>
      <w:r>
        <w:rPr>
          <w:rFonts w:ascii="Times New Roman" w:hAnsi="Times New Roman" w:eastAsia="Times New Roman" w:cs="Times New Roman"/>
        </w:rPr>
        <w:t xml:space="preserve"> </w:t>
      </w:r>
      <w:r>
        <w:rPr>
          <w:rFonts w:ascii="Nirmala UI" w:hAnsi="Nirmala UI" w:eastAsia="Nirmala UI" w:cs="Nirmala UI"/>
        </w:rPr>
        <w:t>यज्ञ</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यज्ञ</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यज्ञक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पशुसभक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सन्देशमे</w:t>
      </w:r>
      <w:r>
        <w:rPr>
          <w:rFonts w:ascii="Times New Roman" w:hAnsi="Times New Roman" w:eastAsia="Times New Roman" w:cs="Times New Roman"/>
        </w:rPr>
        <w:t xml:space="preserve"> </w:t>
      </w:r>
      <w:r>
        <w:rPr>
          <w:rFonts w:ascii="Nirmala UI" w:hAnsi="Nirmala UI" w:eastAsia="Nirmala UI" w:cs="Nirmala UI"/>
        </w:rPr>
        <w:t>सृष्टिकर्ताक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एब्राहामक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होएबाक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कालमे</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जाएब</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तकर</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बलिपशुसभ</w:t>
      </w:r>
      <w:r>
        <w:rPr>
          <w:rFonts w:ascii="Times New Roman" w:hAnsi="Times New Roman" w:eastAsia="Times New Roman" w:cs="Times New Roman"/>
        </w:rPr>
        <w:t xml:space="preserve"> </w:t>
      </w:r>
      <w:r>
        <w:rPr>
          <w:rFonts w:ascii="Nirmala UI" w:hAnsi="Nirmala UI" w:eastAsia="Nirmala UI" w:cs="Nirmala UI"/>
        </w:rPr>
        <w:t>आराधनाक</w:t>
      </w:r>
      <w:r>
        <w:rPr>
          <w:rFonts w:ascii="Times New Roman" w:hAnsi="Times New Roman" w:eastAsia="Times New Roman" w:cs="Times New Roman"/>
        </w:rPr>
        <w:t xml:space="preserve"> </w:t>
      </w:r>
      <w:r>
        <w:rPr>
          <w:rFonts w:ascii="Nirmala UI" w:hAnsi="Nirmala UI" w:eastAsia="Nirmala UI" w:cs="Nirmala UI"/>
        </w:rPr>
        <w:t>अर्पणक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संगहि</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सृष्टिकर्ताक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आह्वानक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Times New Roman" w:hAnsi="Times New Roman" w:eastAsia="Times New Roman" w:cs="Times New Roman"/>
        </w:rPr>
        <w:t>Տասնութերորդ համարը հստակորեն հայտարարում է. «Այն օրը Տերը ուխտ կապեց Աբրամի հետ»։ Սա նշում է երեք քայլերից առաջինը, որոնք նախատիպում են Հայտնություն տասնչորսի երեք հրեշտակներին։ Ծննդոց տասնհինգում ուխտի քայլը ներկայացնում է Հայտնություն տասնչորսի առաջին հրեշտակի լուրը, որին հաջորդում է երկրորդ հրեշտակը, որը նախատիպվել էր Աբրամի ուխտի երկրորդ քայլով, որ գտնվում է Ծննդոց տասնյոթում։</w:t>
      </w:r>
    </w:p>
    <w:p>
      <w:pPr>
        <w:pStyle w:val="ArticleBody"/>
        <w:jc w:val="left"/>
      </w:pPr>
      <w:r>
        <w:rPr>
          <w:rFonts w:ascii="Times New Roman" w:hAnsi="Times New Roman" w:eastAsia="Times New Roman" w:cs="Times New Roman"/>
        </w:rPr>
        <w:t>بادو دووەمدا، ناوی ئەبرام دەگۆڕدرێت بۆ ئەبراهام. ئەبرام واتای «باوک بەرزکراوە» دەگەیەنێت، و ئەبراهام واتای «باوکی گەلانی زۆر» دەگەیەنێت. لە بانگهێشتی ئەبرامدا، بەڵێنی ئەوەی پێدرا کە ببێتە نەتەوەیەکی گەورە، بەڵام ئەو بەڵێنە جێبەجێ و پشتڕاست نەکرا هەتا ناوی ئەبرام گۆڕدرا. پاشان بووە یەکەمین باوکی گەلێکی هەڵبژێردراوی پەیمان. هەنگاوی داهاتوو وێنەی پەیامی فریشتەی سێهەم بوو، کاتێک ئەبراهام لەسەر قوربانی‌کردنی ئیسحاق تاقی دەکرێتەوە، کە ئەوە وێنەی خاچەکە بوو، کە ئەویش وێنەی ٢٢ی ئۆکتۆبەری ١٨٤٤ بوو، کە وێنەی یاسای یەکشەممەیە—کە ئەوەش پەیامی فریشتەی سێهەمە. ئەو هەنگاوە سێهەمی پەیمانە لە بیست و دووی ئۆکتۆبەری ١٨٤٤دا تەواو بوو، و لە پیدایش ٢٢دا دەخرێتەڕوو.</w:t>
      </w:r>
    </w:p>
    <w:p>
      <w:pPr>
        <w:pStyle w:val="ArticleBody"/>
        <w:jc w:val="left"/>
      </w:pPr>
      <w:r>
        <w:rPr>
          <w:rFonts w:ascii="Times New Roman" w:hAnsi="Times New Roman" w:eastAsia="Times New Roman" w:cs="Times New Roman"/>
        </w:rPr>
        <w:t>ۋەزیپەی دۆیەمدا، که دۆیەم اَنجەل‌نِ خه‌وَرَه، ابڕامِ ناو به‌گۆڕدۆوه، ختنه‌نِ ئایین وەک «نیشان» یِ قۆومێ پیمان‌دار و پەیوەندیِ ئیوان بۆ خودا داده‌نرێ. له مێژوویِ خه‌وَرِ دۆیەم اَنجەل‌دا، قۆومِ خودا مُهر دارن. ئیوان له خه‌وَرِ سێیەم اَنجەل‌دا ــ که به یاسایِ یەک‌شەمە وە نمایەندەگی دەرکەوێ ــ وەک نیشانەیەک بەرز ده‌کرێن؛ به‌ڵام له ماوەیەک مُهر دارن که هه‌ر پێش یاسایِ یەک‌شەمەیه، که له مێژوویِ میلەری‌دا ده‌بێت: هه‌ر پێش ئه‌وه‌ی ده‌رگا له 22ی ئۆکتۆبری 1844 داخرا.</w:t>
      </w:r>
    </w:p>
    <w:p>
      <w:pPr>
        <w:pStyle w:val="ArticleBody"/>
        <w:jc w:val="left"/>
      </w:pPr>
      <w:r>
        <w:rPr>
          <w:rFonts w:ascii="Times New Roman" w:hAnsi="Times New Roman" w:eastAsia="Times New Roman" w:cs="Times New Roman"/>
        </w:rPr>
        <w:t>Ari jaa ol na e naanok ikijenan eōkajjo ko jilu rej etal ilo Babylon, im rej letok jino in an 2300 yiō in bwebwenato eo, im ej jemlok ilo tōrere eo an anjelo eo kinono ilo October 22, 1844. Imon kaute eo ear jemlok ilo jatdrok in eōkajjo eo kein karuo, murin eo kein juon, ak mokta jen eo kein jilu. Wōn̄aan ko an ear likūt ilo eōkajjo eo kein juon, im imon kaute eo ear jemlok an kōmman ilo jatdrok in eōkajjo eo kein karuo. Eōkajjo eo kein jilu ilo 457 BC ear jinoe 2300 yiō ko, im eōkajjo eo make ear bar kajeon bok jikin-būromōj an jikin-tōrre in aelōñ in nan ro Juu. Ilo waymark eo kein jilu, ej jabdewōt juon bōtōktōk ej ekkaak im ketak, einwōt an kar kōnnaan kin kōjjab in aelōñ in an tōrre eo nan ro Juu ilo eōkajjo eo kein jilu, im an kar utiejlok church triumphant eo einwōt juon ensign ilo Sunday law eo.</w:t>
      </w:r>
    </w:p>
    <w:p>
      <w:pPr>
        <w:pStyle w:val="ArticleBody"/>
        <w:jc w:val="left"/>
      </w:pPr>
      <w:r>
        <w:rPr>
          <w:rFonts w:ascii="Times New Roman" w:hAnsi="Times New Roman" w:eastAsia="Times New Roman" w:cs="Times New Roman"/>
        </w:rPr>
        <w:t>ئۆچنجى فرمان، 1844-جيلى 22-ئۆكتەبىردىكى تويغا ئۈچىنچى پەرىشتىنىڭ كېلىشىنى تىپىك رەۋىشتە ئىپادىلىدى. كېلىن توي بولۇشتىن بۇرۇن، توي ۋاقىتيدە ئەمەس، ئۆزىنى تەييارلايدۇ. يۈز قىرىق تۆت مىڭ كىشىنىڭ مۆھۈرلىنىشى، يەكشەنبە قانۇنىدىن دەل بۇرۇن، پەيغەمبەرلىك جەھەتتىن ھايۋاننىڭ سۈرىتى سىنىقى دەپ ئىپادىلەنگەن ۋاقىت دەۋرىدە ئەمەلگە ئاشىدۇ. بىزگە شۇ ئۇقتۇرۇلغانكى، ھايۋاننىڭ سۈرىتى سىنىقى سىناق بولۇپ، ئىمتىھان مۇددىتى تاقىلىشتىن ئىلگىرى بىز شۇندىن ئۆتۈشىمىز كېرەك.</w:t>
      </w:r>
    </w:p>
    <w:p>
      <w:pPr>
        <w:pStyle w:val="ArticleScripture"/>
        <w:jc w:val="left"/>
      </w:pPr>
      <w:r>
        <w:rPr>
          <w:rFonts w:ascii="Times New Roman" w:hAnsi="Times New Roman" w:eastAsia="Times New Roman" w:cs="Times New Roman"/>
        </w:rPr>
        <w:t>«ایوردا منە ئاشکارا دەرخستووە کە وێنەی ئاژەڵ پێش ئەوەی دەرگای مەهلەت دابخرێت پێکدێت؛ چونکە ئەو دەبێت ببێتە تاقیکردنەوەی گەورە بۆ گەلی خودا، کە بەهۆی ئەودا چارەنووسی هەتاهەتییان بڕیار دەدرێت. هەڵوێستی تۆ تا ئەو ڕادەیە تێکەڵەیەکە لە ناهاوسەنگییەکان کە تەنها کەمێک دەفریونەوە.»</w:t>
      </w:r>
    </w:p>
    <w:p>
      <w:pPr>
        <w:pStyle w:val="ArticleScripture"/>
        <w:jc w:val="left"/>
      </w:pPr>
      <w:r>
        <w:rPr>
          <w:rFonts w:ascii="Times New Roman" w:hAnsi="Times New Roman" w:eastAsia="Times New Roman" w:cs="Times New Roman"/>
        </w:rPr>
        <w:t>"Ay Pahayag 13, itong paksang ito ay hayagang inihaharap; [Pahayag 13:11–17, sinipi]."</w:t>
      </w:r>
    </w:p>
    <w:p>
      <w:pPr>
        <w:pStyle w:val="ArticleScripture"/>
        <w:jc w:val="left"/>
      </w:pPr>
      <w:r>
        <w:rPr>
          <w:rFonts w:ascii="Times New Roman" w:hAnsi="Times New Roman" w:eastAsia="Times New Roman" w:cs="Times New Roman"/>
        </w:rPr>
        <w:t>«Waxaanu waa imtixaanka ay tahay in dadka Ilaah maraan ka hor intaan la shaabadayn. Kuwaas oo dhammi oo daacadnimadooda Ilaah ku caddeeyey iyagoo xajinaya sharcigiisa, kana diidaya inay aqbalaan sabti been-abuur ah, waxay hoos geli doonaan calanka Rabbiga Ilaaha ah Yehowah, oo waxay heli doonaan shaabadda Ilaaha nool. Kuwa runta samada ka timid ka tanaasula oo aqbala sabtida Axadda, waxay heli doonaan calaamadda bahalka.» Manuscript Releases, volume 15, 15.</w:t>
      </w:r>
    </w:p>
    <w:p>
      <w:pPr>
        <w:pStyle w:val="ArticleBody"/>
        <w:jc w:val="left"/>
      </w:pPr>
      <w:r>
        <w:rPr>
          <w:rFonts w:ascii="Nirmala UI" w:hAnsi="Nirmala UI" w:eastAsia="Nirmala UI" w:cs="Nirmala UI"/>
        </w:rPr>
        <w:t>ꯑꯛꯇꯣꯕꯔ</w:t>
      </w:r>
      <w:r>
        <w:rPr>
          <w:rFonts w:ascii="Times New Roman" w:hAnsi="Times New Roman" w:eastAsia="Times New Roman" w:cs="Times New Roman"/>
        </w:rPr>
        <w:t xml:space="preserve"> 22, 1844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ꯊꯤꯡꯂꯦ</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ꯔꯤꯕꯥꯏꯒꯤ</w:t>
      </w:r>
      <w:r>
        <w:rPr>
          <w:rFonts w:ascii="Times New Roman" w:hAnsi="Times New Roman" w:eastAsia="Times New Roman" w:cs="Times New Roman"/>
        </w:rPr>
        <w:t xml:space="preserve"> </w:t>
      </w:r>
      <w:r>
        <w:rPr>
          <w:rFonts w:ascii="Nirmala UI" w:hAnsi="Nirmala UI" w:eastAsia="Nirmala UI" w:cs="Nirmala UI"/>
        </w:rPr>
        <w:t>ꯂꯝꯁꯦꯟ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Sunday law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ꯊꯤꯡꯂꯤꯕ</w:t>
      </w:r>
      <w:r>
        <w:rPr>
          <w:rFonts w:ascii="Times New Roman" w:hAnsi="Times New Roman" w:eastAsia="Times New Roman" w:cs="Times New Roman"/>
        </w:rPr>
        <w:t xml:space="preserve"> </w:t>
      </w:r>
      <w:r>
        <w:rPr>
          <w:rFonts w:ascii="Nirmala UI" w:hAnsi="Nirmala UI" w:eastAsia="Nirmala UI" w:cs="Nirmala UI"/>
        </w:rPr>
        <w:t>ꯅꯨꯡꯉꯥꯏꯒꯤ</w:t>
      </w:r>
      <w:r>
        <w:rPr>
          <w:rFonts w:ascii="Times New Roman" w:hAnsi="Times New Roman" w:eastAsia="Times New Roman" w:cs="Times New Roman"/>
        </w:rPr>
        <w:t xml:space="preserve"> </w:t>
      </w:r>
      <w:r>
        <w:rPr>
          <w:rFonts w:ascii="Nirmala UI" w:hAnsi="Nirmala UI" w:eastAsia="Nirmala UI" w:cs="Nirmala UI"/>
        </w:rPr>
        <w:t>ꯃꯥꯏꯍꯥꯛ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Sister White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image of the beast test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ꯄ꯭ꯔꯣꯕꯦꯁꯟ</w:t>
      </w:r>
      <w:r>
        <w:rPr>
          <w:rFonts w:ascii="Times New Roman" w:hAnsi="Times New Roman" w:eastAsia="Times New Roman" w:cs="Times New Roman"/>
        </w:rPr>
        <w:t xml:space="preserve"> </w:t>
      </w:r>
      <w:r>
        <w:rPr>
          <w:rFonts w:ascii="Nirmala UI" w:hAnsi="Nirmala UI" w:eastAsia="Nirmala UI" w:cs="Nirmala UI"/>
        </w:rPr>
        <w:t>ꯂꯣꯏꯁꯤꯟꯗ꯭ꯔꯤꯡꯗꯥ</w:t>
      </w:r>
      <w:r>
        <w:rPr>
          <w:rFonts w:ascii="Times New Roman" w:hAnsi="Times New Roman" w:eastAsia="Times New Roman" w:cs="Times New Roman"/>
        </w:rPr>
        <w:t xml:space="preserve"> “before”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ꯄꯥꯁ</w:t>
      </w:r>
      <w:r>
        <w:rPr>
          <w:rFonts w:ascii="Times New Roman" w:hAnsi="Times New Roman" w:eastAsia="Times New Roman" w:cs="Times New Roman"/>
        </w:rPr>
        <w:t xml:space="preserve"> </w:t>
      </w:r>
      <w:r>
        <w:rPr>
          <w:rFonts w:ascii="Nirmala UI" w:hAnsi="Nirmala UI" w:eastAsia="Nirmala UI" w:cs="Nirmala UI"/>
        </w:rPr>
        <w:t>ꯇꯧꯒꯗꯕ</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ꯑꯦꯇꯔꯅꯜ</w:t>
      </w:r>
      <w:r>
        <w:rPr>
          <w:rFonts w:ascii="Times New Roman" w:hAnsi="Times New Roman" w:eastAsia="Times New Roman" w:cs="Times New Roman"/>
        </w:rPr>
        <w:t xml:space="preserve"> destiny </w:t>
      </w:r>
      <w:r>
        <w:rPr>
          <w:rFonts w:ascii="Nirmala UI" w:hAnsi="Nirmala UI" w:eastAsia="Nirmala UI" w:cs="Nirmala UI"/>
        </w:rPr>
        <w:t>ꯋꯥꯍꯟꯕ</w:t>
      </w:r>
      <w:r>
        <w:rPr>
          <w:rFonts w:ascii="Times New Roman" w:hAnsi="Times New Roman" w:eastAsia="Times New Roman" w:cs="Times New Roman"/>
        </w:rPr>
        <w:t xml:space="preserve"> </w:t>
      </w:r>
      <w:r>
        <w:rPr>
          <w:rFonts w:ascii="Nirmala UI" w:hAnsi="Nirmala UI" w:eastAsia="Nirmala UI" w:cs="Nirmala UI"/>
        </w:rPr>
        <w:t>ꯗꯦꯁꯥꯏꯗ</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Sunday law </w:t>
      </w:r>
      <w:r>
        <w:rPr>
          <w:rFonts w:ascii="Nirmala UI" w:hAnsi="Nirmala UI" w:eastAsia="Nirmala UI" w:cs="Nirmala UI"/>
        </w:rPr>
        <w:t>ꯃꯃꯥꯡꯗꯥ</w:t>
      </w:r>
      <w:r>
        <w:rPr>
          <w:rFonts w:ascii="Times New Roman" w:hAnsi="Times New Roman" w:eastAsia="Times New Roman" w:cs="Times New Roman"/>
        </w:rPr>
        <w:t xml:space="preserve">, bride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ꯁꯦꯝꯁꯤꯟꯅꯩ</w:t>
      </w:r>
      <w:r>
        <w:rPr>
          <w:rFonts w:ascii="Times New Roman" w:hAnsi="Times New Roman" w:eastAsia="Times New Roman" w:cs="Times New Roman"/>
        </w:rPr>
        <w:t xml:space="preserve">, </w:t>
      </w:r>
      <w:r>
        <w:rPr>
          <w:rFonts w:ascii="Nirmala UI" w:hAnsi="Nirmala UI" w:eastAsia="Nirmala UI" w:cs="Nirmala UI"/>
        </w:rPr>
        <w:t>ꯑꯗꯨꯒꯤꯗꯃꯛ</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wedding garment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ꯂꯩꯒꯗꯕ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Messenger of the Covenant </w:t>
      </w:r>
      <w:r>
        <w:rPr>
          <w:rFonts w:ascii="Nirmala UI" w:hAnsi="Nirmala UI" w:eastAsia="Nirmala UI" w:cs="Nirmala UI"/>
        </w:rPr>
        <w:t>ꯑꯗꯨꯒꯤ</w:t>
      </w:r>
      <w:r>
        <w:rPr>
          <w:rFonts w:ascii="Times New Roman" w:hAnsi="Times New Roman" w:eastAsia="Times New Roman" w:cs="Times New Roman"/>
        </w:rPr>
        <w:t xml:space="preserve"> refining fires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ꯄꯨꯛꯆꯦꯜ</w:t>
      </w:r>
      <w:r>
        <w:rPr>
          <w:rFonts w:ascii="Times New Roman" w:hAnsi="Times New Roman" w:eastAsia="Times New Roman" w:cs="Times New Roman"/>
        </w:rPr>
        <w:t xml:space="preserve"> </w:t>
      </w:r>
      <w:r>
        <w:rPr>
          <w:rFonts w:ascii="Nirmala UI" w:hAnsi="Nirmala UI" w:eastAsia="Nirmala UI" w:cs="Nirmala UI"/>
        </w:rPr>
        <w:t>ꯇꯧꯒꯗꯕ</w:t>
      </w:r>
      <w:r>
        <w:rPr>
          <w:rFonts w:ascii="Times New Roman" w:hAnsi="Times New Roman" w:eastAsia="Times New Roman" w:cs="Times New Roman"/>
        </w:rPr>
        <w:t xml:space="preserve"> garment </w:t>
      </w:r>
      <w:r>
        <w:rPr>
          <w:rFonts w:ascii="Nirmala UI" w:hAnsi="Nirmala UI" w:eastAsia="Nirmala UI" w:cs="Nirmala UI"/>
        </w:rPr>
        <w:t>ꯑꯃꯅꯤ꯫</w:t>
      </w:r>
      <w:r>
        <w:rPr>
          <w:rFonts w:ascii="Times New Roman" w:hAnsi="Times New Roman" w:eastAsia="Times New Roman" w:cs="Times New Roman"/>
        </w:rPr>
        <w:t xml:space="preserve"> wedding </w:t>
      </w:r>
      <w:r>
        <w:rPr>
          <w:rFonts w:ascii="Nirmala UI" w:hAnsi="Nirmala UI" w:eastAsia="Nirmala UI" w:cs="Nirmala UI"/>
        </w:rPr>
        <w:t>ꯃꯃꯥꯡꯗꯥ</w:t>
      </w:r>
      <w:r>
        <w:rPr>
          <w:rFonts w:ascii="Times New Roman" w:hAnsi="Times New Roman" w:eastAsia="Times New Roman" w:cs="Times New Roman"/>
        </w:rPr>
        <w:t xml:space="preserve"> seal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Sunday law </w:t>
      </w:r>
      <w:r>
        <w:rPr>
          <w:rFonts w:ascii="Nirmala UI" w:hAnsi="Nirmala UI" w:eastAsia="Nirmala UI" w:cs="Nirmala UI"/>
        </w:rPr>
        <w:t>ꯑꯗꯨꯗ</w:t>
      </w:r>
      <w:r>
        <w:rPr>
          <w:rFonts w:ascii="Times New Roman" w:hAnsi="Times New Roman" w:eastAsia="Times New Roman" w:cs="Times New Roman"/>
        </w:rPr>
        <w:t xml:space="preserve"> wedding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ꯊꯣꯛꯂꯤ꯫</w:t>
      </w:r>
    </w:p>
    <w:p>
      <w:pPr>
        <w:pStyle w:val="ArticleBody"/>
        <w:jc w:val="left"/>
      </w:pPr>
      <w:r>
        <w:rPr>
          <w:rFonts w:ascii="Times New Roman" w:hAnsi="Times New Roman" w:eastAsia="Times New Roman" w:cs="Times New Roman"/>
        </w:rPr>
        <w:t xml:space="preserve">Sister White </w:t>
      </w:r>
      <w:r>
        <w:rPr>
          <w:rFonts w:ascii="Gadugi" w:hAnsi="Gadugi" w:eastAsia="Gadugi" w:cs="Gadugi"/>
        </w:rPr>
        <w:t>ᎤᏬᏢᏔᏅ</w:t>
      </w:r>
      <w:r>
        <w:rPr>
          <w:rFonts w:ascii="Times New Roman" w:hAnsi="Times New Roman" w:eastAsia="Times New Roman" w:cs="Times New Roman"/>
        </w:rPr>
        <w:t xml:space="preserve"> </w:t>
      </w:r>
      <w:r>
        <w:rPr>
          <w:rFonts w:ascii="Gadugi" w:hAnsi="Gadugi" w:eastAsia="Gadugi" w:cs="Gadugi"/>
        </w:rPr>
        <w:t>ᎠᎦᏙᎥᎢ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ᎤᏓᏍᏗᏱ</w:t>
      </w:r>
      <w:r>
        <w:rPr>
          <w:rFonts w:ascii="Times New Roman" w:hAnsi="Times New Roman" w:eastAsia="Times New Roman" w:cs="Times New Roman"/>
        </w:rPr>
        <w:t xml:space="preserve"> </w:t>
      </w:r>
      <w:r>
        <w:rPr>
          <w:rFonts w:ascii="Gadugi" w:hAnsi="Gadugi" w:eastAsia="Gadugi" w:cs="Gadugi"/>
        </w:rPr>
        <w:t>ᎠᏍᏓᏩᏗᏍᎬᎢ</w:t>
      </w:r>
      <w:r>
        <w:rPr>
          <w:rFonts w:ascii="Times New Roman" w:hAnsi="Times New Roman" w:eastAsia="Times New Roman" w:cs="Times New Roman"/>
        </w:rPr>
        <w:t xml:space="preserve"> </w:t>
      </w:r>
      <w:r>
        <w:rPr>
          <w:rFonts w:ascii="Gadugi" w:hAnsi="Gadugi" w:eastAsia="Gadugi" w:cs="Gadugi"/>
        </w:rPr>
        <w:t>ᎤᏙᎯᏳᎯᏯ</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ᎠᏓᏅᏙᏗᏍᎬ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ᎤᎵᏍᏓᏁᎸᎢ</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ᏗᎬᏩᏓᎴᏅᏛ</w:t>
      </w:r>
      <w:r>
        <w:rPr>
          <w:rFonts w:ascii="Times New Roman" w:hAnsi="Times New Roman" w:eastAsia="Times New Roman" w:cs="Times New Roman"/>
        </w:rPr>
        <w:t xml:space="preserve"> </w:t>
      </w:r>
      <w:r>
        <w:rPr>
          <w:rFonts w:ascii="Gadugi" w:hAnsi="Gadugi" w:eastAsia="Gadugi" w:cs="Gadugi"/>
        </w:rPr>
        <w:t>ᎤᏬᏢᏔᏅ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ᎤᏁᏍᏗ</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ᎤᏂᏣᏘᎩ</w:t>
      </w:r>
      <w:r>
        <w:rPr>
          <w:rFonts w:ascii="Times New Roman" w:hAnsi="Times New Roman" w:eastAsia="Times New Roman" w:cs="Times New Roman"/>
        </w:rPr>
        <w:t xml:space="preserve"> </w:t>
      </w:r>
      <w:r>
        <w:rPr>
          <w:rFonts w:ascii="Gadugi" w:hAnsi="Gadugi" w:eastAsia="Gadugi" w:cs="Gadugi"/>
        </w:rPr>
        <w:t>ᎬᏩᏓᏍᏗᏱ</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ᎤᏠᏱᎵᏍᎬ</w:t>
      </w:r>
      <w:r>
        <w:rPr>
          <w:rFonts w:ascii="Times New Roman" w:hAnsi="Times New Roman" w:eastAsia="Times New Roman" w:cs="Times New Roman"/>
        </w:rPr>
        <w:t xml:space="preserve"> </w:t>
      </w:r>
      <w:r>
        <w:rPr>
          <w:rFonts w:ascii="Gadugi" w:hAnsi="Gadugi" w:eastAsia="Gadugi" w:cs="Gadugi"/>
        </w:rPr>
        <w:t>ᎤᏁᏍᏗ</w:t>
      </w:r>
      <w:r>
        <w:rPr>
          <w:rFonts w:ascii="Times New Roman" w:hAnsi="Times New Roman" w:eastAsia="Times New Roman" w:cs="Times New Roman"/>
        </w:rPr>
        <w:t xml:space="preserve"> </w:t>
      </w:r>
      <w:r>
        <w:rPr>
          <w:rFonts w:ascii="Gadugi" w:hAnsi="Gadugi" w:eastAsia="Gadugi" w:cs="Gadugi"/>
        </w:rPr>
        <w:t>ᎤᏓᎾᏓᏁᎸ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ᎤᏓᏚᎪᏙᏗᏍᎬ</w:t>
      </w:r>
      <w:r>
        <w:rPr>
          <w:rFonts w:ascii="Times New Roman" w:hAnsi="Times New Roman" w:eastAsia="Times New Roman" w:cs="Times New Roman"/>
        </w:rPr>
        <w:t xml:space="preserve"> </w:t>
      </w:r>
      <w:r>
        <w:rPr>
          <w:rFonts w:ascii="Gadugi" w:hAnsi="Gadugi" w:eastAsia="Gadugi" w:cs="Gadugi"/>
        </w:rPr>
        <w:t>ᎠᎵᏖᎸᎢ</w:t>
      </w:r>
      <w:r>
        <w:rPr>
          <w:rFonts w:ascii="Times New Roman" w:hAnsi="Times New Roman" w:eastAsia="Times New Roman" w:cs="Times New Roman"/>
        </w:rPr>
        <w:t xml:space="preserve"> </w:t>
      </w:r>
      <w:r>
        <w:rPr>
          <w:rFonts w:ascii="Gadugi" w:hAnsi="Gadugi" w:eastAsia="Gadugi" w:cs="Gadugi"/>
        </w:rPr>
        <w:t>ᎤᎷᏤᎵᏍᏗ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ᎤᏠᏱᎵᏍᎬ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ᏗᎾᏓᎪᏙᏓᏁᎸ</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ᎠᏁᏉ</w:t>
      </w:r>
      <w:r>
        <w:rPr>
          <w:rFonts w:ascii="Times New Roman" w:hAnsi="Times New Roman" w:eastAsia="Times New Roman" w:cs="Times New Roman"/>
        </w:rPr>
        <w:t xml:space="preserve"> </w:t>
      </w:r>
      <w:r>
        <w:rPr>
          <w:rFonts w:ascii="Gadugi" w:hAnsi="Gadugi" w:eastAsia="Gadugi" w:cs="Gadugi"/>
        </w:rPr>
        <w:t>ᎤᏪᎸᎢ</w:t>
      </w:r>
      <w:r>
        <w:rPr>
          <w:rFonts w:ascii="Times New Roman" w:hAnsi="Times New Roman" w:eastAsia="Times New Roman" w:cs="Times New Roman"/>
        </w:rPr>
        <w:t xml:space="preserve"> Revelation 11 </w:t>
      </w:r>
      <w:r>
        <w:rPr>
          <w:rFonts w:ascii="Gadugi" w:hAnsi="Gadugi" w:eastAsia="Gadugi" w:cs="Gadugi"/>
        </w:rPr>
        <w:t>ᎠᎦᏙᎥᎢ</w:t>
      </w:r>
      <w:r>
        <w:rPr>
          <w:rFonts w:ascii="Times New Roman" w:hAnsi="Times New Roman" w:eastAsia="Times New Roman" w:cs="Times New Roman"/>
        </w:rPr>
        <w:t xml:space="preserve"> </w:t>
      </w:r>
      <w:r>
        <w:rPr>
          <w:rFonts w:ascii="Gadugi" w:hAnsi="Gadugi" w:eastAsia="Gadugi" w:cs="Gadugi"/>
        </w:rPr>
        <w:t>ᎤᎾᏙᏢᏒ</w:t>
      </w:r>
      <w:r>
        <w:rPr>
          <w:rFonts w:ascii="Times New Roman" w:hAnsi="Times New Roman" w:eastAsia="Times New Roman" w:cs="Times New Roman"/>
        </w:rPr>
        <w:t xml:space="preserve"> </w:t>
      </w:r>
      <w:r>
        <w:rPr>
          <w:rFonts w:ascii="Gadugi" w:hAnsi="Gadugi" w:eastAsia="Gadugi" w:cs="Gadugi"/>
        </w:rPr>
        <w:t>ᎤᏪᏘᎸ</w:t>
      </w:r>
      <w:r>
        <w:rPr>
          <w:rFonts w:ascii="Times New Roman" w:hAnsi="Times New Roman" w:eastAsia="Times New Roman" w:cs="Times New Roman"/>
        </w:rPr>
        <w:t xml:space="preserve"> </w:t>
      </w:r>
      <w:r>
        <w:rPr>
          <w:rFonts w:ascii="Gadugi" w:hAnsi="Gadugi" w:eastAsia="Gadugi" w:cs="Gadugi"/>
        </w:rPr>
        <w:t>ᎾᎿᎭᎠᏍᏓ</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ᏆᎴᏂ</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ᏧᏓᏅᏖᎸᎢ</w:t>
      </w:r>
      <w:r>
        <w:rPr>
          <w:rFonts w:ascii="Times New Roman" w:hAnsi="Times New Roman" w:eastAsia="Times New Roman" w:cs="Times New Roman"/>
        </w:rPr>
        <w:t xml:space="preserve"> </w:t>
      </w:r>
      <w:r>
        <w:rPr>
          <w:rFonts w:ascii="Gadugi" w:hAnsi="Gadugi" w:eastAsia="Gadugi" w:cs="Gadugi"/>
        </w:rPr>
        <w:t>ᏌᏂᏗ</w:t>
      </w:r>
      <w:r>
        <w:rPr>
          <w:rFonts w:ascii="Times New Roman" w:hAnsi="Times New Roman" w:eastAsia="Times New Roman" w:cs="Times New Roman"/>
        </w:rPr>
        <w:t xml:space="preserve"> </w:t>
      </w:r>
      <w:r>
        <w:rPr>
          <w:rFonts w:ascii="Gadugi" w:hAnsi="Gadugi" w:eastAsia="Gadugi" w:cs="Gadugi"/>
        </w:rPr>
        <w:t>ᎤᎾᏙᏢᏒ</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ᏗᏍᏆᏂᏱᎢᏍᏗᎢ</w:t>
      </w:r>
      <w:r>
        <w:rPr>
          <w:rFonts w:ascii="Times New Roman" w:hAnsi="Times New Roman" w:eastAsia="Times New Roman" w:cs="Times New Roman"/>
        </w:rPr>
        <w:t xml:space="preserve"> </w:t>
      </w:r>
      <w:r>
        <w:rPr>
          <w:rFonts w:ascii="Gadugi" w:hAnsi="Gadugi" w:eastAsia="Gadugi" w:cs="Gadugi"/>
        </w:rPr>
        <w:t>ᎠᎹᏰ</w:t>
      </w:r>
      <w:r>
        <w:rPr>
          <w:rFonts w:ascii="Leelawadee UI" w:hAnsi="Leelawadee UI" w:eastAsia="Leelawadee UI" w:cs="Leelawadee UI"/>
        </w:rPr>
        <w:t>ែ</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Templo Millerita ojejapo opa Peja Ko’ẽ Mbytepe, ohechauka hag̃ua pe sello oñemoĩha pe mbohapyha tendota juicio rehegua mboyve. Abraham ñe’ẽme’ẽme, pe mbohapyha hatua juicio rehegua ha’e vaʼekue Isaac yvyty Moriah ári, ohechauka hag̃ua ndahaʼéi Cristo añoite kurusu ári, síno avei levita-kuéra ofrénda Malaquías mbohapy-pe.</w:t>
      </w:r>
    </w:p>
    <w:p>
      <w:pPr>
        <w:pStyle w:val="ArticleScripture"/>
        <w:jc w:val="left"/>
      </w:pPr>
      <w:r>
        <w:rPr>
          <w:rFonts w:ascii="Times New Roman" w:hAnsi="Times New Roman" w:eastAsia="Times New Roman" w:cs="Times New Roman"/>
        </w:rPr>
        <w:t>Ase tenaa sɛ dwadeɛ no sɛefoɔ ne ne hohorofoɔ; na ɔbɛhohoro Lewi mma no, na ɔbɛtew wɔn ho sɛ sikakɔkɔɔ ne dwetɛ, na ama wɔde afɔrebɔ a ɛwɔ tenenee mu abrɛ Awurade. Na ɛno akyi no, Yuda ne Yerusalem afɔrebɔ no bɛyɛ nea ɛsɔ Awurade ani, sɛ tete nna no mu, ne sɛ mfeɛ a atwam no mu.</w:t>
      </w:r>
    </w:p>
    <w:p>
      <w:pPr>
        <w:pStyle w:val="ArticleScripture"/>
        <w:jc w:val="left"/>
      </w:pPr>
      <w:r>
        <w:rPr>
          <w:rFonts w:ascii="Times New Roman" w:hAnsi="Times New Roman" w:eastAsia="Times New Roman" w:cs="Times New Roman"/>
        </w:rPr>
        <w:t>Ewe ndzi lo, ma va kusuhi na n'wina ku ta avanyisa; naswona ndzi ta va mbhoni leyi hatlisaka ku lwa ni valoyi, ni lava endlaka vuoswi, ni lava hlambanyaka mavunwa, ni lava xanisaka mutirhi loyi a thoriweke emuholweni wa yena, non’wini, ni swisiwana, ni lava hambukisaka mupfhumba a susiwa exilungelweni xa yena, naswona a va ndzi chavi, ku vula Yehovha wa mavuthu. Malakiya 3:3–5.</w:t>
      </w:r>
    </w:p>
    <w:p>
      <w:pPr>
        <w:pStyle w:val="ArticleBody"/>
        <w:jc w:val="left"/>
      </w:pPr>
      <w:r>
        <w:rPr>
          <w:rFonts w:ascii="Ebrima" w:hAnsi="Ebrima" w:eastAsia="Ebrima" w:cs="Ebrima"/>
        </w:rPr>
        <w:t>ከመንጻት</w:t>
      </w:r>
      <w:r>
        <w:rPr>
          <w:rFonts w:ascii="Times New Roman" w:hAnsi="Times New Roman" w:eastAsia="Times New Roman" w:cs="Times New Roman"/>
        </w:rPr>
        <w:t xml:space="preserve"> </w:t>
      </w:r>
      <w:r>
        <w:rPr>
          <w:rFonts w:ascii="Ebrima" w:hAnsi="Ebrima" w:eastAsia="Ebrima" w:cs="Ebrima"/>
        </w:rPr>
        <w:t>ሂደቱ</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መሥዋዕቱ</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ጥንት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መሥዋዕቱ</w:t>
      </w:r>
      <w:r>
        <w:rPr>
          <w:rFonts w:ascii="Times New Roman" w:hAnsi="Times New Roman" w:eastAsia="Times New Roman" w:cs="Times New Roman"/>
        </w:rPr>
        <w:t xml:space="preserve"> </w:t>
      </w:r>
      <w:r>
        <w:rPr>
          <w:rFonts w:ascii="Ebrima" w:hAnsi="Ebrima" w:eastAsia="Ebrima" w:cs="Ebrima"/>
        </w:rPr>
        <w:t>በፍርድ</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ድርጊት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ይዘጋጃል፤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የተነጹና</w:t>
      </w:r>
      <w:r>
        <w:rPr>
          <w:rFonts w:ascii="Times New Roman" w:hAnsi="Times New Roman" w:eastAsia="Times New Roman" w:cs="Times New Roman"/>
        </w:rPr>
        <w:t xml:space="preserve"> </w:t>
      </w:r>
      <w:r>
        <w:rPr>
          <w:rFonts w:ascii="Ebrima" w:hAnsi="Ebrima" w:eastAsia="Ebrima" w:cs="Ebrima"/>
        </w:rPr>
        <w:t>የተዘጋጁት</w:t>
      </w:r>
      <w:r>
        <w:rPr>
          <w:rFonts w:ascii="Times New Roman" w:hAnsi="Times New Roman" w:eastAsia="Times New Roman" w:cs="Times New Roman"/>
        </w:rPr>
        <w:t xml:space="preserve"> </w:t>
      </w:r>
      <w:r>
        <w:rPr>
          <w:rFonts w:ascii="Ebrima" w:hAnsi="Ebrima" w:eastAsia="Ebrima" w:cs="Ebrima"/>
        </w:rPr>
        <w:t>ሌዋውያን፣</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ፈጣን</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ሊሆንባቸው</w:t>
      </w:r>
      <w:r>
        <w:rPr>
          <w:rFonts w:ascii="Times New Roman" w:hAnsi="Times New Roman" w:eastAsia="Times New Roman" w:cs="Times New Roman"/>
        </w:rPr>
        <w:t xml:space="preserve"> </w:t>
      </w:r>
      <w:r>
        <w:rPr>
          <w:rFonts w:ascii="Ebrima" w:hAnsi="Ebrima" w:eastAsia="Ebrima" w:cs="Ebrima"/>
        </w:rPr>
        <w:t>ከሚገባው</w:t>
      </w:r>
      <w:r>
        <w:rPr>
          <w:rFonts w:ascii="Times New Roman" w:hAnsi="Times New Roman" w:eastAsia="Times New Roman" w:cs="Times New Roman"/>
        </w:rPr>
        <w:t xml:space="preserve"> </w:t>
      </w:r>
      <w:r>
        <w:rPr>
          <w:rFonts w:ascii="Ebrima" w:hAnsi="Ebrima" w:eastAsia="Ebrima" w:cs="Ebrima"/>
        </w:rPr>
        <w:t>ሰነፍ</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ሲነጻጸሩ።</w:t>
      </w:r>
      <w:r>
        <w:rPr>
          <w:rFonts w:ascii="Times New Roman" w:hAnsi="Times New Roman" w:eastAsia="Times New Roman" w:cs="Times New Roman"/>
        </w:rPr>
        <w:t xml:space="preserve"> “</w:t>
      </w:r>
      <w:r>
        <w:rPr>
          <w:rFonts w:ascii="Ebrima" w:hAnsi="Ebrima" w:eastAsia="Ebrima" w:cs="Ebrima"/>
        </w:rPr>
        <w:t>ፈጣን</w:t>
      </w:r>
      <w:r>
        <w:rPr>
          <w:rFonts w:ascii="Times New Roman" w:hAnsi="Times New Roman" w:eastAsia="Times New Roman" w:cs="Times New Roman"/>
        </w:rPr>
        <w:t xml:space="preserve"> </w:t>
      </w:r>
      <w:r>
        <w:rPr>
          <w:rFonts w:ascii="Ebrima" w:hAnsi="Ebrima" w:eastAsia="Ebrima" w:cs="Ebrima"/>
        </w:rPr>
        <w:t>ምስክሩ</w:t>
      </w:r>
      <w:r>
        <w:rPr>
          <w:rFonts w:ascii="Times New Roman" w:hAnsi="Times New Roman" w:eastAsia="Times New Roman" w:cs="Times New Roman"/>
        </w:rPr>
        <w:t xml:space="preserve">” </w:t>
      </w:r>
      <w:r>
        <w:rPr>
          <w:rFonts w:ascii="Ebrima" w:hAnsi="Ebrima" w:eastAsia="Ebrima" w:cs="Ebrima"/>
        </w:rPr>
        <w:t>ለሎዶቅያ</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ታማኝ</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ሸብናን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ኳስ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ሩቅ</w:t>
      </w:r>
      <w:r>
        <w:rPr>
          <w:rFonts w:ascii="Times New Roman" w:hAnsi="Times New Roman" w:eastAsia="Times New Roman" w:cs="Times New Roman"/>
        </w:rPr>
        <w:t xml:space="preserve"> </w:t>
      </w:r>
      <w:r>
        <w:rPr>
          <w:rFonts w:ascii="Ebrima" w:hAnsi="Ebrima" w:eastAsia="Ebrima" w:cs="Ebrima"/>
        </w:rPr>
        <w:t>ሜዳ</w:t>
      </w:r>
      <w:r>
        <w:rPr>
          <w:rFonts w:ascii="Times New Roman" w:hAnsi="Times New Roman" w:eastAsia="Times New Roman" w:cs="Times New Roman"/>
        </w:rPr>
        <w:t xml:space="preserve"> </w:t>
      </w:r>
      <w:r>
        <w:rPr>
          <w:rFonts w:ascii="Ebrima" w:hAnsi="Ebrima" w:eastAsia="Ebrima" w:cs="Ebrima"/>
        </w:rPr>
        <w:t>የሚጥለው፣</w:t>
      </w:r>
      <w:r>
        <w:rPr>
          <w:rFonts w:ascii="Times New Roman" w:hAnsi="Times New Roman" w:eastAsia="Times New Roman" w:cs="Times New Roman"/>
        </w:rPr>
        <w:t xml:space="preserve"> </w:t>
      </w:r>
      <w:r>
        <w:rPr>
          <w:rFonts w:ascii="Ebrima" w:hAnsi="Ebrima" w:eastAsia="Ebrima" w:cs="Ebrima"/>
        </w:rPr>
        <w:t>ሎዶቅያኖስንም</w:t>
      </w:r>
      <w:r>
        <w:rPr>
          <w:rFonts w:ascii="Times New Roman" w:hAnsi="Times New Roman" w:eastAsia="Times New Roman" w:cs="Times New Roman"/>
        </w:rPr>
        <w:t xml:space="preserve"> </w:t>
      </w:r>
      <w:r>
        <w:rPr>
          <w:rFonts w:ascii="Ebrima" w:hAnsi="Ebrima" w:eastAsia="Ebrima" w:cs="Ebrima"/>
        </w:rPr>
        <w:t>ከአፉ</w:t>
      </w:r>
      <w:r>
        <w:rPr>
          <w:rFonts w:ascii="Times New Roman" w:hAnsi="Times New Roman" w:eastAsia="Times New Roman" w:cs="Times New Roman"/>
        </w:rPr>
        <w:t xml:space="preserve"> </w:t>
      </w:r>
      <w:r>
        <w:rPr>
          <w:rFonts w:ascii="Ebrima" w:hAnsi="Ebrima" w:eastAsia="Ebrima" w:cs="Ebrima"/>
        </w:rPr>
        <w:t>በፕሮጀክታይል</w:t>
      </w:r>
      <w:r>
        <w:rPr>
          <w:rFonts w:ascii="Times New Roman" w:hAnsi="Times New Roman" w:eastAsia="Times New Roman" w:cs="Times New Roman"/>
        </w:rPr>
        <w:t xml:space="preserve"> </w:t>
      </w:r>
      <w:r>
        <w:rPr>
          <w:rFonts w:ascii="Ebrima" w:hAnsi="Ebrima" w:eastAsia="Ebrima" w:cs="Ebrima"/>
        </w:rPr>
        <w:t>ትውከት</w:t>
      </w:r>
      <w:r>
        <w:rPr>
          <w:rFonts w:ascii="Times New Roman" w:hAnsi="Times New Roman" w:eastAsia="Times New Roman" w:cs="Times New Roman"/>
        </w:rPr>
        <w:t xml:space="preserve"> </w:t>
      </w:r>
      <w:r>
        <w:rPr>
          <w:rFonts w:ascii="Ebrima" w:hAnsi="Ebrima" w:eastAsia="Ebrima" w:cs="Ebrima"/>
        </w:rPr>
        <w:t>የሚያስወጣው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የስንዴና</w:t>
      </w:r>
      <w:r>
        <w:rPr>
          <w:rFonts w:ascii="Times New Roman" w:hAnsi="Times New Roman" w:eastAsia="Times New Roman" w:cs="Times New Roman"/>
        </w:rPr>
        <w:t xml:space="preserve"> </w:t>
      </w:r>
      <w:r>
        <w:rPr>
          <w:rFonts w:ascii="Ebrima" w:hAnsi="Ebrima" w:eastAsia="Ebrima" w:cs="Ebrima"/>
        </w:rPr>
        <w:t>የእንክርዳድ</w:t>
      </w:r>
      <w:r>
        <w:rPr>
          <w:rFonts w:ascii="Times New Roman" w:hAnsi="Times New Roman" w:eastAsia="Times New Roman" w:cs="Times New Roman"/>
        </w:rPr>
        <w:t xml:space="preserve"> </w:t>
      </w:r>
      <w:r>
        <w:rPr>
          <w:rFonts w:ascii="Ebrima" w:hAnsi="Ebrima" w:eastAsia="Ebrima" w:cs="Ebrima"/>
        </w:rPr>
        <w:t>መለየት</w:t>
      </w:r>
      <w:r>
        <w:rPr>
          <w:rFonts w:ascii="Times New Roman" w:hAnsi="Times New Roman" w:eastAsia="Times New Roman" w:cs="Times New Roman"/>
        </w:rPr>
        <w:t xml:space="preserve"> </w:t>
      </w:r>
      <w:r>
        <w:rPr>
          <w:rFonts w:ascii="Ebrima" w:hAnsi="Ebrima" w:eastAsia="Ebrima" w:cs="Ebrima"/>
        </w:rPr>
        <w:t>ፈጣን</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እንቅስቃሴዎች</w:t>
      </w:r>
      <w:r>
        <w:rPr>
          <w:rFonts w:ascii="Times New Roman" w:hAnsi="Times New Roman" w:eastAsia="Times New Roman" w:cs="Times New Roman"/>
        </w:rPr>
        <w:t xml:space="preserve"> </w:t>
      </w:r>
      <w:r>
        <w:rPr>
          <w:rFonts w:ascii="Ebrima" w:hAnsi="Ebrima" w:eastAsia="Ebrima" w:cs="Ebrima"/>
        </w:rPr>
        <w:t>ፈጣኖች</w:t>
      </w:r>
      <w:r>
        <w:rPr>
          <w:rFonts w:ascii="Times New Roman" w:hAnsi="Times New Roman" w:eastAsia="Times New Roman" w:cs="Times New Roman"/>
        </w:rPr>
        <w:t xml:space="preserve"> </w:t>
      </w:r>
      <w:r>
        <w:rPr>
          <w:rFonts w:ascii="Ebrima" w:hAnsi="Ebrima" w:eastAsia="Ebrima" w:cs="Ebrima"/>
        </w:rPr>
        <w:t>ናቸውና።</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ፈጣን</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በሚልክያስ</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ድንገት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የሚመጣው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Leelawadee UI" w:hAnsi="Leelawadee UI" w:eastAsia="Leelawadee UI" w:cs="Leelawadee UI"/>
        </w:rPr>
        <w:t>ការលើកតង្វាយឡើងនៅក្នុងមលាគី</w:t>
      </w:r>
      <w:r>
        <w:rPr>
          <w:rFonts w:ascii="Times New Roman" w:hAnsi="Times New Roman" w:eastAsia="Times New Roman" w:cs="Times New Roman"/>
        </w:rPr>
        <w:t xml:space="preserve"> «</w:t>
      </w:r>
      <w:r>
        <w:rPr>
          <w:rFonts w:ascii="Leelawadee UI" w:hAnsi="Leelawadee UI" w:eastAsia="Leelawadee UI" w:cs="Leelawadee UI"/>
        </w:rPr>
        <w:t>ដូចនៅក្នុងថ្ងៃបុរាណ</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គឺជាការលើកទង់សញ្ញារបស់មួយសែនសែសិបបួនពាន់ឡើង</w:t>
      </w:r>
      <w:r>
        <w:rPr>
          <w:rFonts w:ascii="Times New Roman" w:hAnsi="Times New Roman" w:eastAsia="Times New Roman" w:cs="Times New Roman"/>
        </w:rPr>
        <w:t xml:space="preserve">; </w:t>
      </w:r>
      <w:r>
        <w:rPr>
          <w:rFonts w:ascii="Leelawadee UI" w:hAnsi="Leelawadee UI" w:eastAsia="Leelawadee UI" w:cs="Leelawadee UI"/>
        </w:rPr>
        <w:t>វាជាការលើកតង្វាយនំប៉័ងរលកពីរនៃថ្ងៃប៉ង់ទីកុស្តឡើង</w:t>
      </w:r>
      <w:r>
        <w:rPr>
          <w:rFonts w:ascii="Times New Roman" w:hAnsi="Times New Roman" w:eastAsia="Times New Roman" w:cs="Times New Roman"/>
        </w:rPr>
        <w:t xml:space="preserve">; </w:t>
      </w:r>
      <w:r>
        <w:rPr>
          <w:rFonts w:ascii="Leelawadee UI" w:hAnsi="Leelawadee UI" w:eastAsia="Leelawadee UI" w:cs="Leelawadee UI"/>
        </w:rPr>
        <w:t>វាជាការលើកពស់លើបង្គោលនៅទីរហោស្ថានឡើង</w:t>
      </w:r>
      <w:r>
        <w:rPr>
          <w:rFonts w:ascii="Times New Roman" w:hAnsi="Times New Roman" w:eastAsia="Times New Roman" w:cs="Times New Roman"/>
        </w:rPr>
        <w:t xml:space="preserve">; </w:t>
      </w:r>
      <w:r>
        <w:rPr>
          <w:rFonts w:ascii="Leelawadee UI" w:hAnsi="Leelawadee UI" w:eastAsia="Leelawadee UI" w:cs="Leelawadee UI"/>
        </w:rPr>
        <w:t>វាជាការលើកព្រះគ្រីស្ទឡើងលើឈើឆ្កាង</w:t>
      </w:r>
      <w:r>
        <w:rPr>
          <w:rFonts w:ascii="Times New Roman" w:hAnsi="Times New Roman" w:eastAsia="Times New Roman" w:cs="Times New Roman"/>
        </w:rPr>
        <w:t xml:space="preserve"> </w:t>
      </w:r>
      <w:r>
        <w:rPr>
          <w:rFonts w:ascii="Leelawadee UI" w:hAnsi="Leelawadee UI" w:eastAsia="Leelawadee UI" w:cs="Leelawadee UI"/>
        </w:rPr>
        <w:t>ហើយវាជាការលើកសាដ្រាក់</w:t>
      </w:r>
      <w:r>
        <w:rPr>
          <w:rFonts w:ascii="Times New Roman" w:hAnsi="Times New Roman" w:eastAsia="Times New Roman" w:cs="Times New Roman"/>
        </w:rPr>
        <w:t xml:space="preserve"> </w:t>
      </w:r>
      <w:r>
        <w:rPr>
          <w:rFonts w:ascii="Leelawadee UI" w:hAnsi="Leelawadee UI" w:eastAsia="Leelawadee UI" w:cs="Leelawadee UI"/>
        </w:rPr>
        <w:t>មេសាក់</w:t>
      </w:r>
      <w:r>
        <w:rPr>
          <w:rFonts w:ascii="Times New Roman" w:hAnsi="Times New Roman" w:eastAsia="Times New Roman" w:cs="Times New Roman"/>
        </w:rPr>
        <w:t xml:space="preserve"> </w:t>
      </w:r>
      <w:r>
        <w:rPr>
          <w:rFonts w:ascii="Leelawadee UI" w:hAnsi="Leelawadee UI" w:eastAsia="Leelawadee UI" w:cs="Leelawadee UI"/>
        </w:rPr>
        <w:t>និងអាបេឌ្នេកោឡើងនៅក្នុងគុកភ្លើងដ៏ឆេះសន្ធោសន្ធៅជាមួយព្រះគ្រីស្ទ</w:t>
      </w:r>
      <w:r>
        <w:rPr>
          <w:rFonts w:ascii="Times New Roman" w:hAnsi="Times New Roman" w:eastAsia="Times New Roman" w:cs="Times New Roman"/>
        </w:rPr>
        <w:t xml:space="preserve"> </w:t>
      </w:r>
      <w:r>
        <w:rPr>
          <w:rFonts w:ascii="Leelawadee UI" w:hAnsi="Leelawadee UI" w:eastAsia="Leelawadee UI" w:cs="Leelawadee UI"/>
        </w:rPr>
        <w:t>ខណៈដែលពិភពលោកទាំងមូលស្ញប់ស្ញែង</w:t>
      </w:r>
      <w:r>
        <w:rPr>
          <w:rFonts w:ascii="Times New Roman" w:hAnsi="Times New Roman" w:eastAsia="Times New Roman" w:cs="Times New Roman"/>
        </w:rPr>
        <w:t xml:space="preserve"> </w:t>
      </w:r>
      <w:r>
        <w:rPr>
          <w:rFonts w:ascii="Leelawadee UI" w:hAnsi="Leelawadee UI" w:eastAsia="Leelawadee UI" w:cs="Leelawadee UI"/>
        </w:rPr>
        <w:t>និងងឿងឆ្ងល់</w:t>
      </w:r>
      <w:r>
        <w:rPr>
          <w:rFonts w:ascii="Times New Roman" w:hAnsi="Times New Roman" w:eastAsia="Times New Roman" w:cs="Times New Roman"/>
        </w:rPr>
        <w:t xml:space="preserve">; </w:t>
      </w:r>
      <w:r>
        <w:rPr>
          <w:rFonts w:ascii="Leelawadee UI" w:hAnsi="Leelawadee UI" w:eastAsia="Leelawadee UI" w:cs="Leelawadee UI"/>
        </w:rPr>
        <w:t>វាជាការបោះពុម្ពផ្សាយផ្ទាំងគំនូសតាងឆ្នាំ</w:t>
      </w:r>
      <w:r>
        <w:rPr>
          <w:rFonts w:ascii="Times New Roman" w:hAnsi="Times New Roman" w:eastAsia="Times New Roman" w:cs="Times New Roman"/>
        </w:rPr>
        <w:t xml:space="preserve"> 1843 </w:t>
      </w:r>
      <w:r>
        <w:rPr>
          <w:rFonts w:ascii="Leelawadee UI" w:hAnsi="Leelawadee UI" w:eastAsia="Leelawadee UI" w:cs="Leelawadee UI"/>
        </w:rPr>
        <w:t>និងគោលបំណងដែលបានកំណត់ទុកសម្រាប់ផ្ទាំងគំនូសតាងឆ្នាំ</w:t>
      </w:r>
      <w:r>
        <w:rPr>
          <w:rFonts w:ascii="Times New Roman" w:hAnsi="Times New Roman" w:eastAsia="Times New Roman" w:cs="Times New Roman"/>
        </w:rPr>
        <w:t xml:space="preserve"> 1850</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Abrahamın əhdinin ikinci mərhələsində sünnət ayini təsis olunub icra edilməyə başlandı və beləliklə, əhdin nişanəsi oldu. Abraham, Musadan fərqli olaraq, İshaqı dərhal sünnət etdi; buna görə də onu üçüncü mərhələdə qurban kimi qaldıranda, İshaq həmin nişanəni təmsil edəcəkdi. Sonradan həmin nişanə vəftizlə əvəz ediləcəkdi; bu iki nişan birlikdə çarmıxın nişanəsinə iki şahidlik verir.</w:t>
      </w:r>
    </w:p>
    <w:p>
      <w:pPr>
        <w:pStyle w:val="ArticleScripture"/>
        <w:jc w:val="left"/>
      </w:pPr>
      <w:r>
        <w:rPr>
          <w:rFonts w:ascii="Times New Roman" w:hAnsi="Times New Roman" w:eastAsia="Times New Roman" w:cs="Times New Roman"/>
        </w:rPr>
        <w:t>“¿Cuál es el sello del Dios vivo, que es puesto en las frentes de Su pueblo? Es una marca que los ángeles, pero no los ojos humanos, pueden leer; porque el ángel destructor debe ver esta señal de redención. La mente inteligente ha visto la señal de la cruz del Calvario en los hijos y las hijas adoptivos del Señor. El pecado de la transgresión de la ley de Dios es quitado. Tienen puesto el vestido de bodas, y son obedientes y fieles a todos los mandamientos de Dios.” Manuscript Release, número 21, 51.</w:t>
      </w:r>
    </w:p>
    <w:p>
      <w:pPr>
        <w:pStyle w:val="ArticleBody"/>
        <w:jc w:val="left"/>
      </w:pPr>
      <w:r>
        <w:rPr>
          <w:rFonts w:ascii="Times New Roman" w:hAnsi="Times New Roman" w:eastAsia="Times New Roman" w:cs="Times New Roman"/>
        </w:rPr>
        <w:t>مەودای یەکەم لە پەیمانەکەی سەردەمی دەرهێنانی ١٥، پێشبینییەکی کاتی بۆ ٤٠٠ ساڵ لە کۆیلایەتی دیاری کراوە، و پۆڵەس هەمان ماوە وەک ٤٣٠ ساڵ ناساندووە. حیسابی پۆڵەس لە بانگەوازەکە لە دەرهێنانی ١٢ دەست پێ دەکات، چونکە ماوەی ئاوارەبوونی ئەبرامیش لەخۆ دەگرێت. کاتێک بە وردی لێی وردبینرێت، چوار سەد ساڵ لە پەیوەندی بە سی ساڵەوە یەک هێمایە کە پۆڵەس خستیەڕوو، و چوار سەد ساڵەکەی کە ئەبرام خستیەڕوو هێمایەکی دیکەیە. کەواتە، ماوەی چوار سەد ساڵ چی نوێنەرایەتی دەکات، و ماوەی چوار سەد و سی ساڵ چی نوێنەرایەتی دەکات، و سی ساڵەکە چی نوێنەرایەتی دەکات؟</w:t>
      </w:r>
    </w:p>
    <w:p>
      <w:pPr>
        <w:pStyle w:val="ArticleBody"/>
        <w:jc w:val="left"/>
      </w:pPr>
      <w:r>
        <w:rPr>
          <w:rFonts w:ascii="Times New Roman" w:hAnsi="Times New Roman" w:eastAsia="Times New Roman" w:cs="Times New Roman"/>
        </w:rPr>
        <w:t>Los eruditos han demostrado acertadamente que los cuatrocientos treinta años pueden dividirse en dos períodos de doscientos quince años: el primer período libre de servidumbre y esclavitud; el segundo, de esclavitud.</w:t>
      </w:r>
    </w:p>
    <w:p>
      <w:pPr>
        <w:pStyle w:val="ArticleBody"/>
        <w:jc w:val="left"/>
      </w:pPr>
      <w:r>
        <w:rPr>
          <w:rFonts w:ascii="Times New Roman" w:hAnsi="Times New Roman" w:eastAsia="Times New Roman" w:cs="Times New Roman"/>
        </w:rPr>
        <w:t>Abraham Canaan-a 75 nəlin ayrısına kirdi, u Isaac Abraham 100 nəlin bulğanda tuwıldı (25 nəl keyin). Jacob Isaac 60 nəlin bulğanda tuwıldı, u Jacob 130 nəlin bulğanda Egypt-a kirdi. Bu Canaan-da 215 nəl u Egypt-ta 215 nəl, jami 430 nəl boladı. Payğəmbərlikni ögriniwshi üşin, bu ekki əhd rəmzinen kelgen ekki şaһadətnı beredi, çünki Paul, Abram menen bolğanday, atı özgertilgen edi. Paul 430-nı, al Abram 400-dı körsetedi. Bir-birine baylanısqan ekki waqıt payğəmbərliginin qatır üstine qatır tolınıwı, Qudaynıŋ saylanğan xalqınıŋ ornatılıwına alıp kelgen birinşi əhd dāwirige baylanıslıdır.</w:t>
      </w:r>
    </w:p>
    <w:p>
      <w:pPr>
        <w:pStyle w:val="ArticleBody"/>
        <w:jc w:val="left"/>
      </w:pPr>
      <w:r>
        <w:rPr>
          <w:rFonts w:ascii="Times New Roman" w:hAnsi="Times New Roman" w:eastAsia="Times New Roman" w:cs="Times New Roman"/>
        </w:rPr>
        <w:t>هنگامی که مسیح به درون تاریخ آمد تا عهد را با بسیاری برای یک هفته استوار سازد، آن هفته نمایانگر دو نبوت زمانیِ به‌هم‌پیوسته بود. نبوت چهارصد و سی‌سالهٔ پولس را می‌توان، همانند هفتهٔ مسیح، به دو بخش مساوی تقسیم کرد: ۲۱۵ سال در کنعان، و پس از آن ۲۱۵ سال در مصر؛ که گواهیِ مسیح را به‌صورت شخصی برای ۱۲۶۰ روز نمونه‌وار می‌نمایاند، و پس از آن ۱۲۶۰ روزِ گواهیِ مسیح در شخصِ شاگردانِ او را. ۲۵۲۰ روزی که مسیح عهد را استوار ساخت نیز نمایانگر آن «هفت زمان» است که «مخاصمهٔ عهدِ او» می‌باشد.</w:t>
      </w:r>
    </w:p>
    <w:p>
      <w:pPr>
        <w:pStyle w:val="ArticleBody"/>
        <w:jc w:val="left"/>
      </w:pPr>
      <w:r>
        <w:rPr>
          <w:rFonts w:ascii="Times New Roman" w:hAnsi="Times New Roman" w:eastAsia="Times New Roman" w:cs="Times New Roman"/>
        </w:rPr>
        <w:t>من سنة 723 ق.م إلى سنة 1798 م تمتدّ 2520 سنة، وهذه السنوات منقسمة إلى فترتين، كلّ منهما 1260 سنة، تمثّلان وثنيةً تدوس المقدس والجند مدة 1260 سنة، تتبعها بابويةٌ تدوس المقدس والجند مدة 1260 سنة. وكان وسط أسبوع المسيح هو الصليب، ووسط الأسبوع (538) يُنتج 1260 سنة من شهادة الوثنية، تليها 1260 سنة من شهادة الوثنية الصادرة عن التلميذ البابوي للوثنية. وحين تمكّن ملكوت نعمة المسيح عند الصليب، كان ذلك رمزًا مسبقًا لسنة 538، حين تمكّن ملكوت ضدّ المسيح. وعند الصليب، جرى تجاوز إسرائيل الحرفي وبدأ إسرائيل الروحي. وفي سنة 538، جرى تجاوز الوثنية الحرفية وبدأت الوثنية الروحية.</w:t>
      </w:r>
    </w:p>
    <w:p>
      <w:pPr>
        <w:pStyle w:val="ArticleBody"/>
        <w:jc w:val="left"/>
      </w:pPr>
      <w:r>
        <w:rPr>
          <w:rFonts w:ascii="Times New Roman" w:hAnsi="Times New Roman" w:eastAsia="Times New Roman" w:cs="Times New Roman"/>
        </w:rPr>
        <w:t>ایبرام کی چار سو برس کی نبوت، چار سو تیس برس بھی ہے۔ یہ ایک ہی نبوت ہے، مگر عہد کی دو علامتوں کے ذریعے پیش کی گئی ہے۔ یہ دو باہم مربوط زمانی نبوتیں خدا کے لوگوں کی غلامی اور رہائی کی نشان دہی کرتی تھیں، جن کی تکمیل قدیم اسرائیل کی عہدی تاریخ کے آغاز میں ہونا تھی۔ قدیم اسرائیل کی عہدی تاریخ کے اختتام پر، ایک زمانی نبوت دوسری کے ساتھ، ایک دن برائے ایک سال کے تعلق میں، ہم آہنگ ہوتی ہے؛ یوں دو زمانی نبوتوں کی نشان دہی ہوتی ہے جو رہائی اور غلامی پر زور دیتی ہیں۔</w:t>
      </w:r>
    </w:p>
    <w:p>
      <w:pPr>
        <w:pStyle w:val="ArticleBody"/>
        <w:jc w:val="left"/>
      </w:pPr>
      <w:r>
        <w:rPr>
          <w:rFonts w:ascii="Times New Roman" w:hAnsi="Times New Roman" w:eastAsia="Times New Roman" w:cs="Times New Roman"/>
        </w:rPr>
        <w:t>قەدیمی ئیسرائیلنىڭ باشلىنىشى ۋە ئاخىرلىشىشىدىكى تارىخنىڭ ئوتتۇرىسىدا، بىز بابىل ئەسىرلىكىدە دانييالنى كۆرىمىز. قۇللۇقنى ۋە قۇتقۇزۇلۇش ۋەدىسىنى بەلگىلەيدىغان شۇ ئەھدە تارىخىدىن، قەدیمی ئیسرائیلنىڭ ئەھدە تارىخىنى زامانىۋى ئیسرائیلنىڭ ئەھدە تارىخى بىلەن باغلايدىغان نۇبۇۋۋەت ئوتتۇرىغا قويۇلغان. دانييال كىتابىدا ئىككى ۋاقىت-نۇبۇۋۋىتى بېكىتىلگەن. لاۋىييلەر 26-بابتىكى مۇسانىڭ «يەتتە ۋاقىت» دېگەن «قەسىمى» دانييال 9/11 دە تونۇشتۇرۇلغان؛ شۇنىڭدەك، دانييال 8-باب 13-ئايەتتىكى سوئال، 14-ئايەتتىكى جاۋابقا ئېلىپ بارىدۇ، ئۇ بولسا 2300 يىللىق نۇبۇۋۋەتنى بەلگىلەيدۇ. ئەگەر بۇزۇلسا، دانييال 9:11 دە «مۇسانىڭ لەنىتى» بولىدىغان بۇ «قەسەم»، مىلادىدىن ئىلگىرىكى 677-يىلى جەنۇبىي پادىشاھلىق ئۈستىدە ئىجرا قىلىنغاندا، 1844-يىلى 22-ئۆكتەبىردە ئاخىرلاشتى؛ 2300 يىللارمۇ شۇ كۈنى ئاخىرلاشقان. ئىككى 2520 تارقىتىلىش دەۋرىنىڭ ھەر ئىككىسى 13-ئايەتتىكى سوئالدا جايلاشقان، 14-ئايەتتىكى جاۋاب بولسا 2300 دۇر.</w:t>
      </w:r>
    </w:p>
    <w:p>
      <w:pPr>
        <w:pStyle w:val="ArticleBody"/>
        <w:jc w:val="left"/>
      </w:pPr>
      <w:r>
        <w:rPr>
          <w:rFonts w:ascii="Times New Roman" w:hAnsi="Times New Roman" w:eastAsia="Times New Roman" w:cs="Times New Roman"/>
        </w:rPr>
        <w:t>Мойсейн адил, эртний Израилийн гэрээний түүхийн альфа байсанчлан, мөн Христийн адил, эртний Израилийн гэрээний түүхийн омега байсанчлан, орчин үеийн Израилийн эхлэл болох альфа түүх нь хоорондоо уялдаа холбоотой хоёр цаг хугацааны эш үзүүллэгийг багтаасан байв. Тэдгээрийн нэг нь боолчлол ба дарлалыг, нөгөө нь чөлөөлөлтийг илэрхийлж байлаа. Эртний Израилийн альфа түүх дэх 430 жилийн хоёр тэнцүү хугацаанд хуваагдсан байдал нь, Христ гэрээг баталгаажуулсан долоо хоногт давтагдсан эш үзүүллэгийн хуваагдал болон, гэрээг зөрчсөний төлөөх шүүлтийн хоорондоо уялдаа холбоотой хугацаа нь мөн хоёр тэнцүү хэсэгт хуваагдсанаар, хоёр гэрчийг тогтоож, орчин үеийн Израилийн альфа түүх ч мөн адил төстэй эш үзүүллэгийн зангуутай байхыг харуулдаг. 2520 жил ба 2300 жил хамтдаа төгсөж байгаа нь, дундаа тэнцүү хуваагдсан эш үзүүллэгийг агуулдаг, хоорондоо уялдаа холбоотой хоёр цаг хугацааны эш үзүүллэгийн гурав дахь гэрчийг бүрдүүлдэг.</w:t>
      </w:r>
    </w:p>
    <w:p>
      <w:pPr>
        <w:pStyle w:val="ArticleBody"/>
        <w:jc w:val="left"/>
      </w:pPr>
      <w:r>
        <w:rPr>
          <w:rFonts w:ascii="Times New Roman" w:hAnsi="Times New Roman" w:eastAsia="Times New Roman" w:cs="Times New Roman"/>
        </w:rPr>
        <w:t>Ûç şahid, bir candı şu beklentiye sevq etär edi ki, Rəb modern İsrailning omega tarixidä yuz qırq tört ming bilen ähdqa kirgändä, peyğämbärlik waqtiğa aid bir-biri bilen bağlı iki peyğämbärlik, hem de ikki barawar qisimğa bölüngän ona alaqidar bir däwir bolur; lékin bu undaq bolalmaydu, çünki Rəb modern İsrail bilen ähdqa kirgän çäğdä, Öz qolini asmanğa kötürüp, waqitning endi bolmaydighanlighini e’lan qilğan edi.</w:t>
      </w:r>
    </w:p>
    <w:p>
      <w:pPr>
        <w:pStyle w:val="ArticleBody"/>
        <w:jc w:val="left"/>
      </w:pPr>
      <w:r>
        <w:rPr>
          <w:rFonts w:ascii="Times New Roman" w:hAnsi="Times New Roman" w:eastAsia="Times New Roman" w:cs="Times New Roman"/>
        </w:rPr>
        <w:t>قراردادِ ایک لاکھ چوالیس ہزار کی نمائندگی اولین پھل کی گیہوں کی نذر کی دو لہرانے والی روٹیوں سے کی گئی ہے۔ تین گواہوں کی نبوتی ساخت، جس کے بعد دوہری گواہی آتی ہے جو نبوتی وقت کے امتیاز سے خالی ہے، ابرام کی اُس قربانی میں پائی جاتی ہے جس میں ایک گائے کا بچھڑا (جسے برابر برابر تقسیم کیا گیا تھا)، ایک مادہ بکری (جسے برابر برابر تقسیم کیا گیا تھا)، اور ایک مینڈھا (جسے برابر برابر تقسیم کیا گیا تھا) شامل تھے، اور ان کے بعد ایک فاختہ اور ایک کبوتر تھے۔</w:t>
      </w:r>
    </w:p>
    <w:p>
      <w:pPr>
        <w:pStyle w:val="ArticleBody"/>
        <w:jc w:val="left"/>
      </w:pPr>
      <w:r>
        <w:rPr>
          <w:rFonts w:ascii="Times New Roman" w:hAnsi="Times New Roman" w:eastAsia="Times New Roman" w:cs="Times New Roman"/>
        </w:rPr>
        <w:t>Nyɛlabɔli kãŋa ala sɛ suɔ hĩin-sahɛe ala nɛ yele kɔŋmɔgɔiŋ nɛi saŋa aata, ka dĩn pɔɔra a sɛ bɛ tɛrɛ suɔ hĩin-sahɛe aata nɛ nyɛlabɔli kaala. Kɛɛlɛ mɛni saŋa aata nɛ suɔ hĩin-sahɛe ala bɛ nyɛlabɔli kaala, bɛ kɛ na nyɛlabɔli kaala kɛɛlɛ bɛ nɛ yɔɔli ka bɔɔra lɛlɛɛ nɛ yele aayi. Gɔn-tɔrɛ laa pigiɔnɛ nɛ saŋa bɔɔ attachedɛ a, bɛ dɔɔra pɛ bɛ na yɛ dɛ nyɛnɛ, baa dĩn tɛrɛ layiri zamana pɔɔra nɛ kɔvinanti nimbɛ, kɛ nɛ yele nɛ tɔrɛ aayi laa pɔɔli aayi.</w:t>
      </w:r>
    </w:p>
    <w:p>
      <w:pPr>
        <w:pStyle w:val="ArticleBody"/>
        <w:jc w:val="left"/>
      </w:pPr>
      <w:r>
        <w:rPr>
          <w:rFonts w:ascii="Times New Roman" w:hAnsi="Times New Roman" w:eastAsia="Times New Roman" w:cs="Times New Roman"/>
        </w:rPr>
        <w:t>Ningi zimbusi zimirira imbaga y’abantu benshi n’abihumbi ijana na mirongo ine na bine, ariko inyoni ebyiri zifite ubusobanuro bwa kabiri. Inuma ni kimwe mu bitambo byo mu buturo bwera, kandi iyo ushakishije uko inuma imenyekana nk’igitambo, kenshi usanga bivuga ubwoko bw’inuma; naho inuma yo mu gitambo cya Abramu yo iranga inyoni ikiri nto cyane ku buryo itaramera amababa, cyangwa ikirushijeho kuba kibi, inyoni yakuwemo amababa. Kuri uru rwego rw’ubuhanuzi, izo nyoni ebyiri ni ingano n’urumamfu.</w:t>
      </w:r>
    </w:p>
    <w:p>
      <w:pPr>
        <w:pStyle w:val="ArticleBody"/>
        <w:jc w:val="left"/>
      </w:pPr>
      <w:r>
        <w:rPr>
          <w:rFonts w:ascii="Times New Roman" w:hAnsi="Times New Roman" w:eastAsia="Times New Roman" w:cs="Times New Roman"/>
        </w:rPr>
        <w:t>Sa mga huling araw, ang watawat ay itataas sa kalangitan na gaya ng isang ibon, at gagawin ito sa mismong panahong ang dalawang maruming ibon ay mag-aangat ng kasamaan at ilalagay siya sa kaniyang trono sa Shinar.</w:t>
      </w:r>
    </w:p>
    <w:p>
      <w:pPr>
        <w:pStyle w:val="ArticleScripture"/>
        <w:jc w:val="left"/>
      </w:pPr>
      <w:r>
        <w:rPr>
          <w:rFonts w:ascii="Times New Roman" w:hAnsi="Times New Roman" w:eastAsia="Times New Roman" w:cs="Times New Roman"/>
        </w:rPr>
        <w:t>Ma eñoto nuto pu ánhel a nakipagsaritaan kaniak ket simmango, ket kinunana kaniak, Itan-okmo man ta mataim, ket kitaem no anya daytoy a rumuar. Ket kinunak, Ania dayta? Ket kinunana, Daytoy ti maysa nga epa a rumuar. Kinunana pay, Daytoy ti pannakailangadanda iti intero a daga. Ket, adtoy, naitag-ay ti maysa a talento a plomo: ket daytoy ti maysa a babai nga agtugtugaw iti tengnga ti epa.</w:t>
      </w:r>
    </w:p>
    <w:p>
      <w:pPr>
        <w:pStyle w:val="ArticleScripture"/>
        <w:jc w:val="left"/>
      </w:pPr>
      <w:r>
        <w:rPr>
          <w:rFonts w:ascii="Times New Roman" w:hAnsi="Times New Roman" w:eastAsia="Times New Roman" w:cs="Times New Roman"/>
        </w:rPr>
        <w:t>Ini tiotiocha, “Cayca mana alli ruraymi.” Chaymanta chayta efapa chawpinman wijchurqan; hinaspa plomomanta lasaqta siminman churaykurqan.</w:t>
      </w:r>
    </w:p>
    <w:p>
      <w:pPr>
        <w:pStyle w:val="ArticleScripture"/>
        <w:jc w:val="left"/>
      </w:pPr>
      <w:r>
        <w:rPr>
          <w:rFonts w:ascii="Times New Roman" w:hAnsi="Times New Roman" w:eastAsia="Times New Roman" w:cs="Times New Roman"/>
        </w:rPr>
        <w:t>Уаҳа, көзлиримни көтирип қаридим, мана, икки аял чиқип кәлди; уларниң қанатлирида шамал бар еди, чүнки уларниң қанатлири ләйләкниң қанатлириға охшайдиған еди; улар ефани йәр билән асманниң арисида көтирип маңди. Андин маңа сөз қилған пәриштигә: «Булар ефани нәгә елип бариду?» дедим. У маңа: «Униң үчүн Шинар жутида бир өй селишқа; у йәрдә у муқим қилиниду вә өз тәглиги үстигә қоюлиду», деди. Зәкәрия 5:5–11.</w:t>
      </w:r>
    </w:p>
    <w:p>
      <w:pPr>
        <w:pStyle w:val="ArticleBody"/>
        <w:jc w:val="left"/>
      </w:pPr>
      <w:r>
        <w:rPr>
          <w:rFonts w:ascii="Times New Roman" w:hAnsi="Times New Roman" w:eastAsia="Times New Roman" w:cs="Times New Roman"/>
        </w:rPr>
        <w:t>Папавият, представен като „нечестие“, или от Павел като „онзи нечестивец“, получи смъртоносната си рана през 1798 г., когато един талант олово бе поставен върху кошницата, в която тя седи. След това спиритизмът и отстъпилото протестантство ще я повдигнат и ще ѝ построят дом в Шинар, в същия момент, когато Бог е завършил построяването на дома, който Той ще издигне като знаме. В Захария фалшивото знаме е жената на нечестието, а знамето е представено като гълъби. Тогава светът ще избира между Рим, който е клетката на всяка нечиста и омразна птица, и гълъба — символ на Божия завет с човечеството.</w:t>
      </w:r>
    </w:p>
    <w:p>
      <w:pPr>
        <w:pStyle w:val="ArticleScripture"/>
        <w:jc w:val="left"/>
      </w:pPr>
      <w:r>
        <w:rPr>
          <w:rFonts w:ascii="Times New Roman" w:hAnsi="Times New Roman" w:eastAsia="Times New Roman" w:cs="Times New Roman"/>
        </w:rPr>
        <w:t>Цәгьы иӷәӷәаӡаны, абжьы ӷәӷәаха иҳәаны иӷацәеит: Бабилон дуӡӡа анкаҳаит, анкаҳаит, амцырцәа рныхабаахеит, иԥсабара цәгьа зцу ҳар духцыԥхьаӡа рҵыҵырҭаахеит, аҽакалагьы, ицәгьоу, ицәымӷу аԥсаатә зегьы рҭаԥарҭахеит. Аатышьа 18:2.</w:t>
      </w:r>
    </w:p>
    <w:p>
      <w:pPr>
        <w:pStyle w:val="ArticleBody"/>
        <w:jc w:val="left"/>
      </w:pPr>
      <w:r>
        <w:rPr>
          <w:rFonts w:ascii="Times New Roman" w:hAnsi="Times New Roman" w:eastAsia="Times New Roman" w:cs="Times New Roman"/>
        </w:rPr>
        <w:t>کرسطس نے اپنی موت اور قیامت کے تعلق سے فرمایا، ’’اس ہیکل کو ڈھا دو، اور میں اسے تین دن میں پھر کھڑا کر دوں گا۔‘‘ یہ تین دن ایک نبوتی مدت کی نمائندگی کرتے ہیں جس میں ایک ہیکل برپا کی جاتی ہے، جیسا کہ موسیٰ کے ساتھ، مسیح کے ساتھ، اور ملرائیٹس کے ساتھ ہوا۔ ابرام کی قربانی کے لیے تین برس کی بچھیا، بکری، اور مینڈھے کی شرط اس امر کی نمائندگی کرتی ہے کہ جن تین عہدی تواریخ پر ہم اب غور کر رہے ہیں، ان میں سے ہر ایک کے اندر ایک ہیکل تعمیر کی جانی تھی۔ ایک لاکھ چوالیس ہزار کی آخری عہدی ہیکل وہ جھنڈا ہے جسے آسمان کی جانب تاج کے طور پر بلند کیا جانا ہے۔ اسی سبب سے بچھیا، بکری، اور مینڈھا زمینی حیوانات ہیں، یوں اُن پرندوں سے امتیاز ظاہر ہوتا ہے جو آسمانوں میں اُڑتے ہیں۔ وہ عہدی ہیکل جو آخری ایام میں قائم کی جاتی ہے، وہی وقت ہے جب یروشلیم سب ٹیلوں اور پہاڑوں سے بلند کی جاتی ہے۔</w:t>
      </w:r>
    </w:p>
    <w:p>
      <w:pPr>
        <w:pStyle w:val="ArticleBody"/>
        <w:jc w:val="left"/>
      </w:pPr>
      <w:r>
        <w:rPr>
          <w:rFonts w:ascii="Times New Roman" w:hAnsi="Times New Roman" w:eastAsia="Times New Roman" w:cs="Times New Roman"/>
        </w:rPr>
        <w:t>خەریکم هێشتا هەموو توخمەکانی یەکەمین هەنگاوی لە سێ هەنگاوی پەیمانی ئەبرام ناسنەکردووە، بەڵام تا ئێستا، هەر توخمێک کە لێکۆڵینەوەمان لێ کردووە، هاوتایەکی خۆی هەیە لە دەستپێک و کۆتایی ئیسرائیلی کۆنی ڕاستەقینەدا، و لە دەستپێکی ئیسرائیلی نوێدا. ئێمە سێ هەنگاوی فریشتەکانی مەکاشفەی چواردەمان لە یەکەم هەنگاوی پەیمانی ئەبرامدا نیشانداوە. فراکتاڵی سێ فریشتەکە کە لە یەکەم هەنگاوی پەیمانی ئەبرامدایە، کاتێک بە یەکەمی زیاتر ڕوون دەبێت کە یەکەم و سێیەمی هەنگاوەکانی پەیمانی ئەبرام لێکۆڵینەوە بکەین.</w:t>
      </w:r>
    </w:p>
    <w:p>
      <w:pPr>
        <w:pStyle w:val="ArticleBody"/>
        <w:jc w:val="left"/>
      </w:pPr>
      <w:r>
        <w:rPr>
          <w:rFonts w:ascii="Times New Roman" w:hAnsi="Times New Roman" w:eastAsia="Times New Roman" w:cs="Times New Roman"/>
        </w:rPr>
        <w:t>تقديمات أبرام «الثمانية» لا تمثّل فقط التقديمات التي ستغدو جزءًا من طقوس مقدس موسى، بل إنها تُحدِّد وتؤكِّد أيضًا دور الزمن النبوي في قصة شعب عهد الله. وهي تؤكِّد بدايات إسرائيل ونهاياتها بوصفها شعب الله المختار، سواء أكان ذلك حرفيًا أم روحيًا.</w:t>
      </w:r>
    </w:p>
    <w:p>
      <w:pPr>
        <w:pStyle w:val="ArticleBody"/>
        <w:jc w:val="left"/>
      </w:pPr>
      <w:r>
        <w:rPr>
          <w:rFonts w:ascii="Times New Roman" w:hAnsi="Times New Roman" w:eastAsia="Times New Roman" w:cs="Times New Roman"/>
        </w:rPr>
        <w:t>Paul a 430 a nuh a profetik piriad weh cyan loojikal split fram Abram 400 a. Wen dem set ova di tap a wan anada, dem bring fort a tirti-ya piriad, afta dat fuo handrid ya. A ya so wi a go kontinu inna di nex aatikl.</w:t>
      </w:r>
    </w:p>
    <w:p>
      <w:pPr>
        <w:pStyle w:val="ArticleScripture"/>
        <w:jc w:val="left"/>
      </w:pPr>
      <w:r>
        <w:rPr>
          <w:rFonts w:ascii="Times New Roman" w:hAnsi="Times New Roman" w:eastAsia="Times New Roman" w:cs="Times New Roman"/>
        </w:rPr>
        <w:t>«زەخەرفیاتە کە لە ئەهدمە قەدیمدا تۆمارکراون، وشەی یەزدانن بۆ ڕۆژانی دوا، وە بە دڵنیاییەوە دێنە تەواوبوون، هەروەک چۆن وێرانیی سان فرانسیسکۆمان بینیوە.» نامەی 154، 26ی مای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یۆئێل و کڵێسای لاودیکەی ئۆتدڤێنتیستەکانی رۆژی حەوتەم - ژمارە شازدە</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