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یوایل اور لاودِکیائی سیونتھ ڈے ایڈونٹسٹ کلیسیا — نمبر اٹھائیس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يگرمي سەككىزىنچى سانمۇ</w:t>
      </w:r>
    </w:p>
    <w:p>
      <w:pPr>
        <w:pStyle w:val="ArticleBody"/>
        <w:jc w:val="left"/>
      </w:pPr>
      <w:r>
        <w:rPr>
          <w:rFonts w:ascii="Times New Roman" w:hAnsi="Times New Roman" w:eastAsia="Times New Roman" w:cs="Times New Roman"/>
        </w:rPr>
        <w:t>Matiyu kitabında bulunan Mesihe ait on iki yerine gelişi belirliyor ve bunları yüz kırk dört binin yol işaretleriyle uyumlu hâle getiriyoruz. Mesih’in doğumunu, her reform hareketini başlatan son zamanın yol işareti olarak belirledik. Mesih’in doğumu, yüz kırk dört bin için son zaman olan 1989 ile örtüşmektedir. Bu yol işaretini daima, mesajın kamusal alana taşındığı, böylece halkın bundan böyle sorumlu tutulabildiği bir yol işareti izler.</w:t>
      </w:r>
    </w:p>
    <w:p>
      <w:pPr>
        <w:pStyle w:val="ArticleBody"/>
        <w:jc w:val="left"/>
      </w:pPr>
      <w:r>
        <w:rPr>
          <w:rFonts w:ascii="Times New Roman" w:hAnsi="Times New Roman" w:eastAsia="Times New Roman" w:cs="Times New Roman"/>
        </w:rPr>
        <w:t>Մեսիական երկրորդ կատարումը Քրիստոսի առակներով ուսուցանելն էր, որը սահմանում է այն մեթոդաբանությունը, որով ներկայացվում է այն լուրը, որ ձևակերպվում է վախճանի ժամանակից հետո, երբ գիտության աճը մի ուղերձ է առաջ բերում այդ առանձնահատուկ սերնդի համար։ Դա 1831 թվականն էր Միլլերականների համար և 1996 թվականը՝ հարյուր քառասունչորս հազարի շարժման համար։ Այն բանից հետո, երբ լուրը դրվում է հանրային դաշտում, այն ապա զորացվում է մարգարեության մի կատարմամբ, որը նշանավորում է փորձության գործընթացի սկիզբը։ Այդ զորացումը 1840 թվականի օգոստոսի 11-ն էր Միլլերականների համար և 9/11-ը՝ հարյուր քառասունչորս հազարի համար։</w:t>
      </w:r>
    </w:p>
    <w:p>
      <w:pPr>
        <w:pStyle w:val="ArticleHeading"/>
        <w:jc w:val="left"/>
      </w:pPr>
      <w:r>
        <w:rPr>
          <w:rFonts w:ascii="Gadugi" w:hAnsi="Gadugi" w:eastAsia="Gadugi" w:cs="Gadugi"/>
        </w:rPr>
        <w:t>ᎢᏳᏍᏗ</w:t>
      </w:r>
      <w:r>
        <w:rPr>
          <w:rFonts w:ascii="Arial" w:hAnsi="Arial" w:eastAsia="Arial" w:cs="Arial"/>
        </w:rPr>
        <w:t xml:space="preserve"> </w:t>
      </w:r>
      <w:r>
        <w:rPr>
          <w:rFonts w:ascii="Gadugi" w:hAnsi="Gadugi" w:eastAsia="Gadugi" w:cs="Gadugi"/>
        </w:rPr>
        <w:t>ᎹᏏᎯᎠᏂᏍᎩ</w:t>
      </w:r>
      <w:r>
        <w:rPr>
          <w:rFonts w:ascii="Arial" w:hAnsi="Arial" w:eastAsia="Arial" w:cs="Arial"/>
        </w:rPr>
        <w:t xml:space="preserve"> </w:t>
      </w:r>
      <w:r>
        <w:rPr>
          <w:rFonts w:ascii="Gadugi" w:hAnsi="Gadugi" w:eastAsia="Gadugi" w:cs="Gadugi"/>
        </w:rPr>
        <w:t>ᎦᏖᎸᎢ</w:t>
      </w:r>
      <w:r>
        <w:rPr>
          <w:rFonts w:ascii="Arial" w:hAnsi="Arial" w:eastAsia="Arial" w:cs="Arial"/>
        </w:rPr>
        <w:t xml:space="preserve"> </w:t>
      </w:r>
      <w:r>
        <w:rPr>
          <w:rFonts w:ascii="Gadugi" w:hAnsi="Gadugi" w:eastAsia="Gadugi" w:cs="Gadugi"/>
        </w:rPr>
        <w:t>ᎠᏂᏙᎯ</w:t>
      </w:r>
      <w:r>
        <w:rPr>
          <w:rFonts w:ascii="Arial" w:hAnsi="Arial" w:eastAsia="Arial" w:cs="Arial"/>
        </w:rPr>
        <w:t xml:space="preserve"> 9/11 </w:t>
      </w:r>
      <w:r>
        <w:rPr>
          <w:rFonts w:ascii="Gadugi" w:hAnsi="Gadugi" w:eastAsia="Gadugi" w:cs="Gadugi"/>
        </w:rPr>
        <w:t>ᎤᎾᏓᏅᏙᎯ</w:t>
      </w:r>
      <w:r>
        <w:rPr>
          <w:rFonts w:ascii="Arial" w:hAnsi="Arial" w:eastAsia="Arial" w:cs="Arial"/>
        </w:rPr>
        <w:t xml:space="preserve"> </w:t>
      </w:r>
      <w:r>
        <w:rPr>
          <w:rFonts w:ascii="Gadugi" w:hAnsi="Gadugi" w:eastAsia="Gadugi" w:cs="Gadugi"/>
        </w:rPr>
        <w:t>ᎨᏒᎢ</w:t>
      </w:r>
    </w:p>
    <w:p>
      <w:pPr>
        <w:pStyle w:val="ArticleScripture"/>
        <w:jc w:val="left"/>
      </w:pPr>
      <w:r>
        <w:rPr>
          <w:rFonts w:ascii="MS Gothic" w:hAnsi="MS Gothic" w:eastAsia="MS Gothic" w:cs="MS Gothic"/>
        </w:rPr>
        <w:t>そして</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w:t>
      </w:r>
      <w:r>
        <w:rPr>
          <w:rFonts w:ascii="MS Gothic" w:hAnsi="MS Gothic" w:eastAsia="MS Gothic" w:cs="MS Gothic"/>
        </w:rPr>
        <w:t>ナザレという</w:t>
      </w:r>
      <w:r>
        <w:rPr>
          <w:rFonts w:ascii="Microsoft YaHei" w:hAnsi="Microsoft YaHei" w:eastAsia="Microsoft YaHei" w:cs="Microsoft YaHei"/>
        </w:rPr>
        <w:t>町</w:t>
      </w:r>
      <w:r>
        <w:rPr>
          <w:rFonts w:ascii="MS Gothic" w:hAnsi="MS Gothic" w:eastAsia="MS Gothic" w:cs="MS Gothic"/>
        </w:rPr>
        <w:t>に</w:t>
      </w:r>
      <w:r>
        <w:rPr>
          <w:rFonts w:ascii="Microsoft YaHei" w:hAnsi="Microsoft YaHei" w:eastAsia="Microsoft YaHei" w:cs="Microsoft YaHei"/>
        </w:rPr>
        <w:t>住</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、預言者</w:t>
      </w:r>
      <w:r>
        <w:rPr>
          <w:rFonts w:ascii="MS Gothic" w:hAnsi="MS Gothic" w:eastAsia="MS Gothic" w:cs="MS Gothic"/>
        </w:rPr>
        <w:t>たちによって</w:t>
      </w:r>
      <w:r>
        <w:rPr>
          <w:rFonts w:ascii="Microsoft YaHei" w:hAnsi="Microsoft YaHei" w:eastAsia="Microsoft YaHei" w:cs="Microsoft YaHei"/>
        </w:rPr>
        <w:t>語</w:t>
      </w:r>
      <w:r>
        <w:rPr>
          <w:rFonts w:ascii="MS Gothic" w:hAnsi="MS Gothic" w:eastAsia="MS Gothic" w:cs="MS Gothic"/>
        </w:rPr>
        <w:t>られていた</w:t>
      </w:r>
      <w:r>
        <w:rPr>
          <w:rFonts w:ascii="Microsoft YaHei" w:hAnsi="Microsoft YaHei" w:eastAsia="Microsoft YaHei" w:cs="Microsoft YaHei"/>
        </w:rPr>
        <w:t>、「彼</w:t>
      </w:r>
      <w:r>
        <w:rPr>
          <w:rFonts w:ascii="MS Gothic" w:hAnsi="MS Gothic" w:eastAsia="MS Gothic" w:cs="MS Gothic"/>
        </w:rPr>
        <w:t>はナザレ</w:t>
      </w:r>
      <w:r>
        <w:rPr>
          <w:rFonts w:ascii="Microsoft YaHei" w:hAnsi="Microsoft YaHei" w:eastAsia="Microsoft YaHei" w:cs="Microsoft YaHei"/>
        </w:rPr>
        <w:t>人</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ばれるであろう</w:t>
      </w:r>
      <w:r>
        <w:rPr>
          <w:rFonts w:ascii="Microsoft YaHei" w:hAnsi="Microsoft YaHei" w:eastAsia="Microsoft YaHei" w:cs="Microsoft YaHei"/>
        </w:rPr>
        <w:t>」</w:t>
      </w:r>
      <w:r>
        <w:rPr>
          <w:rFonts w:ascii="MS Gothic" w:hAnsi="MS Gothic" w:eastAsia="MS Gothic" w:cs="MS Gothic"/>
        </w:rPr>
        <w:t>ということが</w:t>
      </w:r>
      <w:r>
        <w:rPr>
          <w:rFonts w:ascii="Microsoft YaHei" w:hAnsi="Microsoft YaHei" w:eastAsia="Microsoft YaHei" w:cs="Microsoft YaHei"/>
        </w:rPr>
        <w:t>成就</w:t>
      </w:r>
      <w:r>
        <w:rPr>
          <w:rFonts w:ascii="MS Gothic" w:hAnsi="MS Gothic" w:eastAsia="MS Gothic" w:cs="MS Gothic"/>
        </w:rPr>
        <w:t>するためであった</w:t>
      </w:r>
      <w:r>
        <w:rPr>
          <w:rFonts w:ascii="Times New Roman" w:hAnsi="Times New Roman" w:eastAsia="Times New Roman" w:cs="Times New Roman"/>
        </w:rPr>
        <w:t>.</w:t>
      </w:r>
      <w:r>
        <w:rPr>
          <w:rFonts w:ascii="MS Gothic" w:hAnsi="MS Gothic" w:eastAsia="MS Gothic" w:cs="MS Gothic"/>
        </w:rPr>
        <w:t>マタイ</w:t>
      </w:r>
      <w:r>
        <w:rPr>
          <w:rFonts w:ascii="Times New Roman" w:hAnsi="Times New Roman" w:eastAsia="Times New Roman" w:cs="Times New Roman"/>
        </w:rPr>
        <w:t xml:space="preserve"> 2:23.</w:t>
      </w:r>
    </w:p>
    <w:p>
      <w:pPr>
        <w:pStyle w:val="ArticleHeading"/>
        <w:jc w:val="left"/>
      </w:pPr>
      <w:r>
        <w:rPr>
          <w:rFonts w:ascii="Myanmar Text" w:hAnsi="Myanmar Text" w:eastAsia="Myanmar Text" w:cs="Myanmar Text"/>
        </w:rPr>
        <w:t>ပရောဖက်ပြုချက်</w:t>
      </w:r>
    </w:p>
    <w:p>
      <w:pPr>
        <w:pStyle w:val="ArticleScripture"/>
        <w:jc w:val="left"/>
      </w:pPr>
      <w:r>
        <w:rPr>
          <w:rFonts w:ascii="Times New Roman" w:hAnsi="Times New Roman" w:eastAsia="Times New Roman" w:cs="Times New Roman"/>
        </w:rPr>
        <w:t>Арахь Жессе гъуо хІуа цІыкІу къекІу, имахьа цІыкІу и щӏэгъэхэмкӏэ къихьащ. Исаия 11:1, Судьяхэр 13.</w:t>
      </w:r>
    </w:p>
    <w:p>
      <w:pPr>
        <w:pStyle w:val="ArticleBody"/>
        <w:jc w:val="left"/>
      </w:pPr>
      <w:r>
        <w:rPr>
          <w:rFonts w:ascii="Times New Roman" w:hAnsi="Times New Roman" w:eastAsia="Times New Roman" w:cs="Times New Roman"/>
        </w:rPr>
        <w:t>אַבישָׁא דְּמִלְּתָא עִבְרָאָה דְּמִתַּרְגְּמָא «צֶמַח» הוּא נֵצֶר, וְהוּא אַף אַבִישָׁא דְּנָצְרַת. הַצֶּמַח אָתֵי מִן שְׁכוּנֵי הָעֹנִי דְּנָצְרַת.</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विनम्र</w:t>
      </w:r>
      <w:r>
        <w:rPr>
          <w:rFonts w:ascii="Times New Roman" w:hAnsi="Times New Roman" w:eastAsia="Times New Roman" w:cs="Times New Roman"/>
        </w:rPr>
        <w:t xml:space="preserve"> </w:t>
      </w:r>
      <w:r>
        <w:rPr>
          <w:rFonts w:ascii="Nirmala UI" w:hAnsi="Nirmala UI" w:eastAsia="Nirmala UI" w:cs="Nirmala UI"/>
        </w:rPr>
        <w:t>जीवनपथोंबाट</w:t>
      </w:r>
      <w:r>
        <w:rPr>
          <w:rFonts w:ascii="Times New Roman" w:hAnsi="Times New Roman" w:eastAsia="Times New Roman" w:cs="Times New Roman"/>
        </w:rPr>
        <w:t xml:space="preserve"> </w:t>
      </w:r>
      <w:r>
        <w:rPr>
          <w:rFonts w:ascii="Nirmala UI" w:hAnsi="Nirmala UI" w:eastAsia="Nirmala UI" w:cs="Nirmala UI"/>
        </w:rPr>
        <w:t>युवा</w:t>
      </w:r>
      <w:r>
        <w:rPr>
          <w:rFonts w:ascii="Times New Roman" w:hAnsi="Times New Roman" w:eastAsia="Times New Roman" w:cs="Times New Roman"/>
        </w:rPr>
        <w:t xml:space="preserve"> </w:t>
      </w:r>
      <w:r>
        <w:rPr>
          <w:rFonts w:ascii="Nirmala UI" w:hAnsi="Nirmala UI" w:eastAsia="Nirmala UI" w:cs="Nirmala UI"/>
        </w:rPr>
        <w:t>पुरुषहरूलाई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सेवामा</w:t>
      </w:r>
      <w:r>
        <w:rPr>
          <w:rFonts w:ascii="Times New Roman" w:hAnsi="Times New Roman" w:eastAsia="Times New Roman" w:cs="Times New Roman"/>
        </w:rPr>
        <w:t xml:space="preserve"> </w:t>
      </w:r>
      <w:r>
        <w:rPr>
          <w:rFonts w:ascii="Nirmala UI" w:hAnsi="Nirmala UI" w:eastAsia="Nirmala UI" w:cs="Nirmala UI"/>
        </w:rPr>
        <w:t>बोलाउनुहुनेछ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स्वयम्</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जीवनयापन</w:t>
      </w:r>
      <w:r>
        <w:rPr>
          <w:rFonts w:ascii="Times New Roman" w:hAnsi="Times New Roman" w:eastAsia="Times New Roman" w:cs="Times New Roman"/>
        </w:rPr>
        <w:t xml:space="preserve"> </w:t>
      </w:r>
      <w:r>
        <w:rPr>
          <w:rFonts w:ascii="Nirmala UI" w:hAnsi="Nirmala UI" w:eastAsia="Nirmala UI" w:cs="Nirmala UI"/>
        </w:rPr>
        <w:t>गर्नुहुँदा</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विद्वान्</w:t>
      </w:r>
      <w:r>
        <w:rPr>
          <w:rFonts w:ascii="Times New Roman" w:hAnsi="Times New Roman" w:eastAsia="Times New Roman" w:cs="Times New Roman"/>
        </w:rPr>
        <w:t xml:space="preserve"> </w:t>
      </w:r>
      <w:r>
        <w:rPr>
          <w:rFonts w:ascii="Nirmala UI" w:hAnsi="Nirmala UI" w:eastAsia="Nirmala UI" w:cs="Nirmala UI"/>
        </w:rPr>
        <w:t>रब्बीहरूलाई</w:t>
      </w:r>
      <w:r>
        <w:rPr>
          <w:rFonts w:ascii="Times New Roman" w:hAnsi="Times New Roman" w:eastAsia="Times New Roman" w:cs="Times New Roman"/>
        </w:rPr>
        <w:t xml:space="preserve"> </w:t>
      </w:r>
      <w:r>
        <w:rPr>
          <w:rFonts w:ascii="Nirmala UI" w:hAnsi="Nirmala UI" w:eastAsia="Nirmala UI" w:cs="Nirmala UI"/>
        </w:rPr>
        <w:t>छोडेर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विनम्र</w:t>
      </w:r>
      <w:r>
        <w:rPr>
          <w:rFonts w:ascii="Times New Roman" w:hAnsi="Times New Roman" w:eastAsia="Times New Roman" w:cs="Times New Roman"/>
        </w:rPr>
        <w:t xml:space="preserve">, </w:t>
      </w:r>
      <w:r>
        <w:rPr>
          <w:rFonts w:ascii="Nirmala UI" w:hAnsi="Nirmala UI" w:eastAsia="Nirmala UI" w:cs="Nirmala UI"/>
        </w:rPr>
        <w:t>अशिक्षित</w:t>
      </w:r>
      <w:r>
        <w:rPr>
          <w:rFonts w:ascii="Times New Roman" w:hAnsi="Times New Roman" w:eastAsia="Times New Roman" w:cs="Times New Roman"/>
        </w:rPr>
        <w:t xml:space="preserve"> </w:t>
      </w:r>
      <w:r>
        <w:rPr>
          <w:rFonts w:ascii="Nirmala UI" w:hAnsi="Nirmala UI" w:eastAsia="Nirmala UI" w:cs="Nirmala UI"/>
        </w:rPr>
        <w:t>माछा</w:t>
      </w:r>
      <w:r>
        <w:rPr>
          <w:rFonts w:ascii="Times New Roman" w:hAnsi="Times New Roman" w:eastAsia="Times New Roman" w:cs="Times New Roman"/>
        </w:rPr>
        <w:t xml:space="preserve"> </w:t>
      </w:r>
      <w:r>
        <w:rPr>
          <w:rFonts w:ascii="Nirmala UI" w:hAnsi="Nirmala UI" w:eastAsia="Nirmala UI" w:cs="Nirmala UI"/>
        </w:rPr>
        <w:t>मार्नेहरूलाई</w:t>
      </w:r>
      <w:r>
        <w:rPr>
          <w:rFonts w:ascii="Times New Roman" w:hAnsi="Times New Roman" w:eastAsia="Times New Roman" w:cs="Times New Roman"/>
        </w:rPr>
        <w:t xml:space="preserve"> </w:t>
      </w:r>
      <w:r>
        <w:rPr>
          <w:rFonts w:ascii="Nirmala UI" w:hAnsi="Nirmala UI" w:eastAsia="Nirmala UI" w:cs="Nirmala UI"/>
        </w:rPr>
        <w:t>छान्नुभयो।</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कामदारहरू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दरिद्रता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गुमनामीबाट</w:t>
      </w:r>
      <w:r>
        <w:rPr>
          <w:rFonts w:ascii="Times New Roman" w:hAnsi="Times New Roman" w:eastAsia="Times New Roman" w:cs="Times New Roman"/>
        </w:rPr>
        <w:t xml:space="preserve"> </w:t>
      </w:r>
      <w:r>
        <w:rPr>
          <w:rFonts w:ascii="Nirmala UI" w:hAnsi="Nirmala UI" w:eastAsia="Nirmala UI" w:cs="Nirmala UI"/>
        </w:rPr>
        <w:t>बोलाएर</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ल्याउनुहुनेछ।</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साधारण</w:t>
      </w:r>
      <w:r>
        <w:rPr>
          <w:rFonts w:ascii="Times New Roman" w:hAnsi="Times New Roman" w:eastAsia="Times New Roman" w:cs="Times New Roman"/>
        </w:rPr>
        <w:t xml:space="preserve"> </w:t>
      </w:r>
      <w:r>
        <w:rPr>
          <w:rFonts w:ascii="Nirmala UI" w:hAnsi="Nirmala UI" w:eastAsia="Nirmala UI" w:cs="Nirmala UI"/>
        </w:rPr>
        <w:t>कर्तव्यहरूमा</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खस्रो</w:t>
      </w:r>
      <w:r>
        <w:rPr>
          <w:rFonts w:ascii="Times New Roman" w:hAnsi="Times New Roman" w:eastAsia="Times New Roman" w:cs="Times New Roman"/>
        </w:rPr>
        <w:t xml:space="preserve"> </w:t>
      </w:r>
      <w:r>
        <w:rPr>
          <w:rFonts w:ascii="Nirmala UI" w:hAnsi="Nirmala UI" w:eastAsia="Nirmala UI" w:cs="Nirmala UI"/>
        </w:rPr>
        <w:t>वस्त्रले</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दृष्टिमा</w:t>
      </w:r>
      <w:r>
        <w:rPr>
          <w:rFonts w:ascii="Times New Roman" w:hAnsi="Times New Roman" w:eastAsia="Times New Roman" w:cs="Times New Roman"/>
        </w:rPr>
        <w:t xml:space="preserve"> </w:t>
      </w:r>
      <w:r>
        <w:rPr>
          <w:rFonts w:ascii="Nirmala UI" w:hAnsi="Nirmala UI" w:eastAsia="Nirmala UI" w:cs="Nirmala UI"/>
        </w:rPr>
        <w:t>अल्पमूल्य</w:t>
      </w:r>
      <w:r>
        <w:rPr>
          <w:rFonts w:ascii="Times New Roman" w:hAnsi="Times New Roman" w:eastAsia="Times New Roman" w:cs="Times New Roman"/>
        </w:rPr>
        <w:t xml:space="preserve"> </w:t>
      </w:r>
      <w:r>
        <w:rPr>
          <w:rFonts w:ascii="Nirmala UI" w:hAnsi="Nirmala UI" w:eastAsia="Nirmala UI" w:cs="Nirmala UI"/>
        </w:rPr>
        <w:t>ठानिन्छन्।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बन्नेछन्</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चम्कन।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सेनाहरूका</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सङ्ग्रह</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Review and Herald, May 5, 1903.</w:t>
      </w:r>
    </w:p>
    <w:p>
      <w:pPr>
        <w:pStyle w:val="ArticleBody"/>
        <w:jc w:val="left"/>
      </w:pPr>
      <w:r>
        <w:rPr>
          <w:rFonts w:ascii="Times New Roman" w:hAnsi="Times New Roman" w:eastAsia="Times New Roman" w:cs="Times New Roman"/>
        </w:rPr>
        <w:t>1888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人们拒绝了圣灵的权柄、怀爱伦姐妹的权柄</w:t>
      </w:r>
      <w:r>
        <w:rPr>
          <w:rFonts w:ascii="Times New Roman" w:hAnsi="Times New Roman" w:eastAsia="Times New Roman" w:cs="Times New Roman"/>
        </w:rPr>
        <w:t>,</w:t>
      </w:r>
      <w:r>
        <w:rPr>
          <w:rFonts w:ascii="Microsoft YaHei" w:hAnsi="Microsoft YaHei" w:eastAsia="Microsoft YaHei" w:cs="Microsoft YaHei"/>
        </w:rPr>
        <w:t>以及对琼斯和瓦格纳之受感启示之认可</w:t>
      </w:r>
      <w:r>
        <w:rPr>
          <w:rFonts w:ascii="Times New Roman" w:hAnsi="Times New Roman" w:eastAsia="Times New Roman" w:cs="Times New Roman"/>
        </w:rPr>
        <w:t>,</w:t>
      </w:r>
      <w:r>
        <w:rPr>
          <w:rFonts w:ascii="Microsoft YaHei" w:hAnsi="Microsoft YaHei" w:eastAsia="Microsoft YaHei" w:cs="Microsoft YaHei"/>
        </w:rPr>
        <w:t>正如可拉拒绝摩西的权柄一样</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“Chaymi kimsa kaq angelpa willakuynin willakuchkanqa. Astawan atiyniyuqta qusqan pacha chayamuchkaptin, Señorqa pisi p’unchayniyuq rantikuna rayku llamk’anqa, paypa servicionman sapaqchasqa kaqkunapa yuyayninkuta pusaspa. Llamk’aqkunaqa qillqasqa yachay wasikunapa yachachisqanraykumanta aswanqa Espíritu Santonpa llamp’u wiñayninwanmi kamachisqa kanqaku. Iñiypa, mañakuypa runakunaqa santo kallpachakuyniyuq lloqsinankupaqmi ñit’isqa kanqaku, Dios qosqan simikunata willakuspa. Babiloniapa huchankunaqa sut’inchasqa kanqa. Iglesiapa ruwanakunata autoridad civilwan hunt’achiyqa ima manchay ruwaykunaman apamun, espiritismopa hayk’uykuna, papal atiypa pakasqa ichaqa usqhaylla wiñayninpas—llapallanmi q’ala rikuchisqa kanqa. Kay solemne willakuyninkunawanmi llaqtaqa kuyuchisqa kanqa. Waranqa waranqanmi uyariq kanqaku, mana hayk’aqpas kayhina simikunata uyarisqakuna. Muspharispa uyariqkunaqa chay testimoniota, Babiloniaqa iglesia kasqanta, urmasqa kasqanta pantayninkunarayku huchankunarayku, hanaqpachamanta payman apachisqa cheqaq kayta mana chaskisqanrayku. Llaqtaqa ñawpaq yachachiqninkuman kusisqa tapukuyninwan rinqaku: ¿Kaykunaqa cheqaqchu? Ministrukunaqa llawllakuykunata rikuchinku, llamp’u kaqkunata profetizanku, manchakuyninkuta thañichinankupaq, rikch’arisqa yuyayninkutapas upallachinankupaq. Ichaqa askhakuna runakunapa sapan autoridadnillanwan mana saqsaspa, sut’i ‘Señor ninmi’ nisqata mañakuptinku, runakunapa munasqa ministeriokunaqa, ñawpaq fariseokunahina, autoridadninku tapusqa kasqanrayku phiñasqa kaspa, willakuyninta Satanaspa kasqanta nispa huchawan kusisqa achka runakunata hatarichinqaku, chayta willakuqkunata k’amiykuchinankupaq, qatiykachanakupaq.” The Great Controversy, 606.</w:t>
      </w:r>
    </w:p>
    <w:p>
      <w:pPr>
        <w:pStyle w:val="ArticleBody"/>
        <w:jc w:val="left"/>
      </w:pPr>
      <w:r>
        <w:rPr>
          <w:rFonts w:ascii="Times New Roman" w:hAnsi="Times New Roman" w:eastAsia="Times New Roman" w:cs="Times New Roman"/>
        </w:rPr>
        <w:t>لەڤە دوودڵەکانی کۆڵانە هەژارنشینەکانی ناسیرە ڕۆیشتنە «مجادلە»ی ئیشایا بیست و حەوت.</w:t>
      </w:r>
    </w:p>
    <w:p>
      <w:pPr>
        <w:pStyle w:val="ArticleScripture"/>
        <w:jc w:val="left"/>
      </w:pPr>
      <w:r>
        <w:rPr>
          <w:rFonts w:ascii="Times New Roman" w:hAnsi="Times New Roman" w:eastAsia="Times New Roman" w:cs="Times New Roman"/>
        </w:rPr>
        <w:t>با پیمانه، چون آن سر برآورد، با آن مجادله خواهی کرد؛ او در روزِ بادِ شرقی، بادِ سختِ خود را فرو می‌نشاند. اشعیا 27:8</w:t>
      </w:r>
    </w:p>
    <w:p>
      <w:pPr>
        <w:pStyle w:val="ArticleBody"/>
        <w:jc w:val="left"/>
      </w:pPr>
      <w:r>
        <w:rPr>
          <w:rFonts w:ascii="Times New Roman" w:hAnsi="Times New Roman" w:eastAsia="Times New Roman" w:cs="Times New Roman"/>
        </w:rPr>
        <w:t>“شرق کی ہوا” اسلام کی، جو “تیسری ہلاکت” کے طور پر ظاہر کی گئی ہے، اور نیز “قوموں کے غضب میں آنے” کے طور پر بھی، 9/11 کو چھوڑ دی گئی اور فوراً ہی روک دی گئی۔</w:t>
      </w:r>
    </w:p>
    <w:p>
      <w:pPr>
        <w:pStyle w:val="ArticleScripture"/>
        <w:jc w:val="left"/>
      </w:pPr>
      <w:r>
        <w:rPr>
          <w:rFonts w:ascii="Times New Roman" w:hAnsi="Times New Roman" w:eastAsia="Times New Roman" w:cs="Times New Roman"/>
        </w:rPr>
        <w:t>«En aquel tiempo, mientras la obra de salvación esté llegando a su fin, vendrá aflicción sobre la tierra, y las naciones se airarán, aunque serán contenidas para no impedir la obra del tercer ángel. En aquel tiempo vendrá la “lluvia tardía”, o refrigerio de la presencia del Señor, para dar poder a la gran voz del tercer ángel y preparar a los santos para permanecer firmes en el período cuando las siete últimas plagas sean derramadas». Primeros Escritos, 85.</w:t>
      </w:r>
    </w:p>
    <w:p>
      <w:pPr>
        <w:pStyle w:val="ArticleBody"/>
        <w:jc w:val="left"/>
      </w:pPr>
      <w:r>
        <w:rPr>
          <w:rFonts w:ascii="Times New Roman" w:hAnsi="Times New Roman" w:eastAsia="Times New Roman" w:cs="Times New Roman"/>
        </w:rPr>
        <w:t>Moisés, Ellen White, A. T. Jones y E. J. Waggoner entonces ocuparon su posición en el 9/11 como los atalayas de Habacuc capítulo dos, quienes preguntaron qué dirán durante la “controversia” de Isaías, que comienza cuando llega el viento solano. Isaías dice que la “controversia” es lo que purga los pecados del pueblo de Dios.</w:t>
      </w:r>
    </w:p>
    <w:p>
      <w:pPr>
        <w:pStyle w:val="ArticleScripture"/>
        <w:jc w:val="left"/>
      </w:pPr>
      <w:r>
        <w:rPr>
          <w:rFonts w:ascii="Times New Roman" w:hAnsi="Times New Roman" w:eastAsia="Times New Roman" w:cs="Times New Roman"/>
        </w:rPr>
        <w:t>سفرجین، اورے نم بَرگِی یاراشقاندا، سەن ئۇنىڭ بىلەن مۇنازىرە قىلارسىن؛ شەرق شامىلىنىڭ كۈنىدە ئۇ ئۆزىنىڭ قاتتىق شامىلىنى توختىتىدۇ. شۇڭا مۇشۇ ئارقىلىق ياقۇپنىڭ گۇناھى پاكلىنىدۇ؛ ۋە ئۇنىڭ گۇناھىنى يوقاتىشنىڭ بارلىق مېۋىسى مۇشۇدۇر: ئۇ قۇربانگاھنىڭ بارلىق تاشلىرىنى پارچىلانغان ئاقتاش تاشلىرىدەك قىلغاندا، ئىبادەت بوسۇغىلىرى ۋە سۈرەتلەر قايتا قەد كۆتۈرمەيدۇ. ئىسايا 27:8، 9.</w:t>
      </w:r>
    </w:p>
    <w:p>
      <w:pPr>
        <w:pStyle w:val="ArticleBody"/>
        <w:jc w:val="left"/>
      </w:pPr>
      <w:r>
        <w:rPr>
          <w:rFonts w:ascii="Times New Roman" w:hAnsi="Times New Roman" w:eastAsia="Times New Roman" w:cs="Times New Roman"/>
        </w:rPr>
        <w:t>«ہگرتی بارش» کے 9/11 پر ناپے جانے کے بارے میں جو “مباحثہ” ہے—جب اسلام کو چھوڑا گیا اور پھر روکا گیا—وہی وہ طریقہ ہے جس سے یعقوب کی بدکرداریاں دور کی جاتی ہیں، اور یوں یعقوب اسرائیل میں تبدیل ہو جاتا ہے۔ یعقوب سے، جو عہد کا نمائندہ انسان ہے، اسرائیل تک کا بائبلی انتقال 1856 کی نشان دہی کرتا ہے، جب فلاڈلفیائی میلری تحریک لاودیکیائی میلری تحریک بن گئی، جو سات سال بعد لاودیکیائی سیونتھ ڈے ایڈونٹسٹ کلیسیا بننے والی تھی۔ میلری تاریخ میں یہ انتقال ایک سو چوالیس ہزار کی تاریخ میں ایک نشانِ راہ کی نشان دہی کرتا ہے، جب ایک سو چوالیس ہزار کی لاودیکیائی تحریک ایک سو چوالیس ہزار کی فلاڈلفیائی تحریک میں تبدیل ہوتی ہے۔ یہ نقطۂ انتقال وہ وقت ہے جب یعقوب، جس کے معنی غاصب کے ہیں، اسرائیل میں، جس کے معنی غالب آنے والے کے ہیں، تبدیل ہو جاتا ہے۔</w:t>
      </w:r>
    </w:p>
    <w:p>
      <w:pPr>
        <w:pStyle w:val="ArticleBody"/>
        <w:jc w:val="left"/>
      </w:pPr>
      <w:r>
        <w:rPr>
          <w:rFonts w:ascii="Times New Roman" w:hAnsi="Times New Roman" w:eastAsia="Times New Roman" w:cs="Times New Roman"/>
        </w:rPr>
        <w:t>“</w:t>
      </w:r>
      <w:r>
        <w:rPr>
          <w:rFonts w:ascii="Myanmar Text" w:hAnsi="Myanmar Text" w:eastAsia="Myanmar Text" w:cs="Myanmar Text"/>
        </w:rPr>
        <w:t>ဆွေးနွေးပြိုင်ခင်း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ယာကုပ်၏အပြစ်ဒုစရိုက်များကို</w:t>
      </w:r>
      <w:r>
        <w:rPr>
          <w:rFonts w:ascii="Times New Roman" w:hAnsi="Times New Roman" w:eastAsia="Times New Roman" w:cs="Times New Roman"/>
        </w:rPr>
        <w:t xml:space="preserve"> </w:t>
      </w:r>
      <w:r>
        <w:rPr>
          <w:rFonts w:ascii="Myanmar Text" w:hAnsi="Myanmar Text" w:eastAsia="Myanmar Text" w:cs="Myanmar Text"/>
        </w:rPr>
        <w:t>သန့်စင်ဖယ်ရှား၍၊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အောင်နိုင်သူ</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ဣသရေလအဖြစ်</w:t>
      </w:r>
      <w:r>
        <w:rPr>
          <w:rFonts w:ascii="Times New Roman" w:hAnsi="Times New Roman" w:eastAsia="Times New Roman" w:cs="Times New Roman"/>
        </w:rPr>
        <w:t xml:space="preserve"> </w:t>
      </w:r>
      <w:r>
        <w:rPr>
          <w:rFonts w:ascii="Myanmar Text" w:hAnsi="Myanmar Text" w:eastAsia="Myanmar Text" w:cs="Myanmar Text"/>
        </w:rPr>
        <w:t>ကိုယ်စားပြုဖော်ပြခံရသူတို့သည်</w:t>
      </w:r>
      <w:r>
        <w:rPr>
          <w:rFonts w:ascii="Times New Roman" w:hAnsi="Times New Roman" w:eastAsia="Times New Roman" w:cs="Times New Roman"/>
        </w:rPr>
        <w:t xml:space="preserve"> </w:t>
      </w:r>
      <w:r>
        <w:rPr>
          <w:rFonts w:ascii="Myanmar Text" w:hAnsi="Myanmar Text" w:eastAsia="Myanmar Text" w:cs="Myanmar Text"/>
        </w:rPr>
        <w:t>နှုတ်ကပတ်တော်၏အသွေးအားဖြင့်လည်းကောင်း၊</w:t>
      </w:r>
      <w:r>
        <w:rPr>
          <w:rFonts w:ascii="Times New Roman" w:hAnsi="Times New Roman" w:eastAsia="Times New Roman" w:cs="Times New Roman"/>
        </w:rPr>
        <w:t xml:space="preserve"> </w:t>
      </w:r>
      <w:r>
        <w:rPr>
          <w:rFonts w:ascii="Myanmar Text" w:hAnsi="Myanmar Text" w:eastAsia="Myanmar Text" w:cs="Myanmar Text"/>
        </w:rPr>
        <w:t>မိမိတို့၏သက်သေခံစကားအားဖြင့်လည်းကောင်း</w:t>
      </w:r>
      <w:r>
        <w:rPr>
          <w:rFonts w:ascii="Times New Roman" w:hAnsi="Times New Roman" w:eastAsia="Times New Roman" w:cs="Times New Roman"/>
        </w:rPr>
        <w:t xml:space="preserve"> </w:t>
      </w:r>
      <w:r>
        <w:rPr>
          <w:rFonts w:ascii="Myanmar Text" w:hAnsi="Myanmar Text" w:eastAsia="Myanmar Text" w:cs="Myanmar Text"/>
        </w:rPr>
        <w:t>အောင်နိုင်ကြသည်။</w:t>
      </w:r>
    </w:p>
    <w:p>
      <w:pPr>
        <w:pStyle w:val="ArticleScripture"/>
        <w:jc w:val="left"/>
      </w:pPr>
      <w:r>
        <w:rPr>
          <w:rFonts w:ascii="Times New Roman" w:hAnsi="Times New Roman" w:eastAsia="Times New Roman" w:cs="Times New Roman"/>
        </w:rPr>
        <w:t>Ve ular Uni Qo‘zichoqning qoni bilan va o‘z shahodatlarining kalomi bilan yengdilar; hamda ular o‘z jonlarini o‘limgacha sevmadilar. Vahiy 12:11.</w:t>
      </w:r>
    </w:p>
    <w:p>
      <w:pPr>
        <w:pStyle w:val="ArticleBody"/>
        <w:jc w:val="left"/>
      </w:pPr>
      <w:r>
        <w:rPr>
          <w:rFonts w:ascii="Times New Roman" w:hAnsi="Times New Roman" w:eastAsia="Times New Roman" w:cs="Times New Roman"/>
        </w:rPr>
        <w:t>“palabra da testimonya di nan” ta e mensahe ku e atalaya di Habakuk a pidi pa komprondé. E ta representá nan santifikashon i e sanger di e Kordé, nan hustifikashon.</w:t>
      </w:r>
    </w:p>
    <w:p>
      <w:pPr>
        <w:pStyle w:val="ArticleScripture"/>
        <w:jc w:val="left"/>
      </w:pPr>
      <w:r>
        <w:rPr>
          <w:rFonts w:ascii="Times New Roman" w:hAnsi="Times New Roman" w:eastAsia="Times New Roman" w:cs="Times New Roman"/>
        </w:rPr>
        <w:t>Naxajjii koo irra nan dhaabadha; gamoo eegumsaa irra of nan dhaaba; inni anaaf maal akka jedhu, anis yommuu ittiin sirreeffamu maal akkan deebisu arguuf nan eega. Hab 2:1.</w:t>
      </w:r>
    </w:p>
    <w:p>
      <w:pPr>
        <w:pStyle w:val="ArticleBody"/>
        <w:jc w:val="left"/>
      </w:pPr>
      <w:r>
        <w:rPr>
          <w:rFonts w:ascii="Times New Roman" w:hAnsi="Times New Roman" w:eastAsia="Times New Roman" w:cs="Times New Roman"/>
        </w:rPr>
        <w:t>«Reproved» сөзі «дауласты» дегенді білдіреді және Жақыптың күнәларын алып тастайтын Ишаяның «айтысын» білдіреді. Хабаккуктағы күзетші өз куәлігінің қандай болуға тиісті екенін білгісі келеді, әрі оған Хабаккуктың кестелері оқығысы келгендерге Жазбалар арқылы жүгіріп өтіп, сенім арқылы ақталу туралы хабарды табуға мүмкіндік беретін хабар екені білдіріледі. Хабаккук 2 алғашқы төрт аяттың соңында күзетшіні сенім арқылы ақталғандардың тобына жататын адам ретінде анық көрсетеді.</w:t>
      </w:r>
    </w:p>
    <w:p>
      <w:pPr>
        <w:pStyle w:val="ArticleScripture"/>
        <w:jc w:val="left"/>
      </w:pPr>
      <w:r>
        <w:rPr>
          <w:rFonts w:ascii="Times New Roman" w:hAnsi="Times New Roman" w:eastAsia="Times New Roman" w:cs="Times New Roman"/>
        </w:rPr>
        <w:t>Смотрите, душа его, вознёсшаяся, не права в нём; а праведный верою своею жив будет. Аввакум 2:4.</w:t>
      </w:r>
    </w:p>
    <w:p>
      <w:pPr>
        <w:pStyle w:val="ArticleBody"/>
        <w:jc w:val="left"/>
      </w:pPr>
      <w:r>
        <w:rPr>
          <w:rFonts w:ascii="Times New Roman" w:hAnsi="Times New Roman" w:eastAsia="Times New Roman" w:cs="Times New Roman"/>
        </w:rPr>
        <w:t>Sina daŋ dɔxalin na ñaari tabali yooyu mooy yoon yu màgg yi ci Yeremi. Waaye bi wottukati Yeremi wolée trompet bi, xeetu bëgg-bopp yooyu, ñi seen xol yékkatiwu na, bañ nañoo déglu. Ñoom lañu doon itam xeet wi ci aaya wi jiitu, ñi bañoon dox ci yoon yu màgg yi ngir gis noflaay ak yeesal.</w:t>
      </w:r>
    </w:p>
    <w:p>
      <w:pPr>
        <w:pStyle w:val="ArticleScripture"/>
        <w:jc w:val="left"/>
      </w:pP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సెలవిచ్చుచున్నాడు</w:t>
      </w:r>
      <w:r>
        <w:rPr>
          <w:rFonts w:ascii="Times New Roman" w:hAnsi="Times New Roman" w:eastAsia="Times New Roman" w:cs="Times New Roman"/>
        </w:rPr>
        <w:t xml:space="preserve">: </w:t>
      </w:r>
      <w:r>
        <w:rPr>
          <w:rFonts w:ascii="Nirmala UI" w:hAnsi="Nirmala UI" w:eastAsia="Nirmala UI" w:cs="Nirmala UI"/>
        </w:rPr>
        <w:t>మార్గములలో</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చూచుడి</w:t>
      </w:r>
      <w:r>
        <w:rPr>
          <w:rFonts w:ascii="Times New Roman" w:hAnsi="Times New Roman" w:eastAsia="Times New Roman" w:cs="Times New Roman"/>
        </w:rPr>
        <w:t xml:space="preserve">; </w:t>
      </w:r>
      <w:r>
        <w:rPr>
          <w:rFonts w:ascii="Nirmala UI" w:hAnsi="Nirmala UI" w:eastAsia="Nirmala UI" w:cs="Nirmala UI"/>
        </w:rPr>
        <w:t>పురాతన</w:t>
      </w:r>
      <w:r>
        <w:rPr>
          <w:rFonts w:ascii="Times New Roman" w:hAnsi="Times New Roman" w:eastAsia="Times New Roman" w:cs="Times New Roman"/>
        </w:rPr>
        <w:t xml:space="preserve"> </w:t>
      </w:r>
      <w:r>
        <w:rPr>
          <w:rFonts w:ascii="Nirmala UI" w:hAnsi="Nirmala UI" w:eastAsia="Nirmala UI" w:cs="Nirmala UI"/>
        </w:rPr>
        <w:t>మార్గములను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అడుగుడి</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మార్గము</w:t>
      </w:r>
      <w:r>
        <w:rPr>
          <w:rFonts w:ascii="Times New Roman" w:hAnsi="Times New Roman" w:eastAsia="Times New Roman" w:cs="Times New Roman"/>
        </w:rPr>
        <w:t xml:space="preserve"> </w:t>
      </w:r>
      <w:r>
        <w:rPr>
          <w:rFonts w:ascii="Nirmala UI" w:hAnsi="Nirmala UI" w:eastAsia="Nirmala UI" w:cs="Nirmala UI"/>
        </w:rPr>
        <w:t>ఎక్కడ</w:t>
      </w:r>
      <w:r>
        <w:rPr>
          <w:rFonts w:ascii="Times New Roman" w:hAnsi="Times New Roman" w:eastAsia="Times New Roman" w:cs="Times New Roman"/>
        </w:rPr>
        <w:t xml:space="preserve"> </w:t>
      </w:r>
      <w:r>
        <w:rPr>
          <w:rFonts w:ascii="Nirmala UI" w:hAnsi="Nirmala UI" w:eastAsia="Nirmala UI" w:cs="Nirmala UI"/>
        </w:rPr>
        <w:t>ఉందో</w:t>
      </w:r>
      <w:r>
        <w:rPr>
          <w:rFonts w:ascii="Times New Roman" w:hAnsi="Times New Roman" w:eastAsia="Times New Roman" w:cs="Times New Roman"/>
        </w:rPr>
        <w:t xml:space="preserve"> </w:t>
      </w:r>
      <w:r>
        <w:rPr>
          <w:rFonts w:ascii="Nirmala UI" w:hAnsi="Nirmala UI" w:eastAsia="Nirmala UI" w:cs="Nirmala UI"/>
        </w:rPr>
        <w:t>తెలుసుకొని</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నడుచుడి</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ప్రాణములకు</w:t>
      </w:r>
      <w:r>
        <w:rPr>
          <w:rFonts w:ascii="Times New Roman" w:hAnsi="Times New Roman" w:eastAsia="Times New Roman" w:cs="Times New Roman"/>
        </w:rPr>
        <w:t xml:space="preserve"> </w:t>
      </w:r>
      <w:r>
        <w:rPr>
          <w:rFonts w:ascii="Nirmala UI" w:hAnsi="Nirmala UI" w:eastAsia="Nirmala UI" w:cs="Nirmala UI"/>
        </w:rPr>
        <w:t>విశ్రాంతి</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నడువము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అన్నారు</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కాపలాదారులను</w:t>
      </w:r>
      <w:r>
        <w:rPr>
          <w:rFonts w:ascii="Times New Roman" w:hAnsi="Times New Roman" w:eastAsia="Times New Roman" w:cs="Times New Roman"/>
        </w:rPr>
        <w:t xml:space="preserve"> </w:t>
      </w:r>
      <w:r>
        <w:rPr>
          <w:rFonts w:ascii="Nirmala UI" w:hAnsi="Nirmala UI" w:eastAsia="Nirmala UI" w:cs="Nirmala UI"/>
        </w:rPr>
        <w:t>నియమించి</w:t>
      </w:r>
      <w:r>
        <w:rPr>
          <w:rFonts w:ascii="Times New Roman" w:hAnsi="Times New Roman" w:eastAsia="Times New Roman" w:cs="Times New Roman"/>
        </w:rPr>
        <w:t>, “</w:t>
      </w:r>
      <w:r>
        <w:rPr>
          <w:rFonts w:ascii="Nirmala UI" w:hAnsi="Nirmala UI" w:eastAsia="Nirmala UI" w:cs="Nirmala UI"/>
        </w:rPr>
        <w:t>కాహళధ్వనిని</w:t>
      </w:r>
      <w:r>
        <w:rPr>
          <w:rFonts w:ascii="Times New Roman" w:hAnsi="Times New Roman" w:eastAsia="Times New Roman" w:cs="Times New Roman"/>
        </w:rPr>
        <w:t xml:space="preserve"> </w:t>
      </w:r>
      <w:r>
        <w:rPr>
          <w:rFonts w:ascii="Nirmala UI" w:hAnsi="Nirmala UI" w:eastAsia="Nirmala UI" w:cs="Nirmala UI"/>
        </w:rPr>
        <w:t>ఆలకించుడి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చెప్పితిని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ఆలకింపము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అన్నారు</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6:16, 17.</w:t>
      </w:r>
    </w:p>
    <w:p>
      <w:pPr>
        <w:pStyle w:val="ArticleBody"/>
        <w:jc w:val="left"/>
      </w:pPr>
      <w:r>
        <w:rPr>
          <w:rFonts w:ascii="Times New Roman" w:hAnsi="Times New Roman" w:eastAsia="Times New Roman" w:cs="Times New Roman"/>
        </w:rPr>
        <w:t>خۇدانىڭ خەلقى ئۈستىگە 9/11دە بېكىتىلگەن كۆزەتچىلەر مۇسا، ئېللېن ۋايت، جونس ۋە ۋاگگونېر ئىدى؛ بۇ ئىش مۇسانىڭ توتۇق لەۋلىرى ئارقىلىق تەمثىل قىلىنغان بولۇپ، ئۇمۇ ئۇنىڭ مىسىر تىلىدا سۆزلەشتىن قورقۇشى ئارقىلىق ئىپادىلەنگەن ئىدى، چۈنكى ئۇ بۇ تىلنى قىرىق يىلدىن بۇيان ئىشلىتىپ باقمىغان ئىدى. قىزىل دېڭىزدىن مۇسا بىلەن بىللە ئۆتكەن بارلىق ئىبرانىيلار ۋە ئارىلاش توپقا نىسبەتەن، مۇسا چەت ئەل ئاھاڭى بار ئادەم ئىدى. ئۇنىڭ ئاھاڭى نازارەتلىك ئاھاڭ ئىدى. پېترۇسنىڭمۇ ئاھاڭى ئايرىم تونۇلغان ئىدى.</w:t>
      </w:r>
    </w:p>
    <w:p>
      <w:pPr>
        <w:pStyle w:val="ArticleScripture"/>
        <w:jc w:val="left"/>
      </w:pPr>
      <w:r>
        <w:rPr>
          <w:rFonts w:ascii="Times New Roman" w:hAnsi="Times New Roman" w:eastAsia="Times New Roman" w:cs="Times New Roman"/>
        </w:rPr>
        <w:t>وخەلەکی لە دوای ماوەیەک هاتنە لای ئەوەی لەوێ وەستان بوون، و بە پەترۆسیان گوت: بەڕاستی تۆش یەکێک لەوانەیت؛ چونکە شێوازی قسەکردنت تۆ ئاشکرا دەکات. مەتا 26:73.</w:t>
      </w:r>
    </w:p>
    <w:p>
      <w:pPr>
        <w:pStyle w:val="ArticleBody"/>
        <w:jc w:val="left"/>
      </w:pPr>
      <w:r>
        <w:rPr>
          <w:rFonts w:ascii="Times New Roman" w:hAnsi="Times New Roman" w:eastAsia="Times New Roman" w:cs="Times New Roman"/>
        </w:rPr>
        <w:t>Փետրոսի պատմության վիճաբանության մեջ նա երեք անգամ ստեց, և վիճաբանության ընթացքում առանձնացվեց իր արտասանությամբ, կամ իր կակազող լեզվով։ Վիճաբանության մեջ գտնվող մի դաս Աստծուն հարցրեց. «Ի՞նչ եմ ասելու վիճաբանության մեջ»։ Նրանք «տեսնում են» հին ճանապարհները և «լսում են» փողի ձայնը։ Նրանք տեսնում և լսում են, և երբ վերջապես «վիճաբանում» են, հաղթահարում են։ Վերջին օրերում հաղթահարելու պատգամը ներկայացված է որպես Լաոդիկիայի պատգամ։ Ի տարբերություն Լաոդիկիայի եկեղեցու՝ Փիլադելփիայի եկեղեցին դատապարտություն չունի։</w:t>
      </w:r>
    </w:p>
    <w:p>
      <w:pPr>
        <w:pStyle w:val="ArticleScripture"/>
        <w:jc w:val="left"/>
      </w:pPr>
      <w:r>
        <w:rPr>
          <w:rFonts w:ascii="Times New Roman" w:hAnsi="Times New Roman" w:eastAsia="Times New Roman" w:cs="Times New Roman"/>
        </w:rPr>
        <w:t>Тэр ялагчийг Би Өөрийн Бурханы сүмд багана болгоно, тэр дахин хэзээ ч гадагш гарахгүй. Мөн Би түүн дээр Өөрийн Бурханы нэрийг, Өөрийн Бурханы хотын нэрийг, тэнгэрээс Өөрийн Бурханаас бууж ирдэг шинэ Иерусалимын нэрийг, бас Өөрийн шинэ нэрийг бичнэ. Чихтэй нэгэн нь Сүнс чуулгануудад юу айлдаж байгааг сонсогтун. Илчлэлт 3:12, 13.</w:t>
      </w:r>
    </w:p>
    <w:p>
      <w:pPr>
        <w:pStyle w:val="ArticleBody"/>
        <w:jc w:val="left"/>
      </w:pPr>
      <w:r>
        <w:rPr>
          <w:rFonts w:ascii="Times New Roman" w:hAnsi="Times New Roman" w:eastAsia="Times New Roman" w:cs="Times New Roman"/>
        </w:rPr>
        <w:t>مەحکومبوونەوە نەبوونی هەرچەندێک، بەڵام بەڵێنی بۆ فیلادێلفیا تەنها بۆ ئەوانەیە کە «سەردەکەون». کڵێسای فیلادێلفیا بەرامبەر بە کڵێسای لاودیکیا دادەنرێت، و بە پۆلێک جیاواز دەکرێتەوە کە پێویستی بە سەردەکەوتن هەیە، و پۆلێک کە سەردەکەوتووە. کڵێسای فیلادێلفیا بەرامبەر بە کڵێسای لاودیکیا دادەنرێت، و کڵێسای لاودیکیا ئەو پاکیزە کچانەی نادانن لە مەتا 25.</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ចំណោមសភាពរបស់ព្រះវិហារ</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ដែលត្រូវបានតំណាងដោយព្រហ្មចារីល្ងង់ទាំងនោះ</w:t>
      </w:r>
      <w:r>
        <w:rPr>
          <w:rFonts w:ascii="Times New Roman" w:hAnsi="Times New Roman" w:eastAsia="Times New Roman" w:cs="Times New Roman"/>
        </w:rPr>
        <w:t xml:space="preserve"> </w:t>
      </w:r>
      <w:r>
        <w:rPr>
          <w:rFonts w:ascii="Leelawadee UI" w:hAnsi="Leelawadee UI" w:eastAsia="Leelawadee UI" w:cs="Leelawadee UI"/>
        </w:rPr>
        <w:t>ក៏ត្រូវបានហៅថា</w:t>
      </w:r>
      <w:r>
        <w:rPr>
          <w:rFonts w:ascii="Times New Roman" w:hAnsi="Times New Roman" w:eastAsia="Times New Roman" w:cs="Times New Roman"/>
        </w:rPr>
        <w:t xml:space="preserve"> </w:t>
      </w:r>
      <w:r>
        <w:rPr>
          <w:rFonts w:ascii="Leelawadee UI" w:hAnsi="Leelawadee UI" w:eastAsia="Leelawadee UI" w:cs="Leelawadee UI"/>
        </w:rPr>
        <w:t>ជាសភាពឡៅឌីសេដែរ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August 19, 1890.</w:t>
      </w:r>
    </w:p>
    <w:p>
      <w:pPr>
        <w:pStyle w:val="ArticleBody"/>
        <w:jc w:val="left"/>
      </w:pP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ဒွင်တာဝါများ</w:t>
      </w:r>
      <w:r>
        <w:rPr>
          <w:rFonts w:ascii="Times New Roman" w:hAnsi="Times New Roman" w:eastAsia="Times New Roman" w:cs="Times New Roman"/>
        </w:rPr>
        <w:t xml:space="preserve"> </w:t>
      </w:r>
      <w:r>
        <w:rPr>
          <w:rFonts w:ascii="Myanmar Text" w:hAnsi="Myanmar Text" w:eastAsia="Myanmar Text" w:cs="Myanmar Text"/>
        </w:rPr>
        <w:t>ပြိုလဲသည့်အချိန်၌</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ဆင်းသက်လာသောအခါ၊</w:t>
      </w:r>
      <w:r>
        <w:rPr>
          <w:rFonts w:ascii="Times New Roman" w:hAnsi="Times New Roman" w:eastAsia="Times New Roman" w:cs="Times New Roman"/>
        </w:rPr>
        <w:t xml:space="preserve"> Jones </w:t>
      </w:r>
      <w:r>
        <w:rPr>
          <w:rFonts w:ascii="Myanmar Text" w:hAnsi="Myanmar Text" w:eastAsia="Myanmar Text" w:cs="Myanmar Text"/>
        </w:rPr>
        <w:t>နှင့်</w:t>
      </w:r>
      <w:r>
        <w:rPr>
          <w:rFonts w:ascii="Times New Roman" w:hAnsi="Times New Roman" w:eastAsia="Times New Roman" w:cs="Times New Roman"/>
        </w:rPr>
        <w:t xml:space="preserve"> Waggoner </w:t>
      </w:r>
      <w:r>
        <w:rPr>
          <w:rFonts w:ascii="Myanmar Text" w:hAnsi="Myanmar Text" w:eastAsia="Myanmar Text" w:cs="Myanmar Text"/>
        </w:rPr>
        <w:t>တို့သည်</w:t>
      </w:r>
      <w:r>
        <w:rPr>
          <w:rFonts w:ascii="Times New Roman" w:hAnsi="Times New Roman" w:eastAsia="Times New Roman" w:cs="Times New Roman"/>
        </w:rPr>
        <w:t xml:space="preserve"> Laodicean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စတင်တင်ပြခဲ့ကြပြီး၊</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အငြင်းပွားမှုသည်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Jeremiah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တံပိုးသတင်းစကားသည်</w:t>
      </w:r>
      <w:r>
        <w:rPr>
          <w:rFonts w:ascii="Times New Roman" w:hAnsi="Times New Roman" w:eastAsia="Times New Roman" w:cs="Times New Roman"/>
        </w:rPr>
        <w:t xml:space="preserve"> </w:t>
      </w:r>
      <w:r>
        <w:rPr>
          <w:rFonts w:ascii="Myanmar Text" w:hAnsi="Myanmar Text" w:eastAsia="Myanmar Text" w:cs="Myanmar Text"/>
        </w:rPr>
        <w:t>သတ္တမတံပိုးဖြစ်ပြီး၊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တတိယအမင်္ဂလာဖြစ်ကာ၊</w:t>
      </w:r>
      <w:r>
        <w:rPr>
          <w:rFonts w:ascii="Times New Roman" w:hAnsi="Times New Roman" w:eastAsia="Times New Roman" w:cs="Times New Roman"/>
        </w:rPr>
        <w:t xml:space="preserve"> Habakkuk </w:t>
      </w:r>
      <w:r>
        <w:rPr>
          <w:rFonts w:ascii="Myanmar Text" w:hAnsi="Myanmar Text" w:eastAsia="Myanmar Text" w:cs="Myanmar Text"/>
        </w:rPr>
        <w:t>၏</w:t>
      </w:r>
      <w:r>
        <w:rPr>
          <w:rFonts w:ascii="Times New Roman" w:hAnsi="Times New Roman" w:eastAsia="Times New Roman" w:cs="Times New Roman"/>
        </w:rPr>
        <w:t xml:space="preserve"> 1843 </w:t>
      </w:r>
      <w:r>
        <w:rPr>
          <w:rFonts w:ascii="Myanmar Text" w:hAnsi="Myanmar Text" w:eastAsia="Myanmar Text" w:cs="Myanmar Text"/>
        </w:rPr>
        <w:t>နှင့်</w:t>
      </w:r>
      <w:r>
        <w:rPr>
          <w:rFonts w:ascii="Times New Roman" w:hAnsi="Times New Roman" w:eastAsia="Times New Roman" w:cs="Times New Roman"/>
        </w:rPr>
        <w:t xml:space="preserve"> 1850 </w:t>
      </w:r>
      <w:r>
        <w:rPr>
          <w:rFonts w:ascii="Myanmar Text" w:hAnsi="Myanmar Text" w:eastAsia="Myanmar Text" w:cs="Myanmar Text"/>
        </w:rPr>
        <w:t>ဇယားများပေါ်တွင်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သမ္မာတရားများ</w:t>
      </w:r>
      <w:r>
        <w:rPr>
          <w:rFonts w:ascii="Times New Roman" w:hAnsi="Times New Roman" w:eastAsia="Times New Roman" w:cs="Times New Roman"/>
        </w:rPr>
        <w:t>—</w:t>
      </w:r>
      <w:r>
        <w:rPr>
          <w:rFonts w:ascii="Myanmar Text" w:hAnsi="Myanmar Text" w:eastAsia="Myanmar Text" w:cs="Myanmar Text"/>
        </w:rPr>
        <w:t>သမ္မာတရားအားလုံး</w:t>
      </w:r>
      <w:r>
        <w:rPr>
          <w:rFonts w:ascii="Times New Roman" w:hAnsi="Times New Roman" w:eastAsia="Times New Roman" w:cs="Times New Roman"/>
        </w:rPr>
        <w:t>—</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ရှေးဟောင်းလမ်းခရီးများအတွင်း</w:t>
      </w:r>
      <w:r>
        <w:rPr>
          <w:rFonts w:ascii="Times New Roman" w:hAnsi="Times New Roman" w:eastAsia="Times New Roman" w:cs="Times New Roman"/>
        </w:rPr>
        <w:t xml:space="preserve"> </w:t>
      </w:r>
      <w:r>
        <w:rPr>
          <w:rFonts w:ascii="Myanmar Text" w:hAnsi="Myanmar Text" w:eastAsia="Myanmar Text" w:cs="Myanmar Text"/>
        </w:rPr>
        <w:t>ခွဲခြားသတ်မှတ်ထားသော</w:t>
      </w:r>
      <w:r>
        <w:rPr>
          <w:rFonts w:ascii="Times New Roman" w:hAnsi="Times New Roman" w:eastAsia="Times New Roman" w:cs="Times New Roman"/>
        </w:rPr>
        <w:t xml:space="preserve"> Islam </w:t>
      </w:r>
      <w:r>
        <w:rPr>
          <w:rFonts w:ascii="Myanmar Text" w:hAnsi="Myanmar Text" w:eastAsia="Myanmar Text" w:cs="Myanmar Text"/>
        </w:rPr>
        <w:t>ပင်ဖြစ်သည်။</w:t>
      </w:r>
      <w:r>
        <w:rPr>
          <w:rFonts w:ascii="Times New Roman" w:hAnsi="Times New Roman" w:eastAsia="Times New Roman" w:cs="Times New Roman"/>
        </w:rPr>
        <w:t xml:space="preserve"> Laodicean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ကယ်တင်ခြင်း၏</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မျှော်လင့်ချက်ဖြစ်ပြီး၊</w:t>
      </w:r>
      <w:r>
        <w:rPr>
          <w:rFonts w:ascii="Times New Roman" w:hAnsi="Times New Roman" w:eastAsia="Times New Roman" w:cs="Times New Roman"/>
        </w:rPr>
        <w:t xml:space="preserve"> “</w:t>
      </w:r>
      <w:r>
        <w:rPr>
          <w:rFonts w:ascii="Myanmar Text" w:hAnsi="Myanmar Text" w:eastAsia="Myanmar Text" w:cs="Myanmar Text"/>
        </w:rPr>
        <w:t>ကယ်တင်ခြင်း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ကုသခြင်းဖြစ်သည်။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မိမိကိုယ်တော်ကို</w:t>
      </w:r>
      <w:r>
        <w:rPr>
          <w:rFonts w:ascii="Times New Roman" w:hAnsi="Times New Roman" w:eastAsia="Times New Roman" w:cs="Times New Roman"/>
        </w:rPr>
        <w:t xml:space="preserve"> Laodicean </w:t>
      </w:r>
      <w:r>
        <w:rPr>
          <w:rFonts w:ascii="Myanmar Text" w:hAnsi="Myanmar Text" w:eastAsia="Myanmar Text" w:cs="Myanmar Text"/>
        </w:rPr>
        <w:t>တစ်ဦး၏</w:t>
      </w:r>
      <w:r>
        <w:rPr>
          <w:rFonts w:ascii="Times New Roman" w:hAnsi="Times New Roman" w:eastAsia="Times New Roman" w:cs="Times New Roman"/>
        </w:rPr>
        <w:t xml:space="preserve"> </w:t>
      </w:r>
      <w:r>
        <w:rPr>
          <w:rFonts w:ascii="Myanmar Text" w:hAnsi="Myanmar Text" w:eastAsia="Myanmar Text" w:cs="Myanmar Text"/>
        </w:rPr>
        <w:t>နှလုံးတံခါးကို</w:t>
      </w:r>
      <w:r>
        <w:rPr>
          <w:rFonts w:ascii="Times New Roman" w:hAnsi="Times New Roman" w:eastAsia="Times New Roman" w:cs="Times New Roman"/>
        </w:rPr>
        <w:t xml:space="preserve"> </w:t>
      </w:r>
      <w:r>
        <w:rPr>
          <w:rFonts w:ascii="Myanmar Text" w:hAnsi="Myanmar Text" w:eastAsia="Myanmar Text" w:cs="Myanmar Text"/>
        </w:rPr>
        <w:t>ခေါက်နေသောသူအဖြစ်</w:t>
      </w:r>
      <w:r>
        <w:rPr>
          <w:rFonts w:ascii="Times New Roman" w:hAnsi="Times New Roman" w:eastAsia="Times New Roman" w:cs="Times New Roman"/>
        </w:rPr>
        <w:t xml:space="preserve"> </w:t>
      </w:r>
      <w:r>
        <w:rPr>
          <w:rFonts w:ascii="Myanmar Text" w:hAnsi="Myanmar Text" w:eastAsia="Myanmar Text" w:cs="Myanmar Text"/>
        </w:rPr>
        <w:t>ပုံဖော်တော်မူသည်ဖြစ်စေ၊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Laodicean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ငြိမ်းချမ်းရေးပြုမည်ဆိုလျှင်</w:t>
      </w:r>
      <w:r>
        <w:rPr>
          <w:rFonts w:ascii="Times New Roman" w:hAnsi="Times New Roman" w:eastAsia="Times New Roman" w:cs="Times New Roman"/>
        </w:rPr>
        <w:t xml:space="preserve"> </w:t>
      </w:r>
      <w:r>
        <w:rPr>
          <w:rFonts w:ascii="Myanmar Text" w:hAnsi="Myanmar Text" w:eastAsia="Myanmar Text" w:cs="Myanmar Text"/>
        </w:rPr>
        <w:t>မိမိဘက်မှလည်း</w:t>
      </w:r>
      <w:r>
        <w:rPr>
          <w:rFonts w:ascii="Times New Roman" w:hAnsi="Times New Roman" w:eastAsia="Times New Roman" w:cs="Times New Roman"/>
        </w:rPr>
        <w:t xml:space="preserve"> </w:t>
      </w:r>
      <w:r>
        <w:rPr>
          <w:rFonts w:ascii="Myanmar Text" w:hAnsi="Myanmar Text" w:eastAsia="Myanmar Text" w:cs="Myanmar Text"/>
        </w:rPr>
        <w:t>သူတို့နှင့်</w:t>
      </w:r>
      <w:r>
        <w:rPr>
          <w:rFonts w:ascii="Times New Roman" w:hAnsi="Times New Roman" w:eastAsia="Times New Roman" w:cs="Times New Roman"/>
        </w:rPr>
        <w:t xml:space="preserve"> </w:t>
      </w:r>
      <w:r>
        <w:rPr>
          <w:rFonts w:ascii="Myanmar Text" w:hAnsi="Myanmar Text" w:eastAsia="Myanmar Text" w:cs="Myanmar Text"/>
        </w:rPr>
        <w:t>ငြိမ်းချမ်းရေးပြုမည်ဟု</w:t>
      </w:r>
      <w:r>
        <w:rPr>
          <w:rFonts w:ascii="Times New Roman" w:hAnsi="Times New Roman" w:eastAsia="Times New Roman" w:cs="Times New Roman"/>
        </w:rPr>
        <w:t xml:space="preserve"> </w:t>
      </w:r>
      <w:r>
        <w:rPr>
          <w:rFonts w:ascii="Myanmar Text" w:hAnsi="Myanmar Text" w:eastAsia="Myanmar Text" w:cs="Myanmar Text"/>
        </w:rPr>
        <w:t>ကတိတော်ပေးတော်မူသည်ဖြစ်စေ၊</w:t>
      </w:r>
      <w:r>
        <w:rPr>
          <w:rFonts w:ascii="Times New Roman" w:hAnsi="Times New Roman" w:eastAsia="Times New Roman" w:cs="Times New Roman"/>
        </w:rPr>
        <w:t xml:space="preserve"> Laodicean Seventh-day Adventist </w:t>
      </w:r>
      <w:r>
        <w:rPr>
          <w:rFonts w:ascii="Myanmar Text" w:hAnsi="Myanmar Text" w:eastAsia="Myanmar Text" w:cs="Myanmar Text"/>
        </w:rPr>
        <w:t>တစ်ဦးအား</w:t>
      </w:r>
      <w:r>
        <w:rPr>
          <w:rFonts w:ascii="Times New Roman" w:hAnsi="Times New Roman" w:eastAsia="Times New Roman" w:cs="Times New Roman"/>
        </w:rPr>
        <w:t xml:space="preserve"> </w:t>
      </w:r>
      <w:r>
        <w:rPr>
          <w:rFonts w:ascii="Myanmar Text" w:hAnsi="Myanmar Text" w:eastAsia="Myanmar Text" w:cs="Myanmar Text"/>
        </w:rPr>
        <w:t>ကမ်းလှမ်းထားသည်မှာ</w:t>
      </w:r>
      <w:r>
        <w:rPr>
          <w:rFonts w:ascii="Times New Roman" w:hAnsi="Times New Roman" w:eastAsia="Times New Roman" w:cs="Times New Roman"/>
        </w:rPr>
        <w:t xml:space="preserve"> </w:t>
      </w:r>
      <w:r>
        <w:rPr>
          <w:rFonts w:ascii="Myanmar Text" w:hAnsi="Myanmar Text" w:eastAsia="Myanmar Text" w:cs="Myanmar Text"/>
        </w:rPr>
        <w:t>ကုသခြင်း၏</w:t>
      </w:r>
      <w:r>
        <w:rPr>
          <w:rFonts w:ascii="Times New Roman" w:hAnsi="Times New Roman" w:eastAsia="Times New Roman" w:cs="Times New Roman"/>
        </w:rPr>
        <w:t xml:space="preserve"> </w:t>
      </w:r>
      <w:r>
        <w:rPr>
          <w:rFonts w:ascii="Myanmar Text" w:hAnsi="Myanmar Text" w:eastAsia="Myanmar Text" w:cs="Myanmar Text"/>
        </w:rPr>
        <w:t>သတင်းစကားတစ်ခုတည်းသာ</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Heading"/>
        <w:jc w:val="left"/>
      </w:pPr>
      <w:r>
        <w:rPr>
          <w:rFonts w:ascii="Arial" w:hAnsi="Arial" w:eastAsia="Arial" w:cs="Arial"/>
        </w:rPr>
        <w:t>Ayl tii Nejpaakat Messiyaani Waymarko’ Laodicea natsa’an 9/11 yo’on.</w:t>
      </w:r>
    </w:p>
    <w:p>
      <w:pPr>
        <w:pStyle w:val="ArticleScripture"/>
        <w:jc w:val="left"/>
      </w:pPr>
      <w:r>
        <w:rPr>
          <w:rFonts w:ascii="Times New Roman" w:hAnsi="Times New Roman" w:eastAsia="Times New Roman" w:cs="Times New Roman"/>
        </w:rPr>
        <w:t>Ixa chaymi profeta Esaias rimashqan hunt’akunman karqan: Pay kikinmi ñoqanchikpa onqoyniykunata apakurqan, unquyniyninchikkunatapas aparqan. Mateo 8:17.</w:t>
      </w:r>
    </w:p>
    <w:p>
      <w:pPr>
        <w:pStyle w:val="ArticleHeading"/>
        <w:jc w:val="left"/>
      </w:pPr>
      <w:r>
        <w:rPr>
          <w:rFonts w:ascii="Arial" w:hAnsi="Arial" w:eastAsia="Arial" w:cs="Arial"/>
        </w:rPr>
        <w:t>ئەنبازی</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Ake n’ye edi nsutɔ ahorow guu ne so, na ɔsoa yɛn awerɛhow; nanso yɛbuu no sɛ wɔabɔ no, Onyankopɔn na ɔde amanehunu ato no so, na wɔahyɛ no ahometew. Yesaia 53:4.</w:t>
      </w:r>
    </w:p>
    <w:p>
      <w:pPr>
        <w:pStyle w:val="ArticleScripture"/>
        <w:jc w:val="left"/>
      </w:pPr>
      <w:r>
        <w:rPr>
          <w:rFonts w:ascii="Myanmar Text" w:hAnsi="Myanmar Text" w:eastAsia="Myanmar Text" w:cs="Myanmar Text"/>
        </w:rPr>
        <w:t>လောဒိကိမြို့သားအသင်းတော်၏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ဤအရာတို့ကို</w:t>
      </w:r>
      <w:r>
        <w:rPr>
          <w:rFonts w:ascii="Times New Roman" w:hAnsi="Times New Roman" w:eastAsia="Times New Roman" w:cs="Times New Roman"/>
        </w:rPr>
        <w:t xml:space="preserve"> </w:t>
      </w:r>
      <w:r>
        <w:rPr>
          <w:rFonts w:ascii="Myanmar Text" w:hAnsi="Myanmar Text" w:eastAsia="Myanmar Text" w:cs="Myanmar Text"/>
        </w:rPr>
        <w:t>အာမင်ဖြစ်တော်မူသောသူ၊</w:t>
      </w:r>
      <w:r>
        <w:rPr>
          <w:rFonts w:ascii="Times New Roman" w:hAnsi="Times New Roman" w:eastAsia="Times New Roman" w:cs="Times New Roman"/>
        </w:rPr>
        <w:t xml:space="preserve"> </w:t>
      </w:r>
      <w:r>
        <w:rPr>
          <w:rFonts w:ascii="Myanmar Text" w:hAnsi="Myanmar Text" w:eastAsia="Myanmar Text" w:cs="Myanmar Text"/>
        </w:rPr>
        <w:t>သစ္စာနှင့်ပြည့်စုံ၍</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သက်သေဖြစ်တော်မူသောသူ၊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ဖန်ဆင်းခြင်းအမှု၏</w:t>
      </w:r>
      <w:r>
        <w:rPr>
          <w:rFonts w:ascii="Times New Roman" w:hAnsi="Times New Roman" w:eastAsia="Times New Roman" w:cs="Times New Roman"/>
        </w:rPr>
        <w:t xml:space="preserve"> </w:t>
      </w:r>
      <w:r>
        <w:rPr>
          <w:rFonts w:ascii="Myanmar Text" w:hAnsi="Myanmar Text" w:eastAsia="Myanmar Text" w:cs="Myanmar Text"/>
        </w:rPr>
        <w:t>အစပြုတော်မူသောသူက</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အေးလည်းမဟုတ်၊</w:t>
      </w:r>
      <w:r>
        <w:rPr>
          <w:rFonts w:ascii="Times New Roman" w:hAnsi="Times New Roman" w:eastAsia="Times New Roman" w:cs="Times New Roman"/>
        </w:rPr>
        <w:t xml:space="preserve"> </w:t>
      </w:r>
      <w:r>
        <w:rPr>
          <w:rFonts w:ascii="Myanmar Text" w:hAnsi="Myanmar Text" w:eastAsia="Myanmar Text" w:cs="Myanmar Text"/>
        </w:rPr>
        <w:t>ပူလည်းမဟုတ်။</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အေးသော်လည်းကောင်း၊</w:t>
      </w:r>
      <w:r>
        <w:rPr>
          <w:rFonts w:ascii="Times New Roman" w:hAnsi="Times New Roman" w:eastAsia="Times New Roman" w:cs="Times New Roman"/>
        </w:rPr>
        <w:t xml:space="preserve"> </w:t>
      </w:r>
      <w:r>
        <w:rPr>
          <w:rFonts w:ascii="Myanmar Text" w:hAnsi="Myanmar Text" w:eastAsia="Myanmar Text" w:cs="Myanmar Text"/>
        </w:rPr>
        <w:t>ပူသော်လည်းကောင်း</w:t>
      </w:r>
      <w:r>
        <w:rPr>
          <w:rFonts w:ascii="Times New Roman" w:hAnsi="Times New Roman" w:eastAsia="Times New Roman" w:cs="Times New Roman"/>
        </w:rPr>
        <w:t xml:space="preserve"> </w:t>
      </w:r>
      <w:r>
        <w:rPr>
          <w:rFonts w:ascii="Myanmar Text" w:hAnsi="Myanmar Text" w:eastAsia="Myanmar Text" w:cs="Myanmar Text"/>
        </w:rPr>
        <w:t>ဖြစ်စေချင်၏။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နွေးထွေးနွေးဖြစ်၍</w:t>
      </w:r>
      <w:r>
        <w:rPr>
          <w:rFonts w:ascii="Times New Roman" w:hAnsi="Times New Roman" w:eastAsia="Times New Roman" w:cs="Times New Roman"/>
        </w:rPr>
        <w:t xml:space="preserve"> </w:t>
      </w:r>
      <w:r>
        <w:rPr>
          <w:rFonts w:ascii="Myanmar Text" w:hAnsi="Myanmar Text" w:eastAsia="Myanmar Text" w:cs="Myanmar Text"/>
        </w:rPr>
        <w:t>အေးလည်းမဟုတ်၊</w:t>
      </w:r>
      <w:r>
        <w:rPr>
          <w:rFonts w:ascii="Times New Roman" w:hAnsi="Times New Roman" w:eastAsia="Times New Roman" w:cs="Times New Roman"/>
        </w:rPr>
        <w:t xml:space="preserve"> </w:t>
      </w:r>
      <w:r>
        <w:rPr>
          <w:rFonts w:ascii="Myanmar Text" w:hAnsi="Myanmar Text" w:eastAsia="Myanmar Text" w:cs="Myanmar Text"/>
        </w:rPr>
        <w:t>ပူလည်းမဟုတ်သောကြောင့်၊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ငါ၏နှုတ်မှ</w:t>
      </w:r>
      <w:r>
        <w:rPr>
          <w:rFonts w:ascii="Times New Roman" w:hAnsi="Times New Roman" w:eastAsia="Times New Roman" w:cs="Times New Roman"/>
        </w:rPr>
        <w:t xml:space="preserve"> </w:t>
      </w:r>
      <w:r>
        <w:rPr>
          <w:rFonts w:ascii="Myanmar Text" w:hAnsi="Myanmar Text" w:eastAsia="Myanmar Text" w:cs="Myanmar Text"/>
        </w:rPr>
        <w:t>အန်ထုတ်မည်။</w:t>
      </w:r>
    </w:p>
    <w:p>
      <w:pPr>
        <w:pStyle w:val="ArticleScripture"/>
        <w:jc w:val="left"/>
      </w:pPr>
      <w:r>
        <w:rPr>
          <w:rFonts w:ascii="Times New Roman" w:hAnsi="Times New Roman" w:eastAsia="Times New Roman" w:cs="Times New Roman"/>
        </w:rPr>
        <w:t>سېن چې تون چوهاس، «مان دولتمند هَسان، نعمتن ۾ وڌيل هَسان، ۽ منهنجي ڪا شيءِ جي ضرورت ڪانهي»؛ پر تون اِها ڪانہِ ڄاڻين ته تون بدحال، قابلِ رحم، غريب، انڌو، ۽ اُگهاڙو آهين:</w:t>
      </w:r>
    </w:p>
    <w:p>
      <w:pPr>
        <w:pStyle w:val="ArticleScripture"/>
        <w:jc w:val="left"/>
      </w:pPr>
      <w:r>
        <w:rPr>
          <w:rFonts w:ascii="Times New Roman" w:hAnsi="Times New Roman" w:eastAsia="Times New Roman" w:cs="Times New Roman"/>
        </w:rPr>
        <w:t>Ndzi ku tsundzuxa leswaku u xava eka mina nsuku lowu ringiweke hi ndzilo, leswaku u ta va xifumi; ni swiambalo swo basa, leswaku u ta ambexiwa, naswona leswaku tingana ta vunanga bya wena ti nga vonaki; naswona tota mahlo ya wena hi murhi wa mahlo, leswaku u ta vona.</w:t>
      </w:r>
    </w:p>
    <w:p>
      <w:pPr>
        <w:pStyle w:val="ArticleScripture"/>
        <w:jc w:val="left"/>
      </w:pPr>
      <w:r>
        <w:rPr>
          <w:rFonts w:ascii="Times New Roman" w:hAnsi="Times New Roman" w:eastAsia="Times New Roman" w:cs="Times New Roman"/>
        </w:rPr>
        <w:t>يا من أحبُّه أُوبِّخْه وأؤدِّبْه؛ فكن غيورًا إذًا وتُبْ. هأنذا واقفٌ على الباب وأقرع: إن سمع أحدٌ صوتي وفتح الباب، أدخل إليه وأتعشّى معه وهو معي. من يغلب فسأُعطيه أن يجلس معي في عرشي، كما غلبتُ أنا أيضًا وجلستُ مع أبي في عرشه. من له أذن فليسمع ما يقوله الروح للكنائس. رؤيا 3:14–22.</w:t>
      </w:r>
    </w:p>
    <w:p>
      <w:pPr>
        <w:pStyle w:val="ArticleBody"/>
        <w:jc w:val="left"/>
      </w:pPr>
      <w:r>
        <w:rPr>
          <w:rFonts w:ascii="Times New Roman" w:hAnsi="Times New Roman" w:eastAsia="Times New Roman" w:cs="Times New Roman"/>
        </w:rPr>
        <w:t>алтын, ақ киім сатып алуға және көзге май жағуға берілген кеңес — жай ғана өліммен емес, мәңгілік өліммен аяқталатын жағдайға арналған айқын ем. Алтын, киім және көзге жағылатын май қандай мәселелерді емдесе де, сол мәселелер Мәсіхтің біздің әлсіздіктерімізді Өзіне алып, қайғыларымызды көтеруімен оп-оңай үйлеседі. Жохан Құдай Сөзі және Иса туралы куәлік үшін, яғни Пайғамбарлық Рухы үшін, Патмоста қамауда болды. Пайғамбарлық Рухы — Лаодикеяның емі, ал Пайғамбарлық Рухының емдік қасиеттері Мәсіхтің біздің әлсіздіктерімізді Өзіне алып, қайғыларымызды көтеруі арқылы бейнеленді.</w:t>
      </w:r>
    </w:p>
    <w:p>
      <w:pPr>
        <w:pStyle w:val="ArticleBody"/>
        <w:jc w:val="left"/>
      </w:pPr>
      <w:r>
        <w:rPr>
          <w:rFonts w:ascii="Times New Roman" w:hAnsi="Times New Roman" w:eastAsia="Times New Roman" w:cs="Times New Roman"/>
        </w:rPr>
        <w:t>Christus arnaqassutsitivut tigusinnaavai aatsaat uummatitta matuata ammarnissaa aqqutigalugu, tassa Illuatalu Guutiussusia inuttutut pinngortitaanerput ilanngullugu akulerutsinneqaqqullugu. Arnaqassutsitivut tigusarpai uagutsinnut inuuneqarnikkut iseraangami Anersaap Illernartup najuunneratigut. Matu ammarparput aaqqiissut naammassigutsigu. Aaqqiissut uummammik ammartoq tassaavoq kuulti, atisassaq qaqortoq, kiisalu isikkut tarnillu tippaat. Isikkut tarnillu tippaat tassaavoq Guutip oqaasiata qaammarsagaanera, tamanna Anersaap Illernartup kisimi naammassisinnaavaa. Biibili tassaavoq isigatta qullia, aammalu aqqutip qaammaqqutaata qaamaniarneqarsinnaasup qaammasinnera tassaavoq Unnuap qeqqata nipaa.</w:t>
      </w:r>
    </w:p>
    <w:p>
      <w:pPr>
        <w:pStyle w:val="ArticleScripture"/>
        <w:jc w:val="left"/>
      </w:pPr>
      <w:r>
        <w:rPr>
          <w:rFonts w:ascii="Times New Roman" w:hAnsi="Times New Roman" w:eastAsia="Times New Roman" w:cs="Times New Roman"/>
        </w:rPr>
        <w:t>Qyźi Ñe’ẽ che pykuépe g̃uarã peteĩ mba’eresape, ha peteĩ tesape che rape rehegua. Salmos 119:105.</w:t>
      </w:r>
    </w:p>
    <w:p>
      <w:pPr>
        <w:pStyle w:val="ArticleBody"/>
        <w:jc w:val="left"/>
      </w:pPr>
      <w:r>
        <w:rPr>
          <w:rFonts w:ascii="Times New Roman" w:hAnsi="Times New Roman" w:eastAsia="Times New Roman" w:cs="Times New Roman"/>
        </w:rPr>
        <w:t>Marka Laodicean lagu waaniyo inuu indhihiisa subko, waa inuu ku subkaa Erayga Ilaah, kaas oo ah laambad; hase yeeshee, sida lagu muujiyey masalka tobanka bikradood, laambaddu waxtar ma leh saliid la’aanteed. Laodiceanadu waxay haystaan Kitaabbadooda, inkasta oo badankoodu aanu ahayn King James Version, laakiin ma haystaan saliidda Ruuxa Quduuska ah. Subkidda indhaha Laodiceanka waxaa lagu dhammaystiraa farriin xanbaarsan joogitaanka Ruuxa Quduuska ah.</w:t>
      </w:r>
    </w:p>
    <w:p>
      <w:pPr>
        <w:pStyle w:val="ArticleBody"/>
        <w:jc w:val="left"/>
      </w:pPr>
      <w:r>
        <w:rPr>
          <w:rFonts w:ascii="Nirmala UI" w:hAnsi="Nirmala UI" w:eastAsia="Nirmala UI" w:cs="Nirmala UI"/>
        </w:rPr>
        <w:t>ᱞᱟᱣᱫᱤᱥᱤᱭᱟᱱ</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ᱥᱚᱫᱷᱚᱜ</w:t>
      </w:r>
      <w:r>
        <w:rPr>
          <w:rFonts w:ascii="Times New Roman" w:hAnsi="Times New Roman" w:eastAsia="Times New Roman" w:cs="Times New Roman"/>
        </w:rPr>
        <w:t xml:space="preserve"> </w:t>
      </w:r>
      <w:r>
        <w:rPr>
          <w:rFonts w:ascii="Nirmala UI" w:hAnsi="Nirmala UI" w:eastAsia="Nirmala UI" w:cs="Nirmala UI"/>
        </w:rPr>
        <w:t>ᱟᱫ</w:t>
      </w:r>
      <w:r>
        <w:rPr>
          <w:rFonts w:ascii="Times New Roman" w:hAnsi="Times New Roman" w:eastAsia="Times New Roman" w:cs="Times New Roman"/>
        </w:rPr>
        <w:t xml:space="preserve"> </w:t>
      </w:r>
      <w:r>
        <w:rPr>
          <w:rFonts w:ascii="Nirmala UI" w:hAnsi="Nirmala UI" w:eastAsia="Nirmala UI" w:cs="Nirmala UI"/>
        </w:rPr>
        <w:t>ᱥᱚᱱᱟ</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ᱠᱤᱱᱟᱜ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ᱥᱩᱫᱷᱩ</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ᱥᱚᱱᱮᱦᱚᱛ</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ᱠᱟᱹᱢᱤᱭᱟ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ᱠᱟᱭᱟ।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ᱥᱟᱞᱵ</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ᱛᱮᱢᱚᱱ</w:t>
      </w:r>
      <w:r>
        <w:rPr>
          <w:rFonts w:ascii="Times New Roman" w:hAnsi="Times New Roman" w:eastAsia="Times New Roman" w:cs="Times New Roman"/>
        </w:rPr>
        <w:t xml:space="preserve"> </w:t>
      </w:r>
      <w:r>
        <w:rPr>
          <w:rFonts w:ascii="Nirmala UI" w:hAnsi="Nirmala UI" w:eastAsia="Nirmala UI" w:cs="Nirmala UI"/>
        </w:rPr>
        <w:t>ᱥᱚᱱᱟ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ᱞᱟᱣᱫᱤᱥᱤᱭᱟᱱ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ᱡᱟᱞ</w:t>
      </w:r>
      <w:r>
        <w:rPr>
          <w:rFonts w:ascii="Times New Roman" w:hAnsi="Times New Roman" w:eastAsia="Times New Roman" w:cs="Times New Roman"/>
        </w:rPr>
        <w:t xml:space="preserve"> </w:t>
      </w:r>
      <w:r>
        <w:rPr>
          <w:rFonts w:ascii="Nirmala UI" w:hAnsi="Nirmala UI" w:eastAsia="Nirmala UI" w:cs="Nirmala UI"/>
        </w:rPr>
        <w:t>ᱫᱟᱹᱣᱟ</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ᱞᱟᱣᱫᱤᱥᱤᱭᱟᱱ</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ᱠᱷᱨᱤᱥᱴᱟᱱ</w:t>
      </w:r>
      <w:r>
        <w:rPr>
          <w:rFonts w:ascii="Times New Roman" w:hAnsi="Times New Roman" w:eastAsia="Times New Roman" w:cs="Times New Roman"/>
        </w:rPr>
        <w:t xml:space="preserve"> </w:t>
      </w:r>
      <w:r>
        <w:rPr>
          <w:rFonts w:ascii="Nirmala UI" w:hAnsi="Nirmala UI" w:eastAsia="Nirmala UI" w:cs="Nirmala UI"/>
        </w:rPr>
        <w:t>ᱡᱚᱜᱚᱛ</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ᱠᱟᱭᱟ</w:t>
      </w:r>
      <w:r>
        <w:rPr>
          <w:rFonts w:ascii="Times New Roman" w:hAnsi="Times New Roman" w:eastAsia="Times New Roman" w:cs="Times New Roman"/>
        </w:rPr>
        <w:t xml:space="preserve">, </w:t>
      </w:r>
      <w:r>
        <w:rPr>
          <w:rFonts w:ascii="Nirmala UI" w:hAnsi="Nirmala UI" w:eastAsia="Nirmala UI" w:cs="Nirmala UI"/>
        </w:rPr>
        <w:t>ᱫᱟᱹᱣᱟ</w:t>
      </w:r>
      <w:r>
        <w:rPr>
          <w:rFonts w:ascii="Times New Roman" w:hAnsi="Times New Roman" w:eastAsia="Times New Roman" w:cs="Times New Roman"/>
        </w:rPr>
        <w:t xml:space="preserve"> </w:t>
      </w:r>
      <w:r>
        <w:rPr>
          <w:rFonts w:ascii="Nirmala UI" w:hAnsi="Nirmala UI" w:eastAsia="Nirmala UI" w:cs="Nirmala UI"/>
        </w:rPr>
        <w:t>ᱭᱮᱫᱟ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“faith”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ᱞᱮᱠᱟᱱ</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ᱥᱩᱫᱷᱩ</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ᱵᱷᱨᱚᱥᱟ</w:t>
      </w:r>
      <w:r>
        <w:rPr>
          <w:rFonts w:ascii="Times New Roman" w:hAnsi="Times New Roman" w:eastAsia="Times New Roman" w:cs="Times New Roman"/>
        </w:rPr>
        <w:t xml:space="preserve"> </w:t>
      </w:r>
      <w:r>
        <w:rPr>
          <w:rFonts w:ascii="Nirmala UI" w:hAnsi="Nirmala UI" w:eastAsia="Nirmala UI" w:cs="Nirmala UI"/>
        </w:rPr>
        <w:t>ᱜᱮᱭᱟ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ᱡᱟᱞ</w:t>
      </w:r>
      <w:r>
        <w:rPr>
          <w:rFonts w:ascii="Times New Roman" w:hAnsi="Times New Roman" w:eastAsia="Times New Roman" w:cs="Times New Roman"/>
        </w:rPr>
        <w:t xml:space="preserve"> </w:t>
      </w:r>
      <w:r>
        <w:rPr>
          <w:rFonts w:ascii="Nirmala UI" w:hAnsi="Nirmala UI" w:eastAsia="Nirmala UI" w:cs="Nirmala UI"/>
        </w:rPr>
        <w:t>ᱱᱚᱠᱚᱞ</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ᱠᱟᱡᱽ</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ᱠᱟᱭᱟ।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ᱮᱢᱱᱟᱜ</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ᱠᱟᱭᱟ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ᱡᱟᱦᱟᱸᱠᱚ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ᱟᱠᱚ</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ᱠᱟᱡᱽ</w:t>
      </w:r>
      <w:r>
        <w:rPr>
          <w:rFonts w:ascii="Times New Roman" w:hAnsi="Times New Roman" w:eastAsia="Times New Roman" w:cs="Times New Roman"/>
        </w:rPr>
        <w:t xml:space="preserve"> “sanctified”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ᱚᱨᱛᱷ</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ᱦᱚᱭᱚᱜ।</w:t>
      </w:r>
      <w:r>
        <w:rPr>
          <w:rFonts w:ascii="Times New Roman" w:hAnsi="Times New Roman" w:eastAsia="Times New Roman" w:cs="Times New Roman"/>
        </w:rPr>
        <w:t xml:space="preserve"> </w:t>
      </w:r>
      <w:r>
        <w:rPr>
          <w:rFonts w:ascii="Nirmala UI" w:hAnsi="Nirmala UI" w:eastAsia="Nirmala UI" w:cs="Nirmala UI"/>
        </w:rPr>
        <w:t>ᱞᱟᱣᱫᱤᱥᱤᱭᱟᱱᱠᱚ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ᱵᱤᱥᱵᱟᱥ</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ᱠᱟᱡᱽ</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ᱛᱟᱠᱚ</w:t>
      </w:r>
      <w:r>
        <w:rPr>
          <w:rFonts w:ascii="Times New Roman" w:hAnsi="Times New Roman" w:eastAsia="Times New Roman" w:cs="Times New Roman"/>
        </w:rPr>
        <w:t xml:space="preserve"> </w:t>
      </w:r>
      <w:r>
        <w:rPr>
          <w:rFonts w:ascii="Nirmala UI" w:hAnsi="Nirmala UI" w:eastAsia="Nirmala UI" w:cs="Nirmala UI"/>
        </w:rPr>
        <w:t>ᱛᱟᱦᱮᱱᱠᱚ</w:t>
      </w:r>
      <w:r>
        <w:rPr>
          <w:rFonts w:ascii="Times New Roman" w:hAnsi="Times New Roman" w:eastAsia="Times New Roman" w:cs="Times New Roman"/>
        </w:rPr>
        <w:t xml:space="preserve">, </w:t>
      </w:r>
      <w:r>
        <w:rPr>
          <w:rFonts w:ascii="Nirmala UI" w:hAnsi="Nirmala UI" w:eastAsia="Nirmala UI" w:cs="Nirmala UI"/>
        </w:rPr>
        <w:t>ᱛᱟᱦᱚᱸ</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ᱵᱷᱤᱛᱨᱤ</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ᱯᱟᱨᱛᱷᱚᱱᱟ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ᱠᱟᱛᱮᱭᱟ।</w:t>
      </w:r>
    </w:p>
    <w:p>
      <w:pPr>
        <w:pStyle w:val="ArticleScripture"/>
        <w:jc w:val="left"/>
      </w:pPr>
      <w:r>
        <w:rPr>
          <w:rFonts w:ascii="Times New Roman" w:hAnsi="Times New Roman" w:eastAsia="Times New Roman" w:cs="Times New Roman"/>
        </w:rPr>
        <w:t>«Парадизы ахьеиҭашьақәыргылоу амҩа зыбжьам. Ари аҵыхәтәантәи амшқәа рзы ауаа ироуз ацҳаражәҳәабжь ауаҩытәыҩсатә зыԥшаарақәа билән еилаԥсахатәӡам. Ҳара адунеиатә закәандырҩцәа рполитика ҳақәымгылатәуп. Ҳара аҟәышра зҭоу, абзиабарала Анцәа иҳәоу, агылара зцәымшәо, Саҭана иагентцәа рыла иԥшьоушәа зхы мҩаԥымго, хынраала иҟоу ауааәаны ҳаҟазароуп.»</w:t>
      </w:r>
    </w:p>
    <w:p>
      <w:pPr>
        <w:pStyle w:val="ArticleScripture"/>
        <w:jc w:val="left"/>
      </w:pPr>
      <w:r>
        <w:rPr>
          <w:rFonts w:ascii="Times New Roman" w:hAnsi="Times New Roman" w:eastAsia="Times New Roman" w:cs="Times New Roman"/>
        </w:rPr>
        <w:t>«Хьыж ахьаана иман рымоуп, ау абзиабарала аус зуа, насгьы адуша зырԥшӡауа иман акәӡам. Аиқәырхара ззаазго иман ииашаӡоу ақәшаҳаҭра мацара акәӡам. “Ашьауцәагьы ишьаҳаҭуп, рзымшәагьы ҟалоит”. Анцәа Иԥшьоу Идоуҳазы иҟанаҵо аҵаҵара ауаа ирызнагоит иман, узықәымԥшаахо мчык иеиԥш иҟоу, ахәыцшьа зеиҭазырҳәо, ауаа формалтә хымҩаԥгашьақәа раасҭа ҳараӡа инеиго. Ҳажәақәа, ҳусқәа, насгьы ҳдоуҳа шаҳаҭра рымазароуп ари ахҭыс азы — ҳара Христос инаушьҭымҭацәа шаҳакәу.»</w:t>
      </w:r>
    </w:p>
    <w:p>
      <w:pPr>
        <w:pStyle w:val="ArticleScripture"/>
        <w:jc w:val="left"/>
      </w:pPr>
      <w:r>
        <w:rPr>
          <w:rFonts w:ascii="Times New Roman" w:hAnsi="Times New Roman" w:eastAsia="Times New Roman" w:cs="Times New Roman"/>
        </w:rPr>
        <w:t>“Ñandejára ome’ẽ vaʼekue pe tesape ha jehovasa tuichavéva ndahaʼéi peteĩ tekorosã jejahýi hag̃ua jejavy ha ñemboyke hag̃ua koʼã ára pahápe. Umi Ñandejára omopuʼã vaʼekue yvatekuépe jeroviapy rekópe ikatu ojere yvágagui osẽva tesapégui yvypóra arandukápe. Upéicharõ, itesape oikóta pytũmbýramo, umi ikatupyry Ñandejára omoĩ vaʼekue ipópe oikóta ñuhãramo, ha ikarakter oikóta peteĩ mbaʼe ombojaʼóva Ñandejárape. Ñandejára ndojejahýimoʼãi. Pe ñemboyke chugui oiko vaʼekue ha tapiaite oikóta omoirũva hendive umi tembiapo añeteguáva. Umi tembiapo ombopochýva Ñandejárape, ndajejepyʼapyʼỹre oñembyasýramo ha ndojehejarekóiramoguare, rangue ojeheka hag̃uáicha oñemombaʼe hag̃ua, ogueraháta mbaʼe vai apohárape mbeguekatúpe ñembotavýpe peve heta angaipa ojejapóvo ojehechakuaaʼỹ hag̃uáicha. Opavave umi orekoséva peteĩ karakter ojapóva chuguikuéra tembiapohára oñondive Ñandejárandi ha ohupyty hag̃ua Ñandejára ñeʼẽporã, oñembojaʼo vaʼerã ijehegui Ñandejára rayhuháʼỹvagui, ha toñongatu pe añetegua Cristo omeʼẽ vaʼekue Juánpe omeʼẽ hag̃ua yvy ariguápe.” Manuscript Releases, volumen 18, 30–36.</w:t>
      </w:r>
    </w:p>
    <w:p>
      <w:pPr>
        <w:pStyle w:val="ArticleBody"/>
        <w:jc w:val="left"/>
      </w:pPr>
      <w:r>
        <w:rPr>
          <w:rFonts w:ascii="Times New Roman" w:hAnsi="Times New Roman" w:eastAsia="Times New Roman" w:cs="Times New Roman"/>
        </w:rPr>
        <w:t>«Ризы белые» — это праведность Христа.</w:t>
      </w:r>
    </w:p>
    <w:p>
      <w:pPr>
        <w:pStyle w:val="ArticleScripture"/>
        <w:jc w:val="left"/>
      </w:pPr>
      <w:r>
        <w:rPr>
          <w:rFonts w:ascii="Times New Roman" w:hAnsi="Times New Roman" w:eastAsia="Times New Roman" w:cs="Times New Roman"/>
        </w:rPr>
        <w:t>Kawarie gi nĩ kwîhia mũno, na tũmũhe gĩtĩĩo; nĩgũkorwo ũthoni wa Mwana wa Ng’ondu nĩũkinyu, na mũtumia wake nĩeekwĩhũthĩrĩirie. Nake akĩheo kũhumbwo kitani kĩega, gĩtheru na gĩtheri; nĩgũkorwo kitani kĩu nĩ ũthingu wa atũũre. Nake akĩra atĩrĩ, Andĩka: Marathimwo nĩ arĩa metĩtwo kũrĩ irio cia ũthoni wa Mwana wa Ng’ondu. Nake akĩra atĩrĩ, Ici nĩ ciugo cia ma wa Ngai. Kũguũrĩrio 19:7–9.</w:t>
      </w:r>
    </w:p>
    <w:p>
      <w:pPr>
        <w:pStyle w:val="ArticleBody"/>
        <w:jc w:val="left"/>
      </w:pPr>
      <w:r>
        <w:rPr>
          <w:rFonts w:ascii="Times New Roman" w:hAnsi="Times New Roman" w:eastAsia="Times New Roman" w:cs="Times New Roman"/>
        </w:rPr>
        <w:t>Ɔyere no siesiee ne ho denam nnuruasia a wɔde maa Laodikea no so, na bere a ɔyɛɛ saa no, ɔdan ne ho maa no bɛyɛɛ Filadelfia ayeforokunu yere. Nkyekyɛm ahorow no rekasa tẽẽ kyerɛ Adventism, a wɔagyina hɔ ama no wɔ mmɛbusɛm a ɛfa mmabaa du no ho no mu. Mmabaa no ne wɔn a wɔretwɛn sɛ wɔbɛkɔ ayeforohyia a wɔafrɛ wɔn akɔ no. Ɔyere no siesiee ne ho, efisɛ wɔmaa no ho kwan wɔ Sakaria ti 3 mu, wɔ Yosua ne ɔbɔfo no ho asɛm no mu. Ɛhɔ na woyii ne Laodikea ntade a agu fi no fii ne ho, na wɔde ayeforohyia ntade fitaa a ɛyɛ nwera pa hyɛɛ no ananmu. Nnuruasia no wɔ adansefo a ɔto so abien wɔ Ellen Gould White din no mu. Ellen kyerɛ hann a ɛhyerɛn na ɛtɔ n’ani so, na egyina hɔ ma ani aduru no. Gould yɛ tete Borɔfo kasa mu asɛmfua a ɛkyerɛ sika kɔkɔɔ, na ne nkyerɛase ne sika kɔkɔɔ. White gyina hɔ ma trenee, na wɔamma no saa din no kosii afe 1846, bere a ɔwaree James no. Saa bere no na ne din sesae bɛyɛɛ White. Din-sesae no ne aware no nyinaa yɛ apam mu abusuabɔ ho nsɛnkyerɛnne. Ansa na aware no reba no, ne din de Harmon, a ne nkyerɛase ne asomdwoe so sɔfo, sɛnea na ɔte saa bere no. Ellen White ne Laodikea nkrasɛm no, na sɛ obi pow no a, ɔpow nkwagye!</w:t>
      </w:r>
    </w:p>
    <w:p>
      <w:pPr>
        <w:pStyle w:val="ArticleBody"/>
        <w:jc w:val="left"/>
      </w:pPr>
      <w:r>
        <w:rPr>
          <w:rFonts w:ascii="Myanmar Text" w:hAnsi="Myanmar Text" w:eastAsia="Myanmar Text" w:cs="Myanmar Text"/>
        </w:rPr>
        <w:t>နောက်ဆောင်းပါးတွင်</w:t>
      </w:r>
      <w:r>
        <w:rPr>
          <w:rFonts w:ascii="Times New Roman" w:hAnsi="Times New Roman" w:eastAsia="Times New Roman" w:cs="Times New Roman"/>
        </w:rPr>
        <w:t xml:space="preserve"> </w:t>
      </w:r>
      <w:r>
        <w:rPr>
          <w:rFonts w:ascii="Myanmar Text" w:hAnsi="Myanmar Text" w:eastAsia="Myanmar Text" w:cs="Myanmar Text"/>
        </w:rPr>
        <w:t>မဿဲကျမ်းအတွင်းရှိ</w:t>
      </w:r>
      <w:r>
        <w:rPr>
          <w:rFonts w:ascii="Times New Roman" w:hAnsi="Times New Roman" w:eastAsia="Times New Roman" w:cs="Times New Roman"/>
        </w:rPr>
        <w:t xml:space="preserve"> </w:t>
      </w:r>
      <w:r>
        <w:rPr>
          <w:rFonts w:ascii="Myanmar Text" w:hAnsi="Myanmar Text" w:eastAsia="Myanmar Text" w:cs="Myanmar Text"/>
        </w:rPr>
        <w:t>မေရှိယနှင့်ဆိုင်သော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ဆယ့်နှစ်ချက်ကို</w:t>
      </w:r>
      <w:r>
        <w:rPr>
          <w:rFonts w:ascii="Times New Roman" w:hAnsi="Times New Roman" w:eastAsia="Times New Roman" w:cs="Times New Roman"/>
        </w:rPr>
        <w:t xml:space="preserve"> </w:t>
      </w:r>
      <w:r>
        <w:rPr>
          <w:rFonts w:ascii="Myanmar Text" w:hAnsi="Myanmar Text" w:eastAsia="Myanmar Text" w:cs="Myanmar Text"/>
        </w:rPr>
        <w:t>ဆက်လက်သုံးသပ်သွားမည်။</w:t>
      </w:r>
    </w:p>
    <w:p>
      <w:pPr>
        <w:pStyle w:val="ArticleScripture"/>
        <w:jc w:val="left"/>
      </w:pPr>
      <w:r>
        <w:rPr>
          <w:rFonts w:ascii="Times New Roman" w:hAnsi="Times New Roman" w:eastAsia="Times New Roman" w:cs="Times New Roman"/>
        </w:rPr>
        <w:t>«وحی ۳:۱۴–۱۸ نقل شد.»</w:t>
      </w:r>
    </w:p>
    <w:p>
      <w:pPr>
        <w:pStyle w:val="ArticleScripture"/>
        <w:jc w:val="left"/>
      </w:pPr>
      <w:r>
        <w:rPr>
          <w:rFonts w:ascii="Times New Roman" w:hAnsi="Times New Roman" w:eastAsia="Times New Roman" w:cs="Times New Roman"/>
        </w:rPr>
        <w:t>«Oh, ake tā te whakamārama whakahirahira! Tokomaha rawa te hunga e noho ana i roto i tēnei āhuatanga whakamataku. E tino inoi atu ana ahau ki ia minita kia ū ki te ako mārire i te upoko tuatoru o Revelation, nō te mea kei roto i reira e whakaaturia ana te āhua o ngā mea e tū ana i ngā rā whakamutunga. Āta rangahautia ia irava o tēnei upoko, nō te mea mā ēnei kupu a Ihu e kōrero nei ki a koutou. »</w:t>
      </w:r>
    </w:p>
    <w:p>
      <w:pPr>
        <w:pStyle w:val="ArticleScripture"/>
        <w:jc w:val="left"/>
      </w:pPr>
      <w:r>
        <w:rPr>
          <w:rFonts w:ascii="Times New Roman" w:hAnsi="Times New Roman" w:eastAsia="Times New Roman" w:cs="Times New Roman"/>
        </w:rPr>
        <w:t>«Хэрэв хэзээ нэгэн цагт нэгэн ард түмэн Лаодикийн мэдээгээр төлөөлөгдөж байсан бол, тэр нь Адвентистууд болох Долоо дахь өдрийн Адвентистуудын хүлээн авсан Ариун Бичээсийн илчлэлт хэмээх агуу гэрэлтэй байсан ард түмэн мөн.» Manuscript Releases, volume 18, 193.</w:t>
      </w:r>
    </w:p>
    <w:p>
      <w:pPr>
        <w:pStyle w:val="ArticleScripture"/>
        <w:jc w:val="left"/>
      </w:pPr>
      <w:r>
        <w:rPr>
          <w:rFonts w:ascii="Times New Roman" w:hAnsi="Times New Roman" w:eastAsia="Times New Roman" w:cs="Times New Roman"/>
        </w:rPr>
        <w:t>"خۇدانىڭ ھەقىقىي ئەمر-پەرمانلىرىنى ساقلايدىغان خەلقى دۇنياغا داغسىز پۈتۈنلۈككە ئىگە بىر خاراكتېرنى نامايان قىلىدۇ؛ ئۆزلىرىنىڭ ئەمەل-يۈرۈشلىرى ئارقىلىق، رەببىنىڭ قانۇنى كامىل بولۇپ، جاننى ئايلاندۇرىدىغانلىقىغا گۇۋاھلىق بېرىدۇ. شۇنداقلا رەببى ئەيسا، خۇدانىڭ ئوغلى، خۇدانىڭ قانۇنىغا بولغان ئىتائەت ئارقىلىق، ئۇ قانۇننى ئۈستۈن كۆتۈرۈپ، ئىززەتلىك قىلدى. يەتتىنچى كۈنلۈك ئادۋېنتىست دەپ ئاتىلىدىغان ھەر قانداق چىركاۋنىڭ، ئۆزى خۇداغا خىزمەت قىلماي، بەلكى غۇرۇر، ئۆزپەرەسلىك ۋە دۇنياپەرەسلىك ئارقىلىق، ئاسمانىي مەنبەدىن كەلگەن ھەقىقەتنىڭ ئۆز خاراكتېرىدە بىر ئىسلاھات پەيدا قىلمىغانلىقىنى كۆرسىتىۋاتقان ھەر بىر ئەزاسىنى، خۇدا شۈبھىسىزكى ھۆكۈم قىلىدۇ."</w:t>
      </w:r>
    </w:p>
    <w:p>
      <w:pPr>
        <w:pStyle w:val="ArticleScripture"/>
        <w:jc w:val="left"/>
      </w:pPr>
      <w:r>
        <w:rPr>
          <w:rFonts w:ascii="Times New Roman" w:hAnsi="Times New Roman" w:eastAsia="Times New Roman" w:cs="Times New Roman"/>
        </w:rPr>
        <w:t>«Внимательно прочтите Откровение 3:15–18. Слышен голос Иисуса Христа. „Кого Я люблю, тех обличаю и наказываю; итак будь ревностен [не малодушен] и покайся. Се, Я [твой Спаситель] стою у двери и стучу: если кто услышит голос Мой и отворит дверь, войду к нему и буду вечерять с ним, и он со Мною. Побеждающему дам сесть со Мною на престоле Моём, как и Я победил и сел с Отцом Моим на престоле Его“ [Откровение 3:19–21].»</w:t>
      </w:r>
    </w:p>
    <w:p>
      <w:pPr>
        <w:pStyle w:val="ArticleScripture"/>
        <w:jc w:val="left"/>
      </w:pPr>
      <w:r>
        <w:rPr>
          <w:rFonts w:ascii="Times New Roman" w:hAnsi="Times New Roman" w:eastAsia="Times New Roman" w:cs="Times New Roman"/>
        </w:rPr>
        <w:t>“¿Escucharán las iglesias el mensaje a Laodicea? ¿Se arrepentirán, o continuarán en pecado, no obstante que el mensaje más solemne de verdad —el mensaje del tercer ángel— está siendo proclamado al mundo? Este es el último mensaje de misericordia, la última amonestación para un mundo caído. Si la iglesia de Dios llega a volverse tibia, no goza más del favor de Dios que las iglesias que son representadas como habiendo caído y llegado a ser habitación de demonios, guarida de todo espíritu inmundo y albergue de toda ave inmunda y aborrecible. Los que han tenido oportunidades de oír y recibir la verdad, y que se han unido a la Iglesia Adventista del Séptimo Día, llamándose a sí mismos el pueblo de Dios que guarda los mandamientos, y sin embargo no poseen más vitalidad ni consagración a Dios que las iglesias nominales, recibirán las plagas de Dios tan ciertamente como las iglesias que se oponen a la ley de Dios. Solamente los que son santificados por la verdad compondrán la familia real en las moradas celestiales que Cristo ha ido a preparar para los que le aman y guardan sus mandamientos.</w:t>
      </w:r>
    </w:p>
    <w:p>
      <w:pPr>
        <w:pStyle w:val="ArticleScripture"/>
        <w:jc w:val="left"/>
      </w:pPr>
      <w:r>
        <w:rPr>
          <w:rFonts w:ascii="Times New Roman" w:hAnsi="Times New Roman" w:eastAsia="Times New Roman" w:cs="Times New Roman"/>
        </w:rPr>
        <w:t>«“</w:t>
      </w:r>
      <w:r>
        <w:rPr>
          <w:rFonts w:ascii="Nirmala UI" w:hAnsi="Nirmala UI" w:eastAsia="Nirmala UI" w:cs="Nirmala UI"/>
        </w:rPr>
        <w:t>ಹೇಳುವವನು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ಆತನನ್ನು</w:t>
      </w:r>
      <w:r>
        <w:rPr>
          <w:rFonts w:ascii="Times New Roman" w:hAnsi="Times New Roman" w:eastAsia="Times New Roman" w:cs="Times New Roman"/>
        </w:rPr>
        <w:t xml:space="preserve"> </w:t>
      </w:r>
      <w:r>
        <w:rPr>
          <w:rFonts w:ascii="Nirmala UI" w:hAnsi="Nirmala UI" w:eastAsia="Nirmala UI" w:cs="Nirmala UI"/>
        </w:rPr>
        <w:t>ಬಲ್ಲೆನು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ಆಜ್ಞೆಗಳನ್ನು</w:t>
      </w:r>
      <w:r>
        <w:rPr>
          <w:rFonts w:ascii="Times New Roman" w:hAnsi="Times New Roman" w:eastAsia="Times New Roman" w:cs="Times New Roman"/>
        </w:rPr>
        <w:t xml:space="preserve"> </w:t>
      </w:r>
      <w:r>
        <w:rPr>
          <w:rFonts w:ascii="Nirmala UI" w:hAnsi="Nirmala UI" w:eastAsia="Nirmala UI" w:cs="Nirmala UI"/>
        </w:rPr>
        <w:t>ಕೈಕೊಳ್ಳದವನು</w:t>
      </w:r>
      <w:r>
        <w:rPr>
          <w:rFonts w:ascii="Times New Roman" w:hAnsi="Times New Roman" w:eastAsia="Times New Roman" w:cs="Times New Roman"/>
        </w:rPr>
        <w:t xml:space="preserve"> </w:t>
      </w:r>
      <w:r>
        <w:rPr>
          <w:rFonts w:ascii="Nirmala UI" w:hAnsi="Nirmala UI" w:eastAsia="Nirmala UI" w:cs="Nirmala UI"/>
        </w:rPr>
        <w:t>ಸುಳ್ಳುಗಾರನು</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ಅವನಲ್ಲಿಲ್ಲ</w:t>
      </w:r>
      <w:r>
        <w:rPr>
          <w:rFonts w:ascii="Times New Roman" w:hAnsi="Times New Roman" w:eastAsia="Times New Roman" w:cs="Times New Roman"/>
        </w:rPr>
        <w:t xml:space="preserve">” [1 John 2:4]. </w:t>
      </w:r>
      <w:r>
        <w:rPr>
          <w:rFonts w:ascii="Nirmala UI" w:hAnsi="Nirmala UI" w:eastAsia="Nirmala UI" w:cs="Nirmala UI"/>
        </w:rPr>
        <w:t>ಇದರಲ್ಲಿ</w:t>
      </w:r>
      <w:r>
        <w:rPr>
          <w:rFonts w:ascii="Times New Roman" w:hAnsi="Times New Roman" w:eastAsia="Times New Roman" w:cs="Times New Roman"/>
        </w:rPr>
        <w:t xml:space="preserve"> </w:t>
      </w:r>
      <w:r>
        <w:rPr>
          <w:rFonts w:ascii="Nirmala UI" w:hAnsi="Nirmala UI" w:eastAsia="Nirmala UI" w:cs="Nirmala UI"/>
        </w:rPr>
        <w:t>ದೇವರನ್ನು</w:t>
      </w:r>
      <w:r>
        <w:rPr>
          <w:rFonts w:ascii="Times New Roman" w:hAnsi="Times New Roman" w:eastAsia="Times New Roman" w:cs="Times New Roman"/>
        </w:rPr>
        <w:t xml:space="preserve"> </w:t>
      </w:r>
      <w:r>
        <w:rPr>
          <w:rFonts w:ascii="Nirmala UI" w:hAnsi="Nirmala UI" w:eastAsia="Nirmala UI" w:cs="Nirmala UI"/>
        </w:rPr>
        <w:t>ತಿಳಿದಿದ್ದೇನೆಂದು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ಆಜ್ಞೆಗಳನ್ನು</w:t>
      </w:r>
      <w:r>
        <w:rPr>
          <w:rFonts w:ascii="Times New Roman" w:hAnsi="Times New Roman" w:eastAsia="Times New Roman" w:cs="Times New Roman"/>
        </w:rPr>
        <w:t xml:space="preserve"> </w:t>
      </w:r>
      <w:r>
        <w:rPr>
          <w:rFonts w:ascii="Nirmala UI" w:hAnsi="Nirmala UI" w:eastAsia="Nirmala UI" w:cs="Nirmala UI"/>
        </w:rPr>
        <w:t>ಕೈಕೊಳ್ಳುತ್ತೇನೆಂದು</w:t>
      </w:r>
      <w:r>
        <w:rPr>
          <w:rFonts w:ascii="Times New Roman" w:hAnsi="Times New Roman" w:eastAsia="Times New Roman" w:cs="Times New Roman"/>
        </w:rPr>
        <w:t xml:space="preserve"> </w:t>
      </w:r>
      <w:r>
        <w:rPr>
          <w:rFonts w:ascii="Nirmala UI" w:hAnsi="Nirmala UI" w:eastAsia="Nirmala UI" w:cs="Nirmala UI"/>
        </w:rPr>
        <w:t>ಹೇಳಿಕೊಳ್ಳುವ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ಸತ್ಕಾರ್ಯಗಳ</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ಪ್ರಕಟಿಸದಿರುವ</w:t>
      </w:r>
      <w:r>
        <w:rPr>
          <w:rFonts w:ascii="Times New Roman" w:hAnsi="Times New Roman" w:eastAsia="Times New Roman" w:cs="Times New Roman"/>
        </w:rPr>
        <w:t xml:space="preserve"> </w:t>
      </w:r>
      <w:r>
        <w:rPr>
          <w:rFonts w:ascii="Nirmala UI" w:hAnsi="Nirmala UI" w:eastAsia="Nirmala UI" w:cs="Nirmala UI"/>
        </w:rPr>
        <w:t>ಎಲ್ಲರೂ</w:t>
      </w:r>
      <w:r>
        <w:rPr>
          <w:rFonts w:ascii="Times New Roman" w:hAnsi="Times New Roman" w:eastAsia="Times New Roman" w:cs="Times New Roman"/>
        </w:rPr>
        <w:t xml:space="preserve"> </w:t>
      </w:r>
      <w:r>
        <w:rPr>
          <w:rFonts w:ascii="Nirmala UI" w:hAnsi="Nirmala UI" w:eastAsia="Nirmala UI" w:cs="Nirmala UI"/>
        </w:rPr>
        <w:t>ಒಳಗೊಂಡಿದ್ದಾರೆ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ಕೃತ್ಯಗಳ</w:t>
      </w:r>
      <w:r>
        <w:rPr>
          <w:rFonts w:ascii="Times New Roman" w:hAnsi="Times New Roman" w:eastAsia="Times New Roman" w:cs="Times New Roman"/>
        </w:rPr>
        <w:t xml:space="preserve"> </w:t>
      </w:r>
      <w:r>
        <w:rPr>
          <w:rFonts w:ascii="Nirmala UI" w:hAnsi="Nirmala UI" w:eastAsia="Nirmala UI" w:cs="Nirmala UI"/>
        </w:rPr>
        <w:t>ಪ್ರಕಾರ</w:t>
      </w:r>
      <w:r>
        <w:rPr>
          <w:rFonts w:ascii="Times New Roman" w:hAnsi="Times New Roman" w:eastAsia="Times New Roman" w:cs="Times New Roman"/>
        </w:rPr>
        <w:t xml:space="preserve"> </w:t>
      </w:r>
      <w:r>
        <w:rPr>
          <w:rFonts w:ascii="Nirmala UI" w:hAnsi="Nirmala UI" w:eastAsia="Nirmala UI" w:cs="Nirmala UI"/>
        </w:rPr>
        <w:t>ಪ್ರತಿಫಲವನ್ನು</w:t>
      </w:r>
      <w:r>
        <w:rPr>
          <w:rFonts w:ascii="Times New Roman" w:hAnsi="Times New Roman" w:eastAsia="Times New Roman" w:cs="Times New Roman"/>
        </w:rPr>
        <w:t xml:space="preserve"> </w:t>
      </w:r>
      <w:r>
        <w:rPr>
          <w:rFonts w:ascii="Nirmala UI" w:hAnsi="Nirmala UI" w:eastAsia="Nirmala UI" w:cs="Nirmala UI"/>
        </w:rPr>
        <w:t>ಹೊಂದುವರು</w:t>
      </w:r>
      <w:r>
        <w:rPr>
          <w:rFonts w:ascii="Times New Roman" w:hAnsi="Times New Roman" w:eastAsia="Times New Roman" w:cs="Times New Roman"/>
        </w:rPr>
        <w:t>.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ಆತನಲ್ಲಿ</w:t>
      </w:r>
      <w:r>
        <w:rPr>
          <w:rFonts w:ascii="Times New Roman" w:hAnsi="Times New Roman" w:eastAsia="Times New Roman" w:cs="Times New Roman"/>
        </w:rPr>
        <w:t xml:space="preserve"> </w:t>
      </w:r>
      <w:r>
        <w:rPr>
          <w:rFonts w:ascii="Nirmala UI" w:hAnsi="Nirmala UI" w:eastAsia="Nirmala UI" w:cs="Nirmala UI"/>
        </w:rPr>
        <w:t>ನೆಲೆಗೊಂಡಿರುವರೋ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ಪಾಪಮಾಡುವುದಿಲ್ಲ</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ಪಾಪಮಾಡುವರೋ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ಆತನನ್ನು</w:t>
      </w:r>
      <w:r>
        <w:rPr>
          <w:rFonts w:ascii="Times New Roman" w:hAnsi="Times New Roman" w:eastAsia="Times New Roman" w:cs="Times New Roman"/>
        </w:rPr>
        <w:t xml:space="preserve"> </w:t>
      </w:r>
      <w:r>
        <w:rPr>
          <w:rFonts w:ascii="Nirmala UI" w:hAnsi="Nirmala UI" w:eastAsia="Nirmala UI" w:cs="Nirmala UI"/>
        </w:rPr>
        <w:t>ಕಂಡಿಲ್ಲ</w:t>
      </w:r>
      <w:r>
        <w:rPr>
          <w:rFonts w:ascii="Times New Roman" w:hAnsi="Times New Roman" w:eastAsia="Times New Roman" w:cs="Times New Roman"/>
        </w:rPr>
        <w:t xml:space="preserve">, </w:t>
      </w:r>
      <w:r>
        <w:rPr>
          <w:rFonts w:ascii="Nirmala UI" w:hAnsi="Nirmala UI" w:eastAsia="Nirmala UI" w:cs="Nirmala UI"/>
        </w:rPr>
        <w:t>ತಿಳಿದಿಲ್ಲವೂ</w:t>
      </w:r>
      <w:r>
        <w:rPr>
          <w:rFonts w:ascii="Times New Roman" w:hAnsi="Times New Roman" w:eastAsia="Times New Roman" w:cs="Times New Roman"/>
        </w:rPr>
        <w:t xml:space="preserve">” [1 John 3:6].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ಸಭಾಸಭ್ಯರಿಗೆ</w:t>
      </w:r>
      <w:r>
        <w:rPr>
          <w:rFonts w:ascii="Times New Roman" w:hAnsi="Times New Roman" w:eastAsia="Times New Roman" w:cs="Times New Roman"/>
        </w:rPr>
        <w:t xml:space="preserve">, Seventh-day Adventist </w:t>
      </w:r>
      <w:r>
        <w:rPr>
          <w:rFonts w:ascii="Nirmala UI" w:hAnsi="Nirmala UI" w:eastAsia="Nirmala UI" w:cs="Nirmala UI"/>
        </w:rPr>
        <w:t>ಸಭೆಗಳ</w:t>
      </w:r>
      <w:r>
        <w:rPr>
          <w:rFonts w:ascii="Times New Roman" w:hAnsi="Times New Roman" w:eastAsia="Times New Roman" w:cs="Times New Roman"/>
        </w:rPr>
        <w:t xml:space="preserve"> </w:t>
      </w:r>
      <w:r>
        <w:rPr>
          <w:rFonts w:ascii="Nirmala UI" w:hAnsi="Nirmala UI" w:eastAsia="Nirmala UI" w:cs="Nirmala UI"/>
        </w:rPr>
        <w:t>ಸದಸ್ಯರನ್ನೂ</w:t>
      </w:r>
      <w:r>
        <w:rPr>
          <w:rFonts w:ascii="Times New Roman" w:hAnsi="Times New Roman" w:eastAsia="Times New Roman" w:cs="Times New Roman"/>
        </w:rPr>
        <w:t xml:space="preserve"> </w:t>
      </w:r>
      <w:r>
        <w:rPr>
          <w:rFonts w:ascii="Nirmala UI" w:hAnsi="Nirmala UI" w:eastAsia="Nirmala UI" w:cs="Nirmala UI"/>
        </w:rPr>
        <w:t>ಒಳಗೊಂಡಂತೆ</w:t>
      </w:r>
      <w:r>
        <w:rPr>
          <w:rFonts w:ascii="Times New Roman" w:hAnsi="Times New Roman" w:eastAsia="Times New Roman" w:cs="Times New Roman"/>
        </w:rPr>
        <w:t xml:space="preserve">, </w:t>
      </w:r>
      <w:r>
        <w:rPr>
          <w:rFonts w:ascii="Nirmala UI" w:hAnsi="Nirmala UI" w:eastAsia="Nirmala UI" w:cs="Nirmala UI"/>
        </w:rPr>
        <w:t>ಉದ್ದೇಶಿಸಿ</w:t>
      </w:r>
      <w:r>
        <w:rPr>
          <w:rFonts w:ascii="Times New Roman" w:hAnsi="Times New Roman" w:eastAsia="Times New Roman" w:cs="Times New Roman"/>
        </w:rPr>
        <w:t xml:space="preserve"> </w:t>
      </w:r>
      <w:r>
        <w:rPr>
          <w:rFonts w:ascii="Nirmala UI" w:hAnsi="Nirmala UI" w:eastAsia="Nirmala UI" w:cs="Nirmala UI"/>
        </w:rPr>
        <w:t>ಹೇಳಲ್ಪಟ್ಟಿದೆ</w:t>
      </w:r>
      <w:r>
        <w:rPr>
          <w:rFonts w:ascii="Times New Roman" w:hAnsi="Times New Roman" w:eastAsia="Times New Roman" w:cs="Times New Roman"/>
        </w:rPr>
        <w:t>. “</w:t>
      </w:r>
      <w:r>
        <w:rPr>
          <w:rFonts w:ascii="Nirmala UI" w:hAnsi="Nirmala UI" w:eastAsia="Nirmala UI" w:cs="Nirmala UI"/>
        </w:rPr>
        <w:t>ಸಣ್ಣ</w:t>
      </w:r>
      <w:r>
        <w:rPr>
          <w:rFonts w:ascii="Times New Roman" w:hAnsi="Times New Roman" w:eastAsia="Times New Roman" w:cs="Times New Roman"/>
        </w:rPr>
        <w:t xml:space="preserve"> </w:t>
      </w:r>
      <w:r>
        <w:rPr>
          <w:rFonts w:ascii="Nirmala UI" w:hAnsi="Nirmala UI" w:eastAsia="Nirmala UI" w:cs="Nirmala UI"/>
        </w:rPr>
        <w:t>ಮಕ್ಕಳೇ</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ಮೋಸಗೊಳಿಸದಿರಲಿ</w:t>
      </w:r>
      <w:r>
        <w:rPr>
          <w:rFonts w:ascii="Times New Roman" w:hAnsi="Times New Roman" w:eastAsia="Times New Roman" w:cs="Times New Roman"/>
        </w:rPr>
        <w:t xml:space="preserve">: </w:t>
      </w:r>
      <w:r>
        <w:rPr>
          <w:rFonts w:ascii="Nirmala UI" w:hAnsi="Nirmala UI" w:eastAsia="Nirmala UI" w:cs="Nirmala UI"/>
        </w:rPr>
        <w:t>ನೀತಿಯನ್ನು</w:t>
      </w:r>
      <w:r>
        <w:rPr>
          <w:rFonts w:ascii="Times New Roman" w:hAnsi="Times New Roman" w:eastAsia="Times New Roman" w:cs="Times New Roman"/>
        </w:rPr>
        <w:t xml:space="preserve"> </w:t>
      </w:r>
      <w:r>
        <w:rPr>
          <w:rFonts w:ascii="Nirmala UI" w:hAnsi="Nirmala UI" w:eastAsia="Nirmala UI" w:cs="Nirmala UI"/>
        </w:rPr>
        <w:t>ಆಚರಿಸುವವನು</w:t>
      </w:r>
      <w:r>
        <w:rPr>
          <w:rFonts w:ascii="Times New Roman" w:hAnsi="Times New Roman" w:eastAsia="Times New Roman" w:cs="Times New Roman"/>
        </w:rPr>
        <w:t xml:space="preserve"> </w:t>
      </w:r>
      <w:r>
        <w:rPr>
          <w:rFonts w:ascii="Nirmala UI" w:hAnsi="Nirmala UI" w:eastAsia="Nirmala UI" w:cs="Nirmala UI"/>
        </w:rPr>
        <w:t>ನೀತಿವಂತನು</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ನೀತಿವಂತನಾಗಿರುವಂತೆಯೇ</w:t>
      </w:r>
      <w:r>
        <w:rPr>
          <w:rFonts w:ascii="Times New Roman" w:hAnsi="Times New Roman" w:eastAsia="Times New Roman" w:cs="Times New Roman"/>
        </w:rPr>
        <w:t xml:space="preserve">. </w:t>
      </w:r>
      <w:r>
        <w:rPr>
          <w:rFonts w:ascii="Nirmala UI" w:hAnsi="Nirmala UI" w:eastAsia="Nirmala UI" w:cs="Nirmala UI"/>
        </w:rPr>
        <w:t>ಪಾಪವನ್ನು</w:t>
      </w:r>
      <w:r>
        <w:rPr>
          <w:rFonts w:ascii="Times New Roman" w:hAnsi="Times New Roman" w:eastAsia="Times New Roman" w:cs="Times New Roman"/>
        </w:rPr>
        <w:t xml:space="preserve"> </w:t>
      </w:r>
      <w:r>
        <w:rPr>
          <w:rFonts w:ascii="Nirmala UI" w:hAnsi="Nirmala UI" w:eastAsia="Nirmala UI" w:cs="Nirmala UI"/>
        </w:rPr>
        <w:t>ಆಚರಿಸುವವನು</w:t>
      </w:r>
      <w:r>
        <w:rPr>
          <w:rFonts w:ascii="Times New Roman" w:hAnsi="Times New Roman" w:eastAsia="Times New Roman" w:cs="Times New Roman"/>
        </w:rPr>
        <w:t xml:space="preserve"> </w:t>
      </w:r>
      <w:r>
        <w:rPr>
          <w:rFonts w:ascii="Nirmala UI" w:hAnsi="Nirmala UI" w:eastAsia="Nirmala UI" w:cs="Nirmala UI"/>
        </w:rPr>
        <w:t>ಸೈತಾನನವನಾಗಿದ್ದಾನೆ</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ಆದಿಯಿಂದಲೇ</w:t>
      </w:r>
      <w:r>
        <w:rPr>
          <w:rFonts w:ascii="Times New Roman" w:hAnsi="Times New Roman" w:eastAsia="Times New Roman" w:cs="Times New Roman"/>
        </w:rPr>
        <w:t xml:space="preserve"> </w:t>
      </w:r>
      <w:r>
        <w:rPr>
          <w:rFonts w:ascii="Nirmala UI" w:hAnsi="Nirmala UI" w:eastAsia="Nirmala UI" w:cs="Nirmala UI"/>
        </w:rPr>
        <w:t>ಪಾಪಮಾಡುತ್ತಿದ್ದಾನೆ</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ಉದ್ದೇಶಕ್ಕಾಗಿಯೇ</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ಮಗನು</w:t>
      </w:r>
      <w:r>
        <w:rPr>
          <w:rFonts w:ascii="Times New Roman" w:hAnsi="Times New Roman" w:eastAsia="Times New Roman" w:cs="Times New Roman"/>
        </w:rPr>
        <w:t xml:space="preserve"> </w:t>
      </w:r>
      <w:r>
        <w:rPr>
          <w:rFonts w:ascii="Nirmala UI" w:hAnsi="Nirmala UI" w:eastAsia="Nirmala UI" w:cs="Nirmala UI"/>
        </w:rPr>
        <w:t>ಪ್ರಕಟಿಸಲ್ಪಟ್ಟನು</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ಕೃತ್ಯಗಳನ್ನು</w:t>
      </w:r>
      <w:r>
        <w:rPr>
          <w:rFonts w:ascii="Times New Roman" w:hAnsi="Times New Roman" w:eastAsia="Times New Roman" w:cs="Times New Roman"/>
        </w:rPr>
        <w:t xml:space="preserve"> </w:t>
      </w:r>
      <w:r>
        <w:rPr>
          <w:rFonts w:ascii="Nirmala UI" w:hAnsi="Nirmala UI" w:eastAsia="Nirmala UI" w:cs="Nirmala UI"/>
        </w:rPr>
        <w:t>ನಾಶಮಾಡುವದಕ್ಕಾಗಿ</w:t>
      </w:r>
      <w:r>
        <w:rPr>
          <w:rFonts w:ascii="Times New Roman" w:hAnsi="Times New Roman" w:eastAsia="Times New Roman" w:cs="Times New Roman"/>
        </w:rPr>
        <w:t xml:space="preserve">. </w:t>
      </w:r>
      <w:r>
        <w:rPr>
          <w:rFonts w:ascii="Nirmala UI" w:hAnsi="Nirmala UI" w:eastAsia="Nirmala UI" w:cs="Nirmala UI"/>
        </w:rPr>
        <w:t>ದೇವರಿಂದ</w:t>
      </w:r>
      <w:r>
        <w:rPr>
          <w:rFonts w:ascii="Times New Roman" w:hAnsi="Times New Roman" w:eastAsia="Times New Roman" w:cs="Times New Roman"/>
        </w:rPr>
        <w:t xml:space="preserve"> </w:t>
      </w:r>
      <w:r>
        <w:rPr>
          <w:rFonts w:ascii="Nirmala UI" w:hAnsi="Nirmala UI" w:eastAsia="Nirmala UI" w:cs="Nirmala UI"/>
        </w:rPr>
        <w:t>ಜನಿಸಿದವನು</w:t>
      </w:r>
      <w:r>
        <w:rPr>
          <w:rFonts w:ascii="Times New Roman" w:hAnsi="Times New Roman" w:eastAsia="Times New Roman" w:cs="Times New Roman"/>
        </w:rPr>
        <w:t xml:space="preserve"> </w:t>
      </w:r>
      <w:r>
        <w:rPr>
          <w:rFonts w:ascii="Nirmala UI" w:hAnsi="Nirmala UI" w:eastAsia="Nirmala UI" w:cs="Nirmala UI"/>
        </w:rPr>
        <w:t>ಪಾಪವನ್ನು</w:t>
      </w:r>
      <w:r>
        <w:rPr>
          <w:rFonts w:ascii="Times New Roman" w:hAnsi="Times New Roman" w:eastAsia="Times New Roman" w:cs="Times New Roman"/>
        </w:rPr>
        <w:t xml:space="preserve"> </w:t>
      </w:r>
      <w:r>
        <w:rPr>
          <w:rFonts w:ascii="Nirmala UI" w:hAnsi="Nirmala UI" w:eastAsia="Nirmala UI" w:cs="Nirmala UI"/>
        </w:rPr>
        <w:t>ಆಚರಿಸುವುದಿಲ್ಲ</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ಬೀಜವು</w:t>
      </w:r>
      <w:r>
        <w:rPr>
          <w:rFonts w:ascii="Times New Roman" w:hAnsi="Times New Roman" w:eastAsia="Times New Roman" w:cs="Times New Roman"/>
        </w:rPr>
        <w:t xml:space="preserve"> </w:t>
      </w:r>
      <w:r>
        <w:rPr>
          <w:rFonts w:ascii="Nirmala UI" w:hAnsi="Nirmala UI" w:eastAsia="Nirmala UI" w:cs="Nirmala UI"/>
        </w:rPr>
        <w:t>ಅವನಲ್ಲಿ</w:t>
      </w:r>
      <w:r>
        <w:rPr>
          <w:rFonts w:ascii="Times New Roman" w:hAnsi="Times New Roman" w:eastAsia="Times New Roman" w:cs="Times New Roman"/>
        </w:rPr>
        <w:t xml:space="preserve"> </w:t>
      </w:r>
      <w:r>
        <w:rPr>
          <w:rFonts w:ascii="Nirmala UI" w:hAnsi="Nirmala UI" w:eastAsia="Nirmala UI" w:cs="Nirmala UI"/>
        </w:rPr>
        <w:t>ಉಳಿದಿದೆ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ಪಾಪಮಾಡಲಾರನು</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ದೇವರಿಂದ</w:t>
      </w:r>
      <w:r>
        <w:rPr>
          <w:rFonts w:ascii="Times New Roman" w:hAnsi="Times New Roman" w:eastAsia="Times New Roman" w:cs="Times New Roman"/>
        </w:rPr>
        <w:t xml:space="preserve"> </w:t>
      </w:r>
      <w:r>
        <w:rPr>
          <w:rFonts w:ascii="Nirmala UI" w:hAnsi="Nirmala UI" w:eastAsia="Nirmala UI" w:cs="Nirmala UI"/>
        </w:rPr>
        <w:t>ಜನಿಸಿದ್ದಾನೆ</w:t>
      </w:r>
      <w:r>
        <w:rPr>
          <w:rFonts w:ascii="Times New Roman" w:hAnsi="Times New Roman" w:eastAsia="Times New Roman" w:cs="Times New Roman"/>
        </w:rPr>
        <w:t xml:space="preserve">. </w:t>
      </w:r>
      <w:r>
        <w:rPr>
          <w:rFonts w:ascii="Nirmala UI" w:hAnsi="Nirmala UI" w:eastAsia="Nirmala UI" w:cs="Nirmala UI"/>
        </w:rPr>
        <w:t>ಇದರಲ್ಲಿ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ಮಕ್ಕಳು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ಮಕ್ಕಳು</w:t>
      </w:r>
      <w:r>
        <w:rPr>
          <w:rFonts w:ascii="Times New Roman" w:hAnsi="Times New Roman" w:eastAsia="Times New Roman" w:cs="Times New Roman"/>
        </w:rPr>
        <w:t xml:space="preserve"> </w:t>
      </w:r>
      <w:r>
        <w:rPr>
          <w:rFonts w:ascii="Nirmala UI" w:hAnsi="Nirmala UI" w:eastAsia="Nirmala UI" w:cs="Nirmala UI"/>
        </w:rPr>
        <w:t>ಪ್ರಕಟವಾಗುತ್ತಾರೆ</w:t>
      </w:r>
      <w:r>
        <w:rPr>
          <w:rFonts w:ascii="Times New Roman" w:hAnsi="Times New Roman" w:eastAsia="Times New Roman" w:cs="Times New Roman"/>
        </w:rPr>
        <w:t xml:space="preserve">: </w:t>
      </w:r>
      <w:r>
        <w:rPr>
          <w:rFonts w:ascii="Nirmala UI" w:hAnsi="Nirmala UI" w:eastAsia="Nirmala UI" w:cs="Nirmala UI"/>
        </w:rPr>
        <w:t>ನೀತಿಯನ್ನು</w:t>
      </w:r>
      <w:r>
        <w:rPr>
          <w:rFonts w:ascii="Times New Roman" w:hAnsi="Times New Roman" w:eastAsia="Times New Roman" w:cs="Times New Roman"/>
        </w:rPr>
        <w:t xml:space="preserve"> </w:t>
      </w:r>
      <w:r>
        <w:rPr>
          <w:rFonts w:ascii="Nirmala UI" w:hAnsi="Nirmala UI" w:eastAsia="Nirmala UI" w:cs="Nirmala UI"/>
        </w:rPr>
        <w:t>ಆಚರಿಸದವನು</w:t>
      </w:r>
      <w:r>
        <w:rPr>
          <w:rFonts w:ascii="Times New Roman" w:hAnsi="Times New Roman" w:eastAsia="Times New Roman" w:cs="Times New Roman"/>
        </w:rPr>
        <w:t xml:space="preserve"> </w:t>
      </w:r>
      <w:r>
        <w:rPr>
          <w:rFonts w:ascii="Nirmala UI" w:hAnsi="Nirmala UI" w:eastAsia="Nirmala UI" w:cs="Nirmala UI"/>
        </w:rPr>
        <w:t>ದೇವರವನಲ್ಲ</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ಸಹೋದರನನ್ನು</w:t>
      </w:r>
      <w:r>
        <w:rPr>
          <w:rFonts w:ascii="Times New Roman" w:hAnsi="Times New Roman" w:eastAsia="Times New Roman" w:cs="Times New Roman"/>
        </w:rPr>
        <w:t xml:space="preserve"> </w:t>
      </w:r>
      <w:r>
        <w:rPr>
          <w:rFonts w:ascii="Nirmala UI" w:hAnsi="Nirmala UI" w:eastAsia="Nirmala UI" w:cs="Nirmala UI"/>
        </w:rPr>
        <w:t>ಪ್ರೀತಿಸದವನೂ</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[1 John 3:7–10].»</w:t>
      </w:r>
    </w:p>
    <w:p>
      <w:pPr>
        <w:pStyle w:val="ArticleScripture"/>
        <w:jc w:val="left"/>
      </w:pPr>
      <w:r>
        <w:rPr>
          <w:rFonts w:ascii="Times New Roman" w:hAnsi="Times New Roman" w:eastAsia="Times New Roman" w:cs="Times New Roman"/>
        </w:rPr>
        <w:t>“Sabata-ɓaŋa Adventist te n daama ko waɗi yimɓe wote, amma n jooɗii e luumo, ɓe ndeeɓe woni yeeso Alla. Laawol maɓɓe ɗum luumo ena waɗi gollal Alla e jaasi. Ɓe ngoni e naatnude woɓɓe e luumo. Wolde ndee iwii to Alla fii kala gooto e membaaɓe ekklesiyaaji amen: ‘Kadin moƴƴin laabi ɗin ngolleɗon e koyɗe mooɗon, ngam ko laaɓi ndun ndu sooyee daga laawol, amma ɗum jooɗoo ɗum yamɗitinee. Tokku jam e yimɓe wote, e ceniiɗinal, nde walaa mayri walaa gooto waɗata yiude Joomiraaɗo on: ɗaɓɓitinde e hakkiilo lest gooto haana ŋakkude moƴƴere Alla; lest ɗaɗol kaŋkoore gooto puɗɗii oorude e taƴta on, e mayri ɗum waɗa yimɓe ɗuɗɓe njiɗɗitaa; Lest woodi njeenujo gooto, walla gooto mo woni laaɓaaki e ko ceniiɗum, no Esaw, mo soodi hakkilo hayre mum ngam ceede nyaamdu gooto. Ngam on anndi no caggal ɗuum, nde o yiɗi heɓude barke ndeen e ndonu, o saltee; ngam o heɓaayi nokkuure tubbugol, koo nde o ɗaɓɓitino nde e gonɗi’ [Hebrews 12:13–17].”</w:t>
      </w:r>
    </w:p>
    <w:p>
      <w:pPr>
        <w:pStyle w:val="ArticleScripture"/>
        <w:jc w:val="left"/>
      </w:pPr>
      <w:r>
        <w:rPr>
          <w:rFonts w:ascii="Times New Roman" w:hAnsi="Times New Roman" w:eastAsia="Times New Roman" w:cs="Times New Roman"/>
        </w:rPr>
        <w:t>“Doon kun kuwo badan oo ku andacooda inay runta rumaysan yihiin. Halkii ay ka dayn lahaayeen dhaqammadooda damaca leh, waxay ku sii socdaan jid qaldan oo waxbarasho ah iyagoo ku hoos jira khiyaanada xeeladaysan ee Shayddaanka. Dembigu looma garto inuu yahay dembi. Damirkoodii qudhiisu wuu wasakhoobay, qalbiyadoodiina way xumaadeen, xataa fikirradooduna had iyo goor way xun yihiin. Shayddaanku wuxuu u adeegsadaa sidii sedad si uu nafaha ugu soo jiito falal aan nadiif ahayn oo wasakheeya jiritaanka oo dhan. ‘Kii quudhsaday sharcigii Muuse [kaas oo ahaa sharciga Ilaah] naxariis la’aan buu ku dhintay laba ama saddex markhaati hortood: intee ka sii daran ciqaab, sidaad u malaynaysaan, ayaa uu istaahili doonaa kii cagaha hoostooda ku tuntay Wiilka Ilaah, oo dhiiggii axdiga ee lagu quduusiyey u qaatay wax aan quduus ahayn, oo caayay Ruuxa nimcada? Waayo, waxaynu naqaan kan yidhi, Aarsashadu anigaa leh, anigaa gudi doona, ayuu Rabbigu leeyahay. Oo haddana, Rabbigu dadkiisa buu xukumi doonaa. Waa wax laga cabsado in lagu dhaco gacmaha Ilaaha nool’ [Cibraaniyada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یوایل اور لاودِکیائی سیونتھ ڈے ایڈونٹسٹ کلیسیا — نمبر اٹھائیس</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