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Yuw’él da Kaniisada Laodicean Seventh-day Adventist - Lambarka Soddonaad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Namba Tetiethi</w:t>
      </w:r>
    </w:p>
    <w:p>
      <w:pPr>
        <w:pStyle w:val="ArticleBody"/>
        <w:jc w:val="left"/>
      </w:pPr>
      <w:r>
        <w:rPr>
          <w:rFonts w:ascii="Times New Roman" w:hAnsi="Times New Roman" w:eastAsia="Times New Roman" w:cs="Times New Roman"/>
        </w:rPr>
        <w:t>تەواوبوونی مەسیحییەکان لە کتێبی مەتا دا هەموویان ئەمانەن: نیشانەی ڕێگای کاتی کۆتایی، نیشانەی ڕێگای ئەو پەیامەی کە فەرمی دەکرێت، دوو شایەتی نیشانەی ڕێگای 9/11، یەکێکیان شایەتی پەیامی ناوخۆیی بۆ لاودیکیا و ئەوی تر پەیامی دەرەکیی تیرۆری ئیسلام. گونجاوە کە نیشانەی ڕێگای 9/11 بە دوو دانە لە دوازدە تەواوبوونی مەسیحییەکان لە مەتا نیشان بدرێت، چونکە 9/11 پەیامی فریشتەی دووەم لەخۆدەگرێت، لەوێدا هەمیشە دووبارەبوونەوە هەیە. مردنی 18ی تەممووزی 2020 پێنجەمین نیشانەی ڕێگا بوو کە ئێمە لێی ڕاگەیشتین، پاشان دەنگی لە چۆڵەوانی لە تەممووزی 2023 شەشەم بوو، و زیندووبوونەوەی 2024 ژمارە حەوت بوو. هەشتەمین تەواوبوونی مەسیحیی، بانگی نیوەشەوەیە.</w:t>
      </w:r>
    </w:p>
    <w:p>
      <w:pPr>
        <w:pStyle w:val="ArticleHeading"/>
        <w:jc w:val="left"/>
      </w:pPr>
      <w:r>
        <w:rPr>
          <w:rFonts w:ascii="Arial" w:hAnsi="Arial" w:eastAsia="Arial" w:cs="Arial"/>
        </w:rPr>
        <w:t>La Huitième Balise Messianique est le Cri de Minuit</w:t>
      </w:r>
    </w:p>
    <w:p>
      <w:pPr>
        <w:pStyle w:val="ArticleScripture"/>
        <w:jc w:val="left"/>
      </w:pPr>
      <w:r>
        <w:rPr>
          <w:rFonts w:ascii="Times New Roman" w:hAnsi="Times New Roman" w:eastAsia="Times New Roman" w:cs="Times New Roman"/>
        </w:rPr>
        <w:t>Lahat ng ito ay ginawa upang matupad ang sinalita ng propeta, na nagsasabi, Sabihin ninyo sa anak na babae ng Sion, Narito, ang iyong Hari ay dumarating sa iyo, maamo, at nakasakay sa isang asno, at sa isang bisiro, na anak ng isang asno. Mateo 21:4, 5.</w:t>
      </w:r>
    </w:p>
    <w:p>
      <w:pPr>
        <w:pStyle w:val="ArticleHeading"/>
        <w:jc w:val="left"/>
      </w:pPr>
      <w:r>
        <w:rPr>
          <w:rFonts w:ascii="Arial" w:hAnsi="Arial" w:eastAsia="Arial" w:cs="Arial"/>
        </w:rPr>
        <w:t>نبوءة</w:t>
      </w:r>
    </w:p>
    <w:p>
      <w:pPr>
        <w:pStyle w:val="ArticleScripture"/>
        <w:jc w:val="left"/>
      </w:pPr>
      <w:r>
        <w:rPr>
          <w:rFonts w:ascii="Times New Roman" w:hAnsi="Times New Roman" w:eastAsia="Times New Roman" w:cs="Times New Roman"/>
        </w:rPr>
        <w:t>Guxxisa guddaan, yaa intala Xiyoon; iyya, yaa intala Yerusaalem: kunoo, Mootiin kee gara keetti dhufa; inni qajeelaa dha, fayyinaas of keessaa qaba; gad of qabuudhaanis harree irra, jechuunis ilmoo harree keessaa isa korojoo irra taa’ee dhufa. Zakariyaas 9:9.</w:t>
      </w:r>
    </w:p>
    <w:p>
      <w:pPr>
        <w:pStyle w:val="ArticleScripture"/>
        <w:jc w:val="left"/>
      </w:pPr>
      <w:r>
        <w:rPr>
          <w:rFonts w:ascii="Times New Roman" w:hAnsi="Times New Roman" w:eastAsia="Times New Roman" w:cs="Times New Roman"/>
        </w:rPr>
        <w:t>«پێنج سەد ساڵ پێشتر، یەزدان لە ڕێگەی پێغەمبەر زەکەریا ڕاگەیاندبوو: “زۆر شادبە، ئەی کچی سییۆن؛ هاوار بکە، ئەی کچی ئۆرشەلیم. ئاگاداربە، پاشاکەت بۆ لات دێت. ئەو ڕاستودروستە و ڕزگاریکەرە؛ نەرم و نزمە، سوار لەسەر گوێدرێژێک، و لەسەر کولانێکی بچووک، بچووی گوێدرێژێک.” [Zechariah 9:9.] ئەگەر قوتابییەکان تێگەیشتبانایە کە مەسیح بەرەو دادگایی و بەرەو مردن دەچوو، نەیاندەتوانی ئەم پێشبینییە بەجێبهێنن.»</w:t>
      </w:r>
    </w:p>
    <w:p>
      <w:pPr>
        <w:pStyle w:val="ArticleScripture"/>
        <w:jc w:val="left"/>
      </w:pPr>
      <w:r>
        <w:rPr>
          <w:rFonts w:ascii="Times New Roman" w:hAnsi="Times New Roman" w:eastAsia="Times New Roman" w:cs="Times New Roman"/>
        </w:rPr>
        <w:t>«Համանման կերպով Միլլերը և նրա գործակիցները կատարեցին մարգարեությունը և տվեցին մի լուր, որի մասին ներշնչումը նախապես հայտնել էր, որ այն պետք է տրվի աշխարհին, սակայն նրանք չէին կարող այն տալ, եթե լիովին հասկանային իրենց հիասթափությունը մատնանշող և Տիրոջ գալուստից առաջ բոլոր ազգերին քարոզվելու ենթակա մեկ այլ լուր ներկայացնող մարգարեությունները։ Առաջին և երկրորդ հրեշտակների լուրերը տրվեցին ճիշտ ժամանակին և կատարեցին այն գործը, որ Աստված նախատեսել էր կատարել դրանց միջոցով»։ The Great Controversy, 405.</w:t>
      </w:r>
    </w:p>
    <w:p>
      <w:pPr>
        <w:pStyle w:val="ArticleBody"/>
        <w:jc w:val="left"/>
      </w:pPr>
      <w:r>
        <w:rPr>
          <w:rFonts w:ascii="Times New Roman" w:hAnsi="Times New Roman" w:eastAsia="Times New Roman" w:cs="Times New Roman"/>
        </w:rPr>
        <w:t>Tubûrrîya peyva pêxemberî ya Xwedê di dîroka ketina serkeftî ya Mesîh de heye, û her weha di dîroka hevpeyvî ya ragihandina peyama Qîrîna Nîvê Şevê de di sala 1844-an de. Ji sed û çil û çar hezar kesan tê xwestin ku “pêxemberiyên ku bêhêvîbûna wan nîşan didin” fam bikin. Ji Yûhenna re di Vahiyê de, beşa dehê de, pêşve tê gotin ku peyama pirtûka biçûk, ya ku di devê wî de şîrîn bibe, wê tal bibê.</w:t>
      </w:r>
    </w:p>
    <w:p>
      <w:pPr>
        <w:pStyle w:val="ArticleScripture"/>
        <w:jc w:val="left"/>
      </w:pPr>
      <w:r>
        <w:rPr>
          <w:rFonts w:ascii="Times New Roman" w:hAnsi="Times New Roman" w:eastAsia="Times New Roman" w:cs="Times New Roman"/>
        </w:rPr>
        <w:t>«Бізниң кәлгүсидин қорқидиған һеч нәрсимиз йоқ, пәқәт Пәрвәрдигарниң бизни қандақ йетәклигәнлигини вә өтмүш тарихимиздики Униң тәлимитини унтуп қалмисақла.» Life Sketches, 196.</w:t>
      </w:r>
    </w:p>
    <w:p>
      <w:pPr>
        <w:pStyle w:val="ArticleBody"/>
        <w:jc w:val="left"/>
      </w:pPr>
      <w:r>
        <w:rPr>
          <w:rFonts w:ascii="Times New Roman" w:hAnsi="Times New Roman" w:eastAsia="Times New Roman" w:cs="Times New Roman"/>
        </w:rPr>
        <w:t>Өнгөрсөн үеийн “Эзэний удирдлага” нь, Түүний тусламжийн бусад үйлүүдийн дунд, тооцоон дахь алдааг Өөрийн мутраар халхалсан явдлаар илэрхийлэгддэг; учир нь Миллерийн хөдөлгөөнийхөн өөрсдийн урам хугарлыг урьдаас ойлгох нь тэдэнд хамгийн сайн зүйл байгаагүй, яг л шавь нарт загалмай дээрх өөрсдийн урам хугарлын бүх бүрэлдэхүүнийг урьдаас ойлгох нь хамгийн сайн зүйл байгаагүйтэй адил юм. Харин Шөнө дундын Хашхирааны тунхаглалын түүх нь тэнгэр өөд хөтөлдөг яг тэр гэрэл мөн хэмээн тодорхойлогддог бөгөөд энэ нь Эллен Уайтын хамгийн анхны үзэгдэлд тэмдэглэгдсэн байдаг. Нэг зуун дөчин дөрвөн мянган хүн шавь нар болон Миллерийн хөдөлгөөнийхний урам хугарлуудыг ойлгох ёстой. Тэрхүү гэрлийг няцаана гэдэг бол жимээс унах явдал мөн.</w:t>
      </w:r>
    </w:p>
    <w:p>
      <w:pPr>
        <w:pStyle w:val="ArticleScripture"/>
        <w:jc w:val="left"/>
      </w:pPr>
      <w:r>
        <w:rPr>
          <w:rFonts w:ascii="Times New Roman" w:hAnsi="Times New Roman" w:eastAsia="Times New Roman" w:cs="Times New Roman"/>
        </w:rPr>
        <w:t>«Adan tinaw set upyir it l’ginga iti likudda idi rugi ti dalan, nga imbagan kaniak ti maysa nga anghel a daytoy ket ti “tangnga ti rabii a panagikkis.” Daytoy a lawag ket nagsilsilnag iti intero a dalan, ket nangited lawag kadagiti sakada, tapno saanda a maitibkol.»</w:t>
      </w:r>
    </w:p>
    <w:p>
      <w:pPr>
        <w:pStyle w:val="ArticleScripture"/>
        <w:jc w:val="left"/>
      </w:pPr>
      <w:r>
        <w:rPr>
          <w:rFonts w:ascii="Times New Roman" w:hAnsi="Times New Roman" w:eastAsia="Times New Roman" w:cs="Times New Roman"/>
        </w:rPr>
        <w:t>«Տէր Յիսուսի վրայ, որ իրենց առջեւն էր եւ զիրենք դէպի քաղաքը կը առաջնորդէր, եթէ անոնք իրենց աչքերը սեւեռած պահէին, ապահով էին։ Բայց շուտով ոմանք յոգնեցան եւ ըսին, թէ քաղաքը շատ հեռու է, եւ իրենք կ’ակնկալէին՝ մինչ այդ արդէն մտած ըլլալ այնտեղ։ Այն ատեն Յիսուս զանոնք կը քաջալերէր՝ վեր բարձրացնելով Իր փառաւոր աջ բազուկը, եւ Իր բազուկէն լոյս մը կու գար, որ կը ծածանէր գալստեան խմբակի վրայ, եւ անոնք կը գոչէին՝ «Ալէլուիա՛»։ Ուրիշներ անխոհեմաբար ուրացան իրենց ետեւի լոյսը եւ ըսին, թէ զիրենք այսքան հեռու առաջնորդողը Աստուած չէր։ Իրենց ետեւի լոյսը մարեցաւ՝ իրենց ոտքերը ձգելով կատարեալ խաւարի մէջ, եւ անոնք սայթաքեցան, կորսնցուցին նշանը եւ Յիսուսը տեսնելը, եւ շաւիղէն վար ինկան՝ ներքեւի խաւար եւ ամբարիշտ աշխարհը»։ Christian Experience and Teachings of Ellen G. White, 57.</w:t>
      </w:r>
    </w:p>
    <w:p>
      <w:pPr>
        <w:pStyle w:val="ArticleBody"/>
        <w:jc w:val="left"/>
      </w:pPr>
      <w:r>
        <w:rPr>
          <w:rFonts w:ascii="Gadugi" w:hAnsi="Gadugi" w:eastAsia="Gadugi" w:cs="Gadugi"/>
        </w:rPr>
        <w:t>ᎦᎵᏉᎩᏁ</w:t>
      </w:r>
      <w:r>
        <w:rPr>
          <w:rFonts w:ascii="Times New Roman" w:hAnsi="Times New Roman" w:eastAsia="Times New Roman" w:cs="Times New Roman"/>
        </w:rPr>
        <w:t xml:space="preserve"> </w:t>
      </w:r>
      <w:r>
        <w:rPr>
          <w:rFonts w:ascii="Gadugi" w:hAnsi="Gadugi" w:eastAsia="Gadugi" w:cs="Gadugi"/>
        </w:rPr>
        <w:t>ᎤᏍᏗᎬ</w:t>
      </w:r>
      <w:r>
        <w:rPr>
          <w:rFonts w:ascii="Times New Roman" w:hAnsi="Times New Roman" w:eastAsia="Times New Roman" w:cs="Times New Roman"/>
        </w:rPr>
        <w:t xml:space="preserve"> </w:t>
      </w:r>
      <w:r>
        <w:rPr>
          <w:rFonts w:ascii="Gadugi" w:hAnsi="Gadugi" w:eastAsia="Gadugi" w:cs="Gadugi"/>
        </w:rPr>
        <w:t>ᎡᏃᏌᏛ</w:t>
      </w:r>
      <w:r>
        <w:rPr>
          <w:rFonts w:ascii="Times New Roman" w:hAnsi="Times New Roman" w:eastAsia="Times New Roman" w:cs="Times New Roman"/>
        </w:rPr>
        <w:t xml:space="preserve"> </w:t>
      </w:r>
      <w:r>
        <w:rPr>
          <w:rFonts w:ascii="Gadugi" w:hAnsi="Gadugi" w:eastAsia="Gadugi" w:cs="Gadugi"/>
        </w:rPr>
        <w:t>ᎤᏍᏗᎬ</w:t>
      </w:r>
      <w:r>
        <w:rPr>
          <w:rFonts w:ascii="Times New Roman" w:hAnsi="Times New Roman" w:eastAsia="Times New Roman" w:cs="Times New Roman"/>
        </w:rPr>
        <w:t xml:space="preserve"> </w:t>
      </w:r>
      <w:r>
        <w:rPr>
          <w:rFonts w:ascii="Gadugi" w:hAnsi="Gadugi" w:eastAsia="Gadugi" w:cs="Gadugi"/>
        </w:rPr>
        <w:t>ᎤᏍᏗᏱ</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ᎤᏁᎷᎯᏍᏗ</w:t>
      </w:r>
      <w:r>
        <w:rPr>
          <w:rFonts w:ascii="Times New Roman" w:hAnsi="Times New Roman" w:eastAsia="Times New Roman" w:cs="Times New Roman"/>
        </w:rPr>
        <w:t xml:space="preserve"> </w:t>
      </w:r>
      <w:r>
        <w:rPr>
          <w:rFonts w:ascii="Gadugi" w:hAnsi="Gadugi" w:eastAsia="Gadugi" w:cs="Gadugi"/>
        </w:rPr>
        <w:t>ᏤᎷᏏᎵᎻ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ᏚᏟᎶᏍᏔᏅ</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ᎠᏓᏯᏔᎲ</w:t>
      </w:r>
      <w:r>
        <w:rPr>
          <w:rFonts w:ascii="Times New Roman" w:hAnsi="Times New Roman" w:eastAsia="Times New Roman" w:cs="Times New Roman"/>
        </w:rPr>
        <w:t xml:space="preserve"> </w:t>
      </w:r>
      <w:r>
        <w:rPr>
          <w:rFonts w:ascii="Gadugi" w:hAnsi="Gadugi" w:eastAsia="Gadugi" w:cs="Gadugi"/>
        </w:rPr>
        <w:t>ᎤᏍᏗᎬ</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ᎠᏴᏫ</w:t>
      </w:r>
      <w:r>
        <w:rPr>
          <w:rFonts w:ascii="Times New Roman" w:hAnsi="Times New Roman" w:eastAsia="Times New Roman" w:cs="Times New Roman"/>
        </w:rPr>
        <w:t xml:space="preserve"> </w:t>
      </w:r>
      <w:r>
        <w:rPr>
          <w:rFonts w:ascii="Gadugi" w:hAnsi="Gadugi" w:eastAsia="Gadugi" w:cs="Gadugi"/>
        </w:rPr>
        <w:t>ᎤᏪᏴᎢ</w:t>
      </w:r>
      <w:r>
        <w:rPr>
          <w:rFonts w:ascii="Times New Roman" w:hAnsi="Times New Roman" w:eastAsia="Times New Roman" w:cs="Times New Roman"/>
        </w:rPr>
        <w:t xml:space="preserve"> </w:t>
      </w:r>
      <w:r>
        <w:rPr>
          <w:rFonts w:ascii="Gadugi" w:hAnsi="Gadugi" w:eastAsia="Gadugi" w:cs="Gadugi"/>
        </w:rPr>
        <w:t>ᎠᏍᏚᎢᏍᏗ</w:t>
      </w:r>
      <w:r>
        <w:rPr>
          <w:rFonts w:ascii="Times New Roman" w:hAnsi="Times New Roman" w:eastAsia="Times New Roman" w:cs="Times New Roman"/>
        </w:rPr>
        <w:t xml:space="preserve"> </w:t>
      </w:r>
      <w:r>
        <w:rPr>
          <w:rFonts w:ascii="Gadugi" w:hAnsi="Gadugi" w:eastAsia="Gadugi" w:cs="Gadugi"/>
        </w:rPr>
        <w:t>ᎤᏃᏴᎯᏍᏗ</w:t>
      </w:r>
      <w:r>
        <w:rPr>
          <w:rFonts w:ascii="Times New Roman" w:hAnsi="Times New Roman" w:eastAsia="Times New Roman" w:cs="Times New Roman"/>
        </w:rPr>
        <w:t xml:space="preserve"> </w:t>
      </w:r>
      <w:r>
        <w:rPr>
          <w:rFonts w:ascii="Gadugi" w:hAnsi="Gadugi" w:eastAsia="Gadugi" w:cs="Gadugi"/>
        </w:rPr>
        <w:t>ᎨᏒᎢ</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«Сурати нимашабӣ на он қадар бо далел оварда мешуд, ҳарчанд исботи Навиштаҳо равшан ва қатъӣ буд. Бо он қувваи маҷбуркунандае ҳамроҳ буд, ки ҷонро ба ҳаракат меовард. Шубҳае набуд, пурсише набуд. Ҳангоми вуруди тантанавии Масеҳ ба Ерусалим, мардумоне ки аз ҳамаи гӯшаҳои замин барои нигоҳ доштани ид гирд омада буданд, ба Кӯҳи Зайтун шитофтанд, ва чун ба издиҳоме, ки Исоро ҳамроҳӣ мекард, ҳамроҳ шуданд, илҳоми он соатро дарёфтанд ва ба афзудани нидо ёрӣ расониданд: “Муборак аст Он ки ба исми Худованд меояд!” [Matthew 21:9.] Ҳамин тавр, беимонон низ, ки ба маҷлисҳои адвентистӣ мешитофтанд — баъзе аз рӯи кунҷковӣ, баъзе танҳо барои масхара кардан — қувваи қонеъкунандаеро, ки бо паём ҳамроҳ буд, эҳсос мекарданд: “Инак, Домод меояд!”» Spirit of Prophecy, volume 4, 250, 251.</w:t>
      </w:r>
    </w:p>
    <w:p>
      <w:pPr>
        <w:pStyle w:val="ArticleBody"/>
        <w:jc w:val="left"/>
      </w:pPr>
      <w:r>
        <w:rPr>
          <w:rFonts w:ascii="Times New Roman" w:hAnsi="Times New Roman" w:eastAsia="Times New Roman" w:cs="Times New Roman"/>
        </w:rPr>
        <w:t>لە ڕۆژانی دواوەدا، بۆ ئەوەی کچێکی پاکیزەی دانا بیت، بە پێویستییەکی پێشبینیی، دەبێت ئەو کچە پاکیزە دانایانە تووشی دڵشکاندنێک ببن، کە بە نۆرەی خۆی کاتی دواکەوتنەکەی چیرۆکی نموونەییەکە دەهێنێتە ئاراوە. بەبێ ئەزموونی کاتی دواکەوتن، نە کچێکی پاکیزەی داناییت و نە کچێکی پاکیزەی نەدان.</w:t>
      </w:r>
    </w:p>
    <w:p>
      <w:pPr>
        <w:pStyle w:val="ArticleScripture"/>
        <w:jc w:val="left"/>
      </w:pPr>
      <w:r>
        <w:rPr>
          <w:rFonts w:ascii="Times New Roman" w:hAnsi="Times New Roman" w:eastAsia="Times New Roman" w:cs="Times New Roman"/>
        </w:rPr>
        <w:t>«امثال ده دوشیزه در متی ۲۵ نیز تجربهٔ قوم ادونتیست را به تصویر می‌کشد.» کشمکش عظیم، ۳۹۳.</w:t>
      </w:r>
    </w:p>
    <w:p>
      <w:pPr>
        <w:pStyle w:val="ArticleBody"/>
        <w:jc w:val="left"/>
      </w:pPr>
      <w:r>
        <w:rPr>
          <w:rFonts w:ascii="Times New Roman" w:hAnsi="Times New Roman" w:eastAsia="Times New Roman" w:cs="Times New Roman"/>
        </w:rPr>
        <w:t>En cualquier caso, las vírgenes prudentes de los últimos días deben experimentar un chasco paralelo al del 19 de abril de 1844, pues la experiencia de la parábola es la experiencia de los ciento cuarenta y cuatro mil, a quienes Juan en el Apocalipsis identifica como vírgenes.</w:t>
      </w:r>
    </w:p>
    <w:p>
      <w:pPr>
        <w:pStyle w:val="ArticleScripture"/>
        <w:jc w:val="left"/>
      </w:pPr>
      <w:r>
        <w:rPr>
          <w:rFonts w:ascii="Times New Roman" w:hAnsi="Times New Roman" w:eastAsia="Times New Roman" w:cs="Times New Roman"/>
        </w:rPr>
        <w:t>“Wan ireo dia izay tsy voaloton’ny vehivavy; fa virijiny izy. Ireo no manaraka ny Zanak’ondry na aiza na aiza alehany. Ireo no navotana hiala avy amin’ny olona, ho santatra ho an’Andriamanitra sy ho an’ny Zanak’ondry.” Apokalypsy 14:4.</w:t>
      </w:r>
    </w:p>
    <w:p>
      <w:pPr>
        <w:pStyle w:val="ArticleBody"/>
        <w:jc w:val="left"/>
      </w:pPr>
      <w:r>
        <w:rPr>
          <w:rFonts w:ascii="Times New Roman" w:hAnsi="Times New Roman" w:eastAsia="Times New Roman" w:cs="Times New Roman"/>
        </w:rPr>
        <w:t>دەقی چەند مەثەلی مەسیحە کە ڕاستەوخۆ و بە تایبەتی وەک ئەوە ناسێنراون کە بە تەواوی و «بە پیتی خۆی» جێبەجێ بوون؟ هەموو مەثەلێک «بە پیتی خۆی» جێبەجێ دەبێت، بەڵام مەثەلی دە کچە پاکیزەکان بە تایبەتی وەها پیشان دراوە کە لە ڕابردوو و داهاتوودا «بە پیتی خۆی» جێبەجێ بووە و دەبێت. ئەوە بە فریشتەی سێیەمەوە هاوشێوە کراوە، کە دەبێت لە ساڵی 1844 ـەوە بەدوایەوە هەتا کاتێک مایکل هەڵدەستێت و ماوەی تاقیکردنەوەی مرۆڤ کۆتایی دێت، ڕاستیی ئێستا بمێنێتەوە.</w:t>
      </w:r>
    </w:p>
    <w:p>
      <w:pPr>
        <w:pStyle w:val="ArticleScripture"/>
        <w:jc w:val="left"/>
      </w:pPr>
      <w:r>
        <w:rPr>
          <w:rFonts w:ascii="Times New Roman" w:hAnsi="Times New Roman" w:eastAsia="Times New Roman" w:cs="Times New Roman"/>
        </w:rPr>
        <w:t>«Сæ уæдтæ мæ нæсæй рæстæг кæнындæн дæс дзуары æмбисонмæ, кæцытæй фондз сты зондджын, æмæ фондз — æгъдау нæй. Ацы æмбисон æххæстгонд уыд æмæ уыдзæн йæ иу ныхасмæ дæр, уымæн æмæ йын ис ахсджиаг хæснагæй ацы рæстæгмæ, æмæ, æрцыд æртæ ангелы хъусынгæнинаг хабарау, æххæстгонд уыд æмæ уыдзæн дарддæр ирон рæстдзинад рæстæгты кæронмæ.» Review and Herald, August 19, 1890.</w:t>
      </w:r>
    </w:p>
    <w:p>
      <w:pPr>
        <w:pStyle w:val="ArticleBody"/>
        <w:jc w:val="left"/>
      </w:pPr>
      <w:r>
        <w:rPr>
          <w:rFonts w:ascii="Times New Roman" w:hAnsi="Times New Roman" w:eastAsia="Times New Roman" w:cs="Times New Roman"/>
        </w:rPr>
        <w:t>Kun toq’ancha, chunka virgenkunapa rikch’ayninqa kunan pacha cheqaq yachachiy kashan, chaymanta Chawpi Tuta Qapariyqa yapamanta hunt’asqa kanqa nisqa simikama.</w:t>
      </w:r>
    </w:p>
    <w:p>
      <w:pPr>
        <w:pStyle w:val="ArticleScripture"/>
        <w:jc w:val="left"/>
      </w:pPr>
      <w:r>
        <w:rPr>
          <w:rFonts w:ascii="Times New Roman" w:hAnsi="Times New Roman" w:eastAsia="Times New Roman" w:cs="Times New Roman"/>
        </w:rPr>
        <w:t>“</w:t>
      </w:r>
      <w:r>
        <w:rPr>
          <w:rFonts w:ascii="Javanese Text" w:hAnsi="Javanese Text" w:eastAsia="Javanese Text" w:cs="Javanese Text"/>
        </w:rPr>
        <w:t>ꦲꦤ</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ꦲꦔ꧀ꦒꦸꦭꦶꦁ</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ꦏꦫꦶꦏꦤ꧀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ꦥꦶꦤꦶꦥꦸ</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ꦥꦱꦺꦱꦠ꧀</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ꦲꦚ꧀ꦕꦱ꧀</w:t>
      </w:r>
      <w:r>
        <w:rPr>
          <w:rFonts w:ascii="Times New Roman" w:hAnsi="Times New Roman" w:eastAsia="Times New Roman" w:cs="Times New Roman"/>
        </w:rPr>
        <w:t xml:space="preserve"> </w:t>
      </w:r>
      <w:r>
        <w:rPr>
          <w:rFonts w:ascii="Javanese Text" w:hAnsi="Javanese Text" w:eastAsia="Javanese Text" w:cs="Javanese Text"/>
        </w:rPr>
        <w:t>ꦥꦺꦥꦺꦠꦼꦁ</w:t>
      </w:r>
      <w:r>
        <w:rPr>
          <w:rFonts w:ascii="Times New Roman" w:hAnsi="Times New Roman" w:eastAsia="Times New Roman" w:cs="Times New Roman"/>
        </w:rPr>
        <w:t>,—</w:t>
      </w:r>
      <w:r>
        <w:rPr>
          <w:rFonts w:ascii="Javanese Text" w:hAnsi="Javanese Text" w:eastAsia="Javanese Text" w:cs="Javanese Text"/>
        </w:rPr>
        <w:t>ꦠꦸꦫꦸ</w:t>
      </w:r>
      <w:r>
        <w:rPr>
          <w:rFonts w:ascii="Times New Roman" w:hAnsi="Times New Roman" w:eastAsia="Times New Roman" w:cs="Times New Roman"/>
        </w:rPr>
        <w:t xml:space="preserve">, </w:t>
      </w:r>
      <w:r>
        <w:rPr>
          <w:rFonts w:ascii="Javanese Text" w:hAnsi="Javanese Text" w:eastAsia="Javanese Text" w:cs="Javanese Text"/>
        </w:rPr>
        <w:t>ꦠꦸꦫꦸ</w:t>
      </w:r>
      <w:r>
        <w:rPr>
          <w:rFonts w:ascii="Times New Roman" w:hAnsi="Times New Roman" w:eastAsia="Times New Roman" w:cs="Times New Roman"/>
        </w:rPr>
        <w:t xml:space="preserve">. </w:t>
      </w:r>
      <w:r>
        <w:rPr>
          <w:rFonts w:ascii="Javanese Text" w:hAnsi="Javanese Text" w:eastAsia="Javanese Text" w:cs="Javanese Text"/>
        </w:rPr>
        <w:t>ꦱꦶꦲꦥ</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ꦲꦔꦫꦱꦏ꧀ꦏꦺ</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ꦫꦒꦤꦺ</w:t>
      </w:r>
      <w:r>
        <w:rPr>
          <w:rFonts w:ascii="Times New Roman" w:hAnsi="Times New Roman" w:eastAsia="Times New Roman" w:cs="Times New Roman"/>
        </w:rPr>
        <w:t xml:space="preserve">, </w:t>
      </w:r>
      <w:r>
        <w:rPr>
          <w:rFonts w:ascii="Javanese Text" w:hAnsi="Javanese Text" w:eastAsia="Javanese Text" w:cs="Javanese Text"/>
        </w:rPr>
        <w:t>ꦱꦸꦥꦪ</w:t>
      </w:r>
      <w:r>
        <w:rPr>
          <w:rFonts w:ascii="Times New Roman" w:hAnsi="Times New Roman" w:eastAsia="Times New Roman" w:cs="Times New Roman"/>
        </w:rPr>
        <w:t xml:space="preserve"> </w:t>
      </w:r>
      <w:r>
        <w:rPr>
          <w:rFonts w:ascii="Javanese Text" w:hAnsi="Javanese Text" w:eastAsia="Javanese Text" w:cs="Javanese Text"/>
        </w:rPr>
        <w:t>ꦩꦔꦸꦤ꧀ꦏꦤ꧀</w:t>
      </w:r>
      <w:r>
        <w:rPr>
          <w:rFonts w:ascii="Times New Roman" w:hAnsi="Times New Roman" w:eastAsia="Times New Roman" w:cs="Times New Roman"/>
        </w:rPr>
        <w:t xml:space="preserve"> </w:t>
      </w:r>
      <w:r>
        <w:rPr>
          <w:rFonts w:ascii="Javanese Text" w:hAnsi="Javanese Text" w:eastAsia="Javanese Text" w:cs="Javanese Text"/>
        </w:rPr>
        <w:t>ꦮꦺꦏꦺ</w:t>
      </w:r>
      <w:r>
        <w:rPr>
          <w:rFonts w:ascii="Times New Roman" w:hAnsi="Times New Roman" w:eastAsia="Times New Roman" w:cs="Times New Roman"/>
        </w:rPr>
        <w:t xml:space="preserve">? </w:t>
      </w:r>
      <w:r>
        <w:rPr>
          <w:rFonts w:ascii="Javanese Text" w:hAnsi="Javanese Text" w:eastAsia="Javanese Text" w:cs="Javanese Text"/>
        </w:rPr>
        <w:t>ꦱꦸꦫ</w:t>
      </w:r>
      <w:r>
        <w:rPr>
          <w:rFonts w:ascii="Times New Roman" w:hAnsi="Times New Roman" w:eastAsia="Times New Roman" w:cs="Times New Roman"/>
        </w:rPr>
        <w:t xml:space="preserve"> </w:t>
      </w:r>
      <w:r>
        <w:rPr>
          <w:rFonts w:ascii="Javanese Text" w:hAnsi="Javanese Text" w:eastAsia="Javanese Text" w:cs="Javanese Text"/>
        </w:rPr>
        <w:t>ꦱꦥ</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ꦥꦼꦴꦒꦶ</w:t>
      </w:r>
      <w:r>
        <w:rPr>
          <w:rFonts w:ascii="Times New Roman" w:hAnsi="Times New Roman" w:eastAsia="Times New Roman" w:cs="Times New Roman"/>
        </w:rPr>
        <w:t xml:space="preserve"> </w:t>
      </w:r>
      <w:r>
        <w:rPr>
          <w:rFonts w:ascii="Javanese Text" w:hAnsi="Javanese Text" w:eastAsia="Javanese Text" w:cs="Javanese Text"/>
        </w:rPr>
        <w:t>ꦲꦚꦺꦥꦏꦶ</w:t>
      </w:r>
      <w:r>
        <w:rPr>
          <w:rFonts w:ascii="Times New Roman" w:hAnsi="Times New Roman" w:eastAsia="Times New Roman" w:cs="Times New Roman"/>
        </w:rPr>
        <w:t xml:space="preserve"> </w:t>
      </w:r>
      <w:r>
        <w:rPr>
          <w:rFonts w:ascii="Javanese Text" w:hAnsi="Javanese Text" w:eastAsia="Javanese Text" w:cs="Javanese Text"/>
        </w:rPr>
        <w:t>ꦮꦺꦏꦺ</w:t>
      </w:r>
      <w:r>
        <w:rPr>
          <w:rFonts w:ascii="Times New Roman" w:hAnsi="Times New Roman" w:eastAsia="Times New Roman" w:cs="Times New Roman"/>
        </w:rPr>
        <w:t xml:space="preserve">? </w:t>
      </w:r>
      <w:r>
        <w:rPr>
          <w:rFonts w:ascii="Javanese Text" w:hAnsi="Javanese Text" w:eastAsia="Javanese Text" w:cs="Javanese Text"/>
        </w:rPr>
        <w:t>ꦥꦶꦏꦶꦫꦤ꧀ꦏꦸ</w:t>
      </w:r>
      <w:r>
        <w:rPr>
          <w:rFonts w:ascii="Times New Roman" w:hAnsi="Times New Roman" w:eastAsia="Times New Roman" w:cs="Times New Roman"/>
        </w:rPr>
        <w:t xml:space="preserve"> </w:t>
      </w:r>
      <w:r>
        <w:rPr>
          <w:rFonts w:ascii="Javanese Text" w:hAnsi="Javanese Text" w:eastAsia="Javanese Text" w:cs="Javanese Text"/>
        </w:rPr>
        <w:t>ꦏꦺꦒꦮ</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ꦩꦱ</w:t>
      </w:r>
      <w:r>
        <w:rPr>
          <w:rFonts w:ascii="Times New Roman" w:hAnsi="Times New Roman" w:eastAsia="Times New Roman" w:cs="Times New Roman"/>
        </w:rPr>
        <w:t xml:space="preserve"> </w:t>
      </w:r>
      <w:r>
        <w:rPr>
          <w:rFonts w:ascii="Javanese Text" w:hAnsi="Javanese Text" w:eastAsia="Javanese Text" w:cs="Javanese Text"/>
        </w:rPr>
        <w:t>ꦲꦝꦺꦥꦤ꧀</w:t>
      </w:r>
      <w:r>
        <w:rPr>
          <w:rFonts w:ascii="Times New Roman" w:hAnsi="Times New Roman" w:eastAsia="Times New Roman" w:cs="Times New Roman"/>
        </w:rPr>
        <w:t xml:space="preserve">, </w:t>
      </w:r>
      <w:r>
        <w:rPr>
          <w:rFonts w:ascii="Javanese Text" w:hAnsi="Javanese Text" w:eastAsia="Javanese Text" w:cs="Javanese Text"/>
        </w:rPr>
        <w:t>ꦠꦏ꧀ꦏꦭ</w:t>
      </w:r>
      <w:r>
        <w:rPr>
          <w:rFonts w:ascii="Times New Roman" w:hAnsi="Times New Roman" w:eastAsia="Times New Roman" w:cs="Times New Roman"/>
        </w:rPr>
        <w:t xml:space="preserve"> </w:t>
      </w:r>
      <w:r>
        <w:rPr>
          <w:rFonts w:ascii="Javanese Text" w:hAnsi="Javanese Text" w:eastAsia="Javanese Text" w:cs="Javanese Text"/>
        </w:rPr>
        <w:t>ꦠꦼꦠꦁꦒꦫ</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ꦏꦿꦶꦤꦺꦏ</w:t>
      </w:r>
      <w:r>
        <w:rPr>
          <w:rFonts w:ascii="Times New Roman" w:hAnsi="Times New Roman" w:eastAsia="Times New Roman" w:cs="Times New Roman"/>
        </w:rPr>
        <w:t>. ‘</w:t>
      </w:r>
      <w:r>
        <w:rPr>
          <w:rFonts w:ascii="Javanese Text" w:hAnsi="Javanese Text" w:eastAsia="Javanese Text" w:cs="Javanese Text"/>
        </w:rPr>
        <w:t>ꦧꦺꦴꦏ꧀</w:t>
      </w:r>
      <w:r>
        <w:rPr>
          <w:rFonts w:ascii="Times New Roman" w:hAnsi="Times New Roman" w:eastAsia="Times New Roman" w:cs="Times New Roman"/>
        </w:rPr>
        <w:t xml:space="preserve">, </w:t>
      </w:r>
      <w:r>
        <w:rPr>
          <w:rFonts w:ascii="Javanese Text" w:hAnsi="Javanese Text" w:eastAsia="Javanese Text" w:cs="Javanese Text"/>
        </w:rPr>
        <w:t>ꦥꦼꦔꦤ꧀ꦠꦺꦤ꧀</w:t>
      </w:r>
      <w:r>
        <w:rPr>
          <w:rFonts w:ascii="Times New Roman" w:hAnsi="Times New Roman" w:eastAsia="Times New Roman" w:cs="Times New Roman"/>
        </w:rPr>
        <w:t xml:space="preserve"> </w:t>
      </w:r>
      <w:r>
        <w:rPr>
          <w:rFonts w:ascii="Javanese Text" w:hAnsi="Javanese Text" w:eastAsia="Javanese Text" w:cs="Javanese Text"/>
        </w:rPr>
        <w:t>ꦏꦏꦸꦁ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ꦠꦼꦏ</w:t>
      </w:r>
      <w:r>
        <w:rPr>
          <w:rFonts w:ascii="Times New Roman" w:hAnsi="Times New Roman" w:eastAsia="Times New Roman" w:cs="Times New Roman"/>
        </w:rPr>
        <w:t xml:space="preserve">, </w:t>
      </w:r>
      <w:r>
        <w:rPr>
          <w:rFonts w:ascii="Javanese Text" w:hAnsi="Javanese Text" w:eastAsia="Javanese Text" w:cs="Javanese Text"/>
        </w:rPr>
        <w:t>ꦩꦫꦶꦪ</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ꦩꦼꦠꦸ</w:t>
      </w:r>
      <w:r>
        <w:rPr>
          <w:rFonts w:ascii="Times New Roman" w:hAnsi="Times New Roman" w:eastAsia="Times New Roman" w:cs="Times New Roman"/>
        </w:rPr>
        <w:t xml:space="preserve"> </w:t>
      </w:r>
      <w:r>
        <w:rPr>
          <w:rFonts w:ascii="Javanese Text" w:hAnsi="Javanese Text" w:eastAsia="Javanese Text" w:cs="Javanese Text"/>
        </w:rPr>
        <w:t>ꦩꦼꦥꦼꦠꦸꦏ꧀ꦏꦺ</w:t>
      </w:r>
      <w:r>
        <w:rPr>
          <w:rFonts w:ascii="Times New Roman" w:hAnsi="Times New Roman" w:eastAsia="Times New Roman" w:cs="Times New Roman"/>
        </w:rPr>
        <w:t xml:space="preserve"> </w:t>
      </w:r>
      <w:r>
        <w:rPr>
          <w:rFonts w:ascii="Javanese Text" w:hAnsi="Javanese Text" w:eastAsia="Javanese Text" w:cs="Javanese Text"/>
        </w:rPr>
        <w:t>ꦥꦤꦼꦔꦤ꧀ꦤꦺ</w:t>
      </w:r>
      <w:r>
        <w:rPr>
          <w:rFonts w:ascii="Times New Roman" w:hAnsi="Times New Roman" w:eastAsia="Times New Roman" w:cs="Times New Roman"/>
        </w:rPr>
        <w:t xml:space="preserve">.’ </w:t>
      </w:r>
      <w:r>
        <w:rPr>
          <w:rFonts w:ascii="Javanese Text" w:hAnsi="Javanese Text" w:eastAsia="Javanese Text" w:cs="Javanese Text"/>
        </w:rPr>
        <w:t>ꦲꦤꦶꦁꦒ</w:t>
      </w:r>
      <w:r>
        <w:rPr>
          <w:rFonts w:ascii="Times New Roman" w:hAnsi="Times New Roman" w:eastAsia="Times New Roman" w:cs="Times New Roman"/>
        </w:rPr>
        <w:t xml:space="preserve"> </w:t>
      </w:r>
      <w:r>
        <w:rPr>
          <w:rFonts w:ascii="Javanese Text" w:hAnsi="Javanese Text" w:eastAsia="Javanese Text" w:cs="Javanese Text"/>
        </w:rPr>
        <w:t>ꦱꦼꦥꦫꦺꦏ꧀</w:t>
      </w:r>
      <w:r>
        <w:rPr>
          <w:rFonts w:ascii="Times New Roman" w:hAnsi="Times New Roman" w:eastAsia="Times New Roman" w:cs="Times New Roman"/>
        </w:rPr>
        <w:t xml:space="preserve"> </w:t>
      </w:r>
      <w:r>
        <w:rPr>
          <w:rFonts w:ascii="Javanese Text" w:hAnsi="Javanese Text" w:eastAsia="Javanese Text" w:cs="Javanese Text"/>
        </w:rPr>
        <w:t>ꦮꦺꦏꦺ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ꦏꦺꦭꦩ꧀ꦧꦠꦼꦤ꧀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ꦥꦿꦶꦃ</w:t>
      </w:r>
      <w:r>
        <w:rPr>
          <w:rFonts w:ascii="Times New Roman" w:hAnsi="Times New Roman" w:eastAsia="Times New Roman" w:cs="Times New Roman"/>
        </w:rPr>
        <w:t xml:space="preserve"> </w:t>
      </w:r>
      <w:r>
        <w:rPr>
          <w:rFonts w:ascii="Javanese Text" w:hAnsi="Javanese Text" w:eastAsia="Javanese Text" w:cs="Javanese Text"/>
        </w:rPr>
        <w:t>ꦩꦼꦫꦺꦴꦭꦺꦃ</w:t>
      </w:r>
      <w:r>
        <w:rPr>
          <w:rFonts w:ascii="Times New Roman" w:hAnsi="Times New Roman" w:eastAsia="Times New Roman" w:cs="Times New Roman"/>
        </w:rPr>
        <w:t xml:space="preserve"> </w:t>
      </w:r>
      <w:r>
        <w:rPr>
          <w:rFonts w:ascii="Javanese Text" w:hAnsi="Javanese Text" w:eastAsia="Javanese Text" w:cs="Javanese Text"/>
        </w:rPr>
        <w:t>ꦩꦶꦚꦏ꧀</w:t>
      </w:r>
      <w:r>
        <w:rPr>
          <w:rFonts w:ascii="Times New Roman" w:hAnsi="Times New Roman" w:eastAsia="Times New Roman" w:cs="Times New Roman"/>
        </w:rPr>
        <w:t xml:space="preserve"> </w:t>
      </w:r>
      <w:r>
        <w:rPr>
          <w:rFonts w:ascii="Javanese Text" w:hAnsi="Javanese Text" w:eastAsia="Javanese Text" w:cs="Javanese Text"/>
        </w:rPr>
        <w:t>ꦏꦁꦒꦺ</w:t>
      </w:r>
      <w:r>
        <w:rPr>
          <w:rFonts w:ascii="Times New Roman" w:hAnsi="Times New Roman" w:eastAsia="Times New Roman" w:cs="Times New Roman"/>
        </w:rPr>
        <w:t xml:space="preserve"> </w:t>
      </w:r>
      <w:r>
        <w:rPr>
          <w:rFonts w:ascii="Javanese Text" w:hAnsi="Javanese Text" w:eastAsia="Javanese Text" w:cs="Javanese Text"/>
        </w:rPr>
        <w:t>ꦔꦶꦱꦶ</w:t>
      </w:r>
      <w:r>
        <w:rPr>
          <w:rFonts w:ascii="Times New Roman" w:hAnsi="Times New Roman" w:eastAsia="Times New Roman" w:cs="Times New Roman"/>
        </w:rPr>
        <w:t xml:space="preserve"> </w:t>
      </w:r>
      <w:r>
        <w:rPr>
          <w:rFonts w:ascii="Javanese Text" w:hAnsi="Javanese Text" w:eastAsia="Javanese Text" w:cs="Javanese Text"/>
        </w:rPr>
        <w:t>ꦥꦗꦁꦒꦭ꧀ꦭꦩ꧀ꦥꦸꦤꦺ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ꦏꦲꦺꦴꦫꦼꦤ꧀</w:t>
      </w:r>
      <w:r>
        <w:rPr>
          <w:rFonts w:ascii="Times New Roman" w:hAnsi="Times New Roman" w:eastAsia="Times New Roman" w:cs="Times New Roman"/>
        </w:rPr>
        <w:t xml:space="preserve"> </w:t>
      </w:r>
      <w:r>
        <w:rPr>
          <w:rFonts w:ascii="Javanese Text" w:hAnsi="Javanese Text" w:eastAsia="Javanese Text" w:cs="Javanese Text"/>
        </w:rPr>
        <w:t>ꦮꦺꦏꦺ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ꦔꦼꦠꦼꦩꦸꦏ꧀ꦏꦺ</w:t>
      </w:r>
      <w:r>
        <w:rPr>
          <w:rFonts w:ascii="Times New Roman" w:hAnsi="Times New Roman" w:eastAsia="Times New Roman" w:cs="Times New Roman"/>
        </w:rPr>
        <w:t xml:space="preserve"> </w:t>
      </w:r>
      <w:r>
        <w:rPr>
          <w:rFonts w:ascii="Javanese Text" w:hAnsi="Javanese Text" w:eastAsia="Javanese Text" w:cs="Javanese Text"/>
        </w:rPr>
        <w:t>ꦪꦺꦤ꧀</w:t>
      </w:r>
      <w:r>
        <w:rPr>
          <w:rFonts w:ascii="Times New Roman" w:hAnsi="Times New Roman" w:eastAsia="Times New Roman" w:cs="Times New Roman"/>
        </w:rPr>
        <w:t xml:space="preserve"> </w:t>
      </w:r>
      <w:r>
        <w:rPr>
          <w:rFonts w:ascii="Javanese Text" w:hAnsi="Javanese Text" w:eastAsia="Javanese Text" w:cs="Javanese Text"/>
        </w:rPr>
        <w:t>ꦮꦠꦏ꧀</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ꦏꦓꦩ꧀ꦧꦫꦏ꧀ꦏꦺ</w:t>
      </w:r>
      <w:r>
        <w:rPr>
          <w:rFonts w:ascii="Times New Roman" w:hAnsi="Times New Roman" w:eastAsia="Times New Roman" w:cs="Times New Roman"/>
        </w:rPr>
        <w:t xml:space="preserve"> </w:t>
      </w:r>
      <w:r>
        <w:rPr>
          <w:rFonts w:ascii="Javanese Text" w:hAnsi="Javanese Text" w:eastAsia="Javanese Text" w:cs="Javanese Text"/>
        </w:rPr>
        <w:t>ꦩꦁꦏꦺ</w:t>
      </w:r>
      <w:r>
        <w:rPr>
          <w:rFonts w:ascii="Times New Roman" w:hAnsi="Times New Roman" w:eastAsia="Times New Roman" w:cs="Times New Roman"/>
        </w:rPr>
        <w:t xml:space="preserve"> </w:t>
      </w:r>
      <w:r>
        <w:rPr>
          <w:rFonts w:ascii="Javanese Text" w:hAnsi="Javanese Text" w:eastAsia="Javanese Text" w:cs="Javanese Text"/>
        </w:rPr>
        <w:t>ꦩꦶꦚꦏ꧀</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ꦥꦶꦤ꧀ꦝꦃꦏꦤ꧀</w:t>
      </w:r>
      <w:r>
        <w:rPr>
          <w:rFonts w:ascii="Times New Roman" w:hAnsi="Times New Roman" w:eastAsia="Times New Roman" w:cs="Times New Roman"/>
        </w:rPr>
        <w:t>.” Review and Herald, February 11, 1896.</w:t>
      </w:r>
    </w:p>
    <w:p>
      <w:pPr>
        <w:pStyle w:val="ArticleBody"/>
        <w:jc w:val="left"/>
      </w:pPr>
      <w:r>
        <w:rPr>
          <w:rFonts w:ascii="Times New Roman" w:hAnsi="Times New Roman" w:eastAsia="Times New Roman" w:cs="Times New Roman"/>
        </w:rPr>
        <w:t>Доҥуз түніҥ қышқырығы — жүз қырық төрт мыңның қозғалысындағы көкжиектегі келесі жолбелгі. Бұл жолбелгі жексенбі заңының алдында адалдарға қарсы басталатын қудалаумен қатар жүреді. Ол қудалау сыртқы да, ішкі де болады, ал ішкі қудалау өз ішінде екі бөлек рәмізді қамтиды. Сол рәміздердің бірі — Яһуда, екіншісі — Синедрион.</w:t>
      </w:r>
    </w:p>
    <w:p>
      <w:pPr>
        <w:pStyle w:val="ArticleHeading"/>
        <w:jc w:val="left"/>
      </w:pPr>
      <w:r>
        <w:rPr>
          <w:rFonts w:ascii="Myanmar Text" w:hAnsi="Myanmar Text" w:eastAsia="Myanmar Text" w:cs="Myanmar Text"/>
        </w:rPr>
        <w:t>အန်တီခရစ်တော်ဆိုင်ရာ</w:t>
      </w:r>
      <w:r>
        <w:rPr>
          <w:rFonts w:ascii="Arial" w:hAnsi="Arial" w:eastAsia="Arial" w:cs="Arial"/>
        </w:rPr>
        <w:t xml:space="preserve"> </w:t>
      </w:r>
      <w:r>
        <w:rPr>
          <w:rFonts w:ascii="Myanmar Text" w:hAnsi="Myanmar Text" w:eastAsia="Myanmar Text" w:cs="Myanmar Text"/>
        </w:rPr>
        <w:t>လမ်းမှတ်ကိုးခုမြောက်မှာ</w:t>
      </w:r>
      <w:r>
        <w:rPr>
          <w:rFonts w:ascii="Arial" w:hAnsi="Arial" w:eastAsia="Arial" w:cs="Arial"/>
        </w:rPr>
        <w:t xml:space="preserve"> </w:t>
      </w:r>
      <w:r>
        <w:rPr>
          <w:rFonts w:ascii="Myanmar Text" w:hAnsi="Myanmar Text" w:eastAsia="Myanmar Text" w:cs="Myanmar Text"/>
        </w:rPr>
        <w:t>ငွေသုံးဆယ်ဖြင့်</w:t>
      </w:r>
      <w:r>
        <w:rPr>
          <w:rFonts w:ascii="Arial" w:hAnsi="Arial" w:eastAsia="Arial" w:cs="Arial"/>
        </w:rPr>
        <w:t xml:space="preserve"> </w:t>
      </w:r>
      <w:r>
        <w:rPr>
          <w:rFonts w:ascii="Myanmar Text" w:hAnsi="Myanmar Text" w:eastAsia="Myanmar Text" w:cs="Myanmar Text"/>
        </w:rPr>
        <w:t>သစ္စာဖောက်အပ်နှံခြင်း</w:t>
      </w:r>
      <w:r>
        <w:rPr>
          <w:rFonts w:ascii="Arial" w:hAnsi="Arial" w:eastAsia="Arial" w:cs="Arial"/>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Joala oñekumpli upérõ pe oñe’ẽ vaʼekue proféta Jeremías rupive, heʼívo: Haʼekuéra ojagarra pe mbohapypa pehẽngue pláta, pe hepykue pe ojevalora vaʼekue rehegua, pe Israel raʼykuéra ojevalora vaʼekue; ha omeʼẽ umíva ñandejárra rembiapoukapyháicha chéve, pe ñaiʼũ apohára kokuerã. Mateo 27:9, 10.</w:t>
      </w:r>
    </w:p>
    <w:p>
      <w:pPr>
        <w:pStyle w:val="ArticleHeading"/>
        <w:jc w:val="left"/>
      </w:pPr>
      <w:r>
        <w:rPr>
          <w:rFonts w:ascii="Arial" w:hAnsi="Arial" w:eastAsia="Arial" w:cs="Arial"/>
        </w:rPr>
        <w:t>Nabûetî</w:t>
      </w:r>
    </w:p>
    <w:p>
      <w:pPr>
        <w:pStyle w:val="ArticleScripture"/>
        <w:jc w:val="left"/>
      </w:pPr>
      <w:r>
        <w:rPr>
          <w:rFonts w:ascii="Times New Roman" w:hAnsi="Times New Roman" w:eastAsia="Times New Roman" w:cs="Times New Roman"/>
        </w:rPr>
        <w:t>Ара дийӣсурэ: “Әгәр сез моны дөрөҫ тип иҫәпләһәгеҙ, хаҡымды бирегеҙ; әгәр юҡ икән, тыйылып тороғоҙ”. Шунда улар минең хаҡым өсөн утыҙ көмөш тәңкә үлсәп бирҙеләр. Һәм Раббы миңә әйтте: “Быны көршәксегә ташла; улар Мине баһалаған шундай яҡшы хаҡ!” Һәм мин утыҙ көмөш тәңкәне алып, Раббы йорто эсендә көршәксегә ташланым. Зәкәриә 11:12, 13.</w:t>
      </w:r>
    </w:p>
    <w:p>
      <w:pPr>
        <w:pStyle w:val="ArticleBody"/>
        <w:jc w:val="left"/>
      </w:pPr>
      <w:r>
        <w:rPr>
          <w:rFonts w:ascii="Gadugi" w:hAnsi="Gadugi" w:eastAsia="Gadugi" w:cs="Gadugi"/>
        </w:rPr>
        <w:t>ᎫᏓᏏ</w:t>
      </w:r>
      <w:r>
        <w:rPr>
          <w:rFonts w:ascii="Times New Roman" w:hAnsi="Times New Roman" w:eastAsia="Times New Roman" w:cs="Times New Roman"/>
        </w:rPr>
        <w:t xml:space="preserve"> </w:t>
      </w:r>
      <w:r>
        <w:rPr>
          <w:rFonts w:ascii="Gadugi" w:hAnsi="Gadugi" w:eastAsia="Gadugi" w:cs="Gadugi"/>
        </w:rPr>
        <w:t>ᎤᏓᎶᏄᎮᏍᏗ</w:t>
      </w:r>
      <w:r>
        <w:rPr>
          <w:rFonts w:ascii="Times New Roman" w:hAnsi="Times New Roman" w:eastAsia="Times New Roman" w:cs="Times New Roman"/>
        </w:rPr>
        <w:t xml:space="preserve"> </w:t>
      </w:r>
      <w:r>
        <w:rPr>
          <w:rFonts w:ascii="Gadugi" w:hAnsi="Gadugi" w:eastAsia="Gadugi" w:cs="Gadugi"/>
        </w:rPr>
        <w:t>ᎤᏤᎸᎯ</w:t>
      </w:r>
      <w:r>
        <w:rPr>
          <w:rFonts w:ascii="Times New Roman" w:hAnsi="Times New Roman" w:eastAsia="Times New Roman" w:cs="Times New Roman"/>
        </w:rPr>
        <w:t xml:space="preserve"> </w:t>
      </w:r>
      <w:r>
        <w:rPr>
          <w:rFonts w:ascii="Gadugi" w:hAnsi="Gadugi" w:eastAsia="Gadugi" w:cs="Gadugi"/>
        </w:rPr>
        <w:t>ᏗᎦᏠᎾᏍᏗ</w:t>
      </w:r>
      <w:r>
        <w:rPr>
          <w:rFonts w:ascii="Times New Roman" w:hAnsi="Times New Roman" w:eastAsia="Times New Roman" w:cs="Times New Roman"/>
        </w:rPr>
        <w:t xml:space="preserve"> </w:t>
      </w:r>
      <w:r>
        <w:rPr>
          <w:rFonts w:ascii="Gadugi" w:hAnsi="Gadugi" w:eastAsia="Gadugi" w:cs="Gadugi"/>
        </w:rPr>
        <w:t>ᏧᎾᏤᎵᏍᎩ</w:t>
      </w:r>
      <w:r>
        <w:rPr>
          <w:rFonts w:ascii="Times New Roman" w:hAnsi="Times New Roman" w:eastAsia="Times New Roman" w:cs="Times New Roman"/>
        </w:rPr>
        <w:t xml:space="preserve"> </w:t>
      </w:r>
      <w:r>
        <w:rPr>
          <w:rFonts w:ascii="Gadugi" w:hAnsi="Gadugi" w:eastAsia="Gadugi" w:cs="Gadugi"/>
        </w:rPr>
        <w:t>ᎤᏂᏠᏱᎵᏙᗗ</w:t>
      </w:r>
      <w:r>
        <w:rPr>
          <w:rFonts w:ascii="Times New Roman" w:hAnsi="Times New Roman" w:eastAsia="Times New Roman" w:cs="Times New Roman"/>
        </w:rPr>
        <w:t xml:space="preserve"> </w:t>
      </w:r>
      <w:r>
        <w:rPr>
          <w:rFonts w:ascii="Gadugi" w:hAnsi="Gadugi" w:eastAsia="Gadugi" w:cs="Gadugi"/>
        </w:rPr>
        <w:t>ᎤᏓᏠᏲᎯᎯ</w:t>
      </w:r>
      <w:r>
        <w:rPr>
          <w:rFonts w:ascii="Times New Roman" w:hAnsi="Times New Roman" w:eastAsia="Times New Roman" w:cs="Times New Roman"/>
        </w:rPr>
        <w:t xml:space="preserve"> </w:t>
      </w:r>
      <w:r>
        <w:rPr>
          <w:rFonts w:ascii="Gadugi" w:hAnsi="Gadugi" w:eastAsia="Gadugi" w:cs="Gadugi"/>
        </w:rPr>
        <w:t>ᎤᏚᏟᏛ</w:t>
      </w:r>
      <w:r>
        <w:rPr>
          <w:rFonts w:ascii="Times New Roman" w:hAnsi="Times New Roman" w:eastAsia="Times New Roman" w:cs="Times New Roman"/>
        </w:rPr>
        <w:t xml:space="preserve"> </w:t>
      </w:r>
      <w:r>
        <w:rPr>
          <w:rFonts w:ascii="Gadugi" w:hAnsi="Gadugi" w:eastAsia="Gadugi" w:cs="Gadugi"/>
        </w:rPr>
        <w:t>ᎠᏂᎦᏔᎾᎥᎢ</w:t>
      </w:r>
      <w:r>
        <w:rPr>
          <w:rFonts w:ascii="Times New Roman" w:hAnsi="Times New Roman" w:eastAsia="Times New Roman" w:cs="Times New Roman"/>
        </w:rPr>
        <w:t xml:space="preserve">, </w:t>
      </w:r>
      <w:r>
        <w:rPr>
          <w:rFonts w:ascii="Gadugi" w:hAnsi="Gadugi" w:eastAsia="Gadugi" w:cs="Gadugi"/>
        </w:rPr>
        <w:t>ᏦᏍᎪᎯ</w:t>
      </w:r>
      <w:r>
        <w:rPr>
          <w:rFonts w:ascii="Times New Roman" w:hAnsi="Times New Roman" w:eastAsia="Times New Roman" w:cs="Times New Roman"/>
        </w:rPr>
        <w:t xml:space="preserve"> 30 </w:t>
      </w:r>
      <w:r>
        <w:rPr>
          <w:rFonts w:ascii="Gadugi" w:hAnsi="Gadugi" w:eastAsia="Gadugi" w:cs="Gadugi"/>
        </w:rPr>
        <w:t>ᎠᎩᏍᏗ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ᏗᎦᏠᎾᏍᏗ</w:t>
      </w:r>
      <w:r>
        <w:rPr>
          <w:rFonts w:ascii="Times New Roman" w:hAnsi="Times New Roman" w:eastAsia="Times New Roman" w:cs="Times New Roman"/>
        </w:rPr>
        <w:t xml:space="preserve"> </w:t>
      </w:r>
      <w:r>
        <w:rPr>
          <w:rFonts w:ascii="Gadugi" w:hAnsi="Gadugi" w:eastAsia="Gadugi" w:cs="Gadugi"/>
        </w:rPr>
        <w:t>ᎤᏂᎩᏴᏫᏍᏗ</w:t>
      </w:r>
      <w:r>
        <w:rPr>
          <w:rFonts w:ascii="Times New Roman" w:hAnsi="Times New Roman" w:eastAsia="Times New Roman" w:cs="Times New Roman"/>
        </w:rPr>
        <w:t xml:space="preserve"> </w:t>
      </w:r>
      <w:r>
        <w:rPr>
          <w:rFonts w:ascii="Gadugi" w:hAnsi="Gadugi" w:eastAsia="Gadugi" w:cs="Gadugi"/>
        </w:rPr>
        <w:t>ᎠᏂᎦᏔᎾᎥᎢ</w:t>
      </w:r>
      <w:r>
        <w:rPr>
          <w:rFonts w:ascii="Times New Roman" w:hAnsi="Times New Roman" w:eastAsia="Times New Roman" w:cs="Times New Roman"/>
        </w:rPr>
        <w:t xml:space="preserve">. </w:t>
      </w:r>
      <w:r>
        <w:rPr>
          <w:rFonts w:ascii="Gadugi" w:hAnsi="Gadugi" w:eastAsia="Gadugi" w:cs="Gadugi"/>
        </w:rPr>
        <w:t>ᏗᎦᏠᎾᏍᏗ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ᎵᏫᏓᏍᏗ</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ᏕᎨᏥᏅᏩᏁᎭ</w:t>
      </w:r>
      <w:r>
        <w:rPr>
          <w:rFonts w:ascii="Times New Roman" w:hAnsi="Times New Roman" w:eastAsia="Times New Roman" w:cs="Times New Roman"/>
        </w:rPr>
        <w:t xml:space="preserve"> </w:t>
      </w:r>
      <w:r>
        <w:rPr>
          <w:rFonts w:ascii="Gadugi" w:hAnsi="Gadugi" w:eastAsia="Gadugi" w:cs="Gadugi"/>
        </w:rPr>
        <w:t>ᎠᏕᎸ</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ᎠᏕᎸ</w:t>
      </w:r>
      <w:r>
        <w:rPr>
          <w:rFonts w:ascii="Times New Roman" w:hAnsi="Times New Roman" w:eastAsia="Times New Roman" w:cs="Times New Roman"/>
        </w:rPr>
        <w:t xml:space="preserve"> </w:t>
      </w:r>
      <w:r>
        <w:rPr>
          <w:rFonts w:ascii="Gadugi" w:hAnsi="Gadugi" w:eastAsia="Gadugi" w:cs="Gadugi"/>
        </w:rPr>
        <w:t>ᎤᎩᎶᏛ</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ᏗᏓᎸᏫᏍᎩ</w:t>
      </w:r>
      <w:r>
        <w:rPr>
          <w:rFonts w:ascii="Times New Roman" w:hAnsi="Times New Roman" w:eastAsia="Times New Roman" w:cs="Times New Roman"/>
        </w:rPr>
        <w:t xml:space="preserve"> </w:t>
      </w:r>
      <w:r>
        <w:rPr>
          <w:rFonts w:ascii="Gadugi" w:hAnsi="Gadugi" w:eastAsia="Gadugi" w:cs="Gadugi"/>
        </w:rPr>
        <w:t>ᎪᏪᎸᎢ</w:t>
      </w:r>
      <w:r>
        <w:rPr>
          <w:rFonts w:ascii="Times New Roman" w:hAnsi="Times New Roman" w:eastAsia="Times New Roman" w:cs="Times New Roman"/>
        </w:rPr>
        <w:t xml:space="preserve"> </w:t>
      </w:r>
      <w:r>
        <w:rPr>
          <w:rFonts w:ascii="Gadugi" w:hAnsi="Gadugi" w:eastAsia="Gadugi" w:cs="Gadugi"/>
        </w:rPr>
        <w:t>ᏧᏓᏁᎶᏗ</w:t>
      </w:r>
      <w:r>
        <w:rPr>
          <w:rFonts w:ascii="Times New Roman" w:hAnsi="Times New Roman" w:eastAsia="Times New Roman" w:cs="Times New Roman"/>
        </w:rPr>
        <w:t xml:space="preserve">. </w:t>
      </w:r>
      <w:r>
        <w:rPr>
          <w:rFonts w:ascii="Gadugi" w:hAnsi="Gadugi" w:eastAsia="Gadugi" w:cs="Gadugi"/>
        </w:rPr>
        <w:t>ᎫᏓᏏ</w:t>
      </w:r>
      <w:r>
        <w:rPr>
          <w:rFonts w:ascii="Times New Roman" w:hAnsi="Times New Roman" w:eastAsia="Times New Roman" w:cs="Times New Roman"/>
        </w:rPr>
        <w:t xml:space="preserve"> </w:t>
      </w:r>
      <w:r>
        <w:rPr>
          <w:rFonts w:ascii="Gadugi" w:hAnsi="Gadugi" w:eastAsia="Gadugi" w:cs="Gadugi"/>
        </w:rPr>
        <w:t>ᏦᏍᎪᎯ</w:t>
      </w:r>
      <w:r>
        <w:rPr>
          <w:rFonts w:ascii="Times New Roman" w:hAnsi="Times New Roman" w:eastAsia="Times New Roman" w:cs="Times New Roman"/>
        </w:rPr>
        <w:t xml:space="preserve"> 30 </w:t>
      </w:r>
      <w:r>
        <w:rPr>
          <w:rFonts w:ascii="Gadugi" w:hAnsi="Gadugi" w:eastAsia="Gadugi" w:cs="Gadugi"/>
        </w:rPr>
        <w:t>ᎠᏕᎸ</w:t>
      </w:r>
      <w:r>
        <w:rPr>
          <w:rFonts w:ascii="Times New Roman" w:hAnsi="Times New Roman" w:eastAsia="Times New Roman" w:cs="Times New Roman"/>
        </w:rPr>
        <w:t xml:space="preserve"> </w:t>
      </w:r>
      <w:r>
        <w:rPr>
          <w:rFonts w:ascii="Gadugi" w:hAnsi="Gadugi" w:eastAsia="Gadugi" w:cs="Gadugi"/>
        </w:rPr>
        <w:t>ᎤᎩᎶᏛ</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ᏗᎨᏥᏅᏩᏁᏗ</w:t>
      </w:r>
      <w:r>
        <w:rPr>
          <w:rFonts w:ascii="Times New Roman" w:hAnsi="Times New Roman" w:eastAsia="Times New Roman" w:cs="Times New Roman"/>
        </w:rPr>
        <w:t xml:space="preserve"> </w:t>
      </w:r>
      <w:r>
        <w:rPr>
          <w:rFonts w:ascii="Gadugi" w:hAnsi="Gadugi" w:eastAsia="Gadugi" w:cs="Gadugi"/>
        </w:rPr>
        <w:t>ᎤᏓᏠᏲᎯᎯ</w:t>
      </w:r>
      <w:r>
        <w:rPr>
          <w:rFonts w:ascii="Times New Roman" w:hAnsi="Times New Roman" w:eastAsia="Times New Roman" w:cs="Times New Roman"/>
        </w:rPr>
        <w:t xml:space="preserve"> </w:t>
      </w:r>
      <w:r>
        <w:rPr>
          <w:rFonts w:ascii="Gadugi" w:hAnsi="Gadugi" w:eastAsia="Gadugi" w:cs="Gadugi"/>
        </w:rPr>
        <w:t>ᏗᎦᏠᎾᏍᏗ</w:t>
      </w:r>
      <w:r>
        <w:rPr>
          <w:rFonts w:ascii="Times New Roman" w:hAnsi="Times New Roman" w:eastAsia="Times New Roman" w:cs="Times New Roman"/>
        </w:rPr>
        <w:t xml:space="preserve"> </w:t>
      </w:r>
      <w:r>
        <w:rPr>
          <w:rFonts w:ascii="Gadugi" w:hAnsi="Gadugi" w:eastAsia="Gadugi" w:cs="Gadugi"/>
        </w:rPr>
        <w:t>ᏓᏂᎧᎿᎭᏩᏛ</w:t>
      </w:r>
      <w:r>
        <w:rPr>
          <w:rFonts w:ascii="Times New Roman" w:hAnsi="Times New Roman" w:eastAsia="Times New Roman" w:cs="Times New Roman"/>
        </w:rPr>
        <w:t xml:space="preserve"> </w:t>
      </w:r>
      <w:r>
        <w:rPr>
          <w:rFonts w:ascii="Gadugi" w:hAnsi="Gadugi" w:eastAsia="Gadugi" w:cs="Gadugi"/>
        </w:rPr>
        <w:t>ᏗᏓᏁᎵᏛ</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ᎠᎴᏂ</w:t>
      </w:r>
      <w:r>
        <w:rPr>
          <w:rFonts w:ascii="Times New Roman" w:hAnsi="Times New Roman" w:eastAsia="Times New Roman" w:cs="Times New Roman"/>
        </w:rPr>
        <w:t xml:space="preserve">, </w:t>
      </w:r>
      <w:r>
        <w:rPr>
          <w:rFonts w:ascii="Gadugi" w:hAnsi="Gadugi" w:eastAsia="Gadugi" w:cs="Gadugi"/>
        </w:rPr>
        <w:t>ᎾᏍᎩᏃ</w:t>
      </w:r>
      <w:r>
        <w:rPr>
          <w:rFonts w:ascii="Times New Roman" w:hAnsi="Times New Roman" w:eastAsia="Times New Roman" w:cs="Times New Roman"/>
        </w:rPr>
        <w:t xml:space="preserve"> </w:t>
      </w:r>
      <w:r>
        <w:rPr>
          <w:rFonts w:ascii="Gadugi" w:hAnsi="Gadugi" w:eastAsia="Gadugi" w:cs="Gadugi"/>
        </w:rPr>
        <w:t>ᎫᏓᏏ</w:t>
      </w:r>
      <w:r>
        <w:rPr>
          <w:rFonts w:ascii="Times New Roman" w:hAnsi="Times New Roman" w:eastAsia="Times New Roman" w:cs="Times New Roman"/>
        </w:rPr>
        <w:t xml:space="preserve"> </w:t>
      </w:r>
      <w:r>
        <w:rPr>
          <w:rFonts w:ascii="Gadugi" w:hAnsi="Gadugi" w:eastAsia="Gadugi" w:cs="Gadugi"/>
        </w:rPr>
        <w:t>ᎤᏲᎱᏎ</w:t>
      </w:r>
      <w:r>
        <w:rPr>
          <w:rFonts w:ascii="Times New Roman" w:hAnsi="Times New Roman" w:eastAsia="Times New Roman" w:cs="Times New Roman"/>
        </w:rPr>
        <w:t xml:space="preserve"> </w:t>
      </w:r>
      <w:r>
        <w:rPr>
          <w:rFonts w:ascii="Gadugi" w:hAnsi="Gadugi" w:eastAsia="Gadugi" w:cs="Gadugi"/>
        </w:rPr>
        <w:t>ᎤᏂᎩᏛ</w:t>
      </w:r>
      <w:r>
        <w:rPr>
          <w:rFonts w:ascii="Times New Roman" w:hAnsi="Times New Roman" w:eastAsia="Times New Roman" w:cs="Times New Roman"/>
        </w:rPr>
        <w:t xml:space="preserve"> </w:t>
      </w:r>
      <w:r>
        <w:rPr>
          <w:rFonts w:ascii="Gadugi" w:hAnsi="Gadugi" w:eastAsia="Gadugi" w:cs="Gadugi"/>
        </w:rPr>
        <w:t>ᏧᏓᎿᎭᏩᏛ</w:t>
      </w:r>
      <w:r>
        <w:rPr>
          <w:rFonts w:ascii="Times New Roman" w:hAnsi="Times New Roman" w:eastAsia="Times New Roman" w:cs="Times New Roman"/>
        </w:rPr>
        <w:t xml:space="preserve"> </w:t>
      </w:r>
      <w:r>
        <w:rPr>
          <w:rFonts w:ascii="Gadugi" w:hAnsi="Gadugi" w:eastAsia="Gadugi" w:cs="Gadugi"/>
        </w:rPr>
        <w:t>ᏧᎾᏛᏁᎲ</w:t>
      </w:r>
      <w:r>
        <w:rPr>
          <w:rFonts w:ascii="Times New Roman" w:hAnsi="Times New Roman" w:eastAsia="Times New Roman" w:cs="Times New Roman"/>
        </w:rPr>
        <w:t xml:space="preserve"> </w:t>
      </w:r>
      <w:r>
        <w:rPr>
          <w:rFonts w:ascii="Gadugi" w:hAnsi="Gadugi" w:eastAsia="Gadugi" w:cs="Gadugi"/>
        </w:rPr>
        <w:t>ᎤᎵᏍᏆᏗᎢ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ᎫᏓᏏ</w:t>
      </w:r>
      <w:r>
        <w:rPr>
          <w:rFonts w:ascii="Times New Roman" w:hAnsi="Times New Roman" w:eastAsia="Times New Roman" w:cs="Times New Roman"/>
        </w:rPr>
        <w:t xml:space="preserve"> </w:t>
      </w:r>
      <w:r>
        <w:rPr>
          <w:rFonts w:ascii="Gadugi" w:hAnsi="Gadugi" w:eastAsia="Gadugi" w:cs="Gadugi"/>
        </w:rPr>
        <w:t>ᏌᏂᎮᏟᏂ</w:t>
      </w:r>
      <w:r>
        <w:rPr>
          <w:rFonts w:ascii="Times New Roman" w:hAnsi="Times New Roman" w:eastAsia="Times New Roman" w:cs="Times New Roman"/>
        </w:rPr>
        <w:t xml:space="preserve"> </w:t>
      </w:r>
      <w:r>
        <w:rPr>
          <w:rFonts w:ascii="Gadugi" w:hAnsi="Gadugi" w:eastAsia="Gadugi" w:cs="Gadugi"/>
        </w:rPr>
        <w:t>ᎤᏂᏯᎥ</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ᎠᏓᏟᎶᏍᏔᏅᎯ</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ᎠᏓᏟᎶᏍᏔᏅᎯ</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ᎤᏁᎵᏍᎨ</w:t>
      </w:r>
      <w:r>
        <w:rPr>
          <w:rFonts w:ascii="Times New Roman" w:hAnsi="Times New Roman" w:eastAsia="Times New Roman" w:cs="Times New Roman"/>
        </w:rPr>
        <w:t xml:space="preserve"> </w:t>
      </w:r>
      <w:r>
        <w:rPr>
          <w:rFonts w:ascii="Gadugi" w:hAnsi="Gadugi" w:eastAsia="Gadugi" w:cs="Gadugi"/>
        </w:rPr>
        <w:t>ᎦᏰᎵ</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ᏧᏁᏣᎢ</w:t>
      </w:r>
      <w:r>
        <w:rPr>
          <w:rFonts w:ascii="Times New Roman" w:hAnsi="Times New Roman" w:eastAsia="Times New Roman" w:cs="Times New Roman"/>
        </w:rPr>
        <w:t xml:space="preserve"> </w:t>
      </w:r>
      <w:r>
        <w:rPr>
          <w:rFonts w:ascii="Gadugi" w:hAnsi="Gadugi" w:eastAsia="Gadugi" w:cs="Gadugi"/>
        </w:rPr>
        <w:t>ᎠᏁᎳᏗᏙᎯ</w:t>
      </w:r>
      <w:r>
        <w:rPr>
          <w:rFonts w:ascii="Times New Roman" w:hAnsi="Times New Roman" w:eastAsia="Times New Roman" w:cs="Times New Roman"/>
        </w:rPr>
        <w:t xml:space="preserve"> </w:t>
      </w:r>
      <w:r>
        <w:rPr>
          <w:rFonts w:ascii="Gadugi" w:hAnsi="Gadugi" w:eastAsia="Gadugi" w:cs="Gadugi"/>
        </w:rPr>
        <w:t>ᎨᏎ</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ᏣᎩᏍᏗ</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Ağa Məsihin şagirdi olaraq, sən İsanın məshininin şagirdi idin. Onun vəftizi zamanı olan məsh, İsanın adını İsa Məsihə çevirdi, çünki “Məsih” — məsh olunmuş deməkdir. O zaman Onun adı dəyişdi, çünki O, bir həftə üçün çoxları ilə əhdi təsdiq etməli idi və əhd münasibətinin başlıca rəmzlərindən biri dəyişmiş addır. İsa vəftizi zamanı qüdrətlə məsh olundu. Məsihin şagirdi olmaq, Onun vəftizinin şagirdi olmaq demək idi. O, məhz vəftizi zamanı qüdrətlə məsh olundu. Peterin Matta 16:18-dəki bəyanatı xristian teoloji dünyasında “Xristian Etirafı” kimi tanınır. Bu, ilahiyyatçılar və alimlər arasında müzakirə üçün böyük mövzulardan biridir. Adətən, ilahiyyatçıların və alimlərin müzakirəsi heç bir, yaxud bəlkə də cüzi əhəmiyyəti olan bir şeyi müəyyən edir, lakin məsələ bundadır ki, xristianlıq anlayır ki, İsa məsh olunduqda, O zaman Məsih oldu.</w:t>
      </w:r>
    </w:p>
    <w:p>
      <w:pPr>
        <w:pStyle w:val="ArticleScripture"/>
        <w:jc w:val="left"/>
      </w:pPr>
      <w:r>
        <w:rPr>
          <w:rFonts w:ascii="Microsoft YaHei" w:hAnsi="Microsoft YaHei" w:eastAsia="Microsoft YaHei" w:cs="Microsoft YaHei"/>
        </w:rPr>
        <w:t>彼</w:t>
      </w:r>
      <w:r>
        <w:rPr>
          <w:rFonts w:ascii="MS Gothic" w:hAnsi="MS Gothic" w:eastAsia="MS Gothic" w:cs="MS Gothic"/>
        </w:rPr>
        <w:t>が</w:t>
      </w:r>
      <w:r>
        <w:rPr>
          <w:rFonts w:ascii="Microsoft YaHei" w:hAnsi="Microsoft YaHei" w:eastAsia="Microsoft YaHei" w:cs="Microsoft YaHei"/>
        </w:rPr>
        <w:t>彼</w:t>
      </w:r>
      <w:r>
        <w:rPr>
          <w:rFonts w:ascii="MS Gothic" w:hAnsi="MS Gothic" w:eastAsia="MS Gothic" w:cs="MS Gothic"/>
        </w:rPr>
        <w:t>らに</w:t>
      </w:r>
      <w:r>
        <w:rPr>
          <w:rFonts w:ascii="Microsoft YaHei" w:hAnsi="Microsoft YaHei" w:eastAsia="Microsoft YaHei" w:cs="Microsoft YaHei"/>
        </w:rPr>
        <w:t>言</w:t>
      </w:r>
      <w:r>
        <w:rPr>
          <w:rFonts w:ascii="MS Gothic" w:hAnsi="MS Gothic" w:eastAsia="MS Gothic" w:cs="MS Gothic"/>
        </w:rPr>
        <w:t>われる</w:t>
      </w:r>
      <w:r>
        <w:rPr>
          <w:rFonts w:ascii="Microsoft YaHei" w:hAnsi="Microsoft YaHei" w:eastAsia="Microsoft YaHei" w:cs="Microsoft YaHei"/>
        </w:rPr>
        <w:t>、「</w:t>
      </w:r>
      <w:r>
        <w:rPr>
          <w:rFonts w:ascii="MS Gothic" w:hAnsi="MS Gothic" w:eastAsia="MS Gothic" w:cs="MS Gothic"/>
        </w:rPr>
        <w:t>それでは</w:t>
      </w:r>
      <w:r>
        <w:rPr>
          <w:rFonts w:ascii="Microsoft YaHei" w:hAnsi="Microsoft YaHei" w:eastAsia="Microsoft YaHei" w:cs="Microsoft YaHei"/>
        </w:rPr>
        <w:t>、</w:t>
      </w:r>
      <w:r>
        <w:rPr>
          <w:rFonts w:ascii="MS Gothic" w:hAnsi="MS Gothic" w:eastAsia="MS Gothic" w:cs="MS Gothic"/>
        </w:rPr>
        <w:t>あなたがたは</w:t>
      </w:r>
      <w:r>
        <w:rPr>
          <w:rFonts w:ascii="Microsoft YaHei" w:hAnsi="Microsoft YaHei" w:eastAsia="Microsoft YaHei" w:cs="Microsoft YaHei"/>
        </w:rPr>
        <w:t>、</w:t>
      </w:r>
      <w:r>
        <w:rPr>
          <w:rFonts w:ascii="MS Gothic" w:hAnsi="MS Gothic" w:eastAsia="MS Gothic" w:cs="MS Gothic"/>
        </w:rPr>
        <w:t>わたしをだれであると</w:t>
      </w:r>
      <w:r>
        <w:rPr>
          <w:rFonts w:ascii="Microsoft YaHei" w:hAnsi="Microsoft YaHei" w:eastAsia="Microsoft YaHei" w:cs="Microsoft YaHei"/>
        </w:rPr>
        <w:t>言</w:t>
      </w:r>
      <w:r>
        <w:rPr>
          <w:rFonts w:ascii="MS Gothic" w:hAnsi="MS Gothic" w:eastAsia="MS Gothic" w:cs="MS Gothic"/>
        </w:rPr>
        <w:t>うのか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すると</w:t>
      </w:r>
      <w:r>
        <w:rPr>
          <w:rFonts w:ascii="Microsoft YaHei" w:hAnsi="Microsoft YaHei" w:eastAsia="Microsoft YaHei" w:cs="Microsoft YaHei"/>
        </w:rPr>
        <w:t>、</w:t>
      </w:r>
      <w:r>
        <w:rPr>
          <w:rFonts w:ascii="MS Gothic" w:hAnsi="MS Gothic" w:eastAsia="MS Gothic" w:cs="MS Gothic"/>
        </w:rPr>
        <w:t>シモン・ペテロが</w:t>
      </w:r>
      <w:r>
        <w:rPr>
          <w:rFonts w:ascii="Microsoft YaHei" w:hAnsi="Microsoft YaHei" w:eastAsia="Microsoft YaHei" w:cs="Microsoft YaHei"/>
        </w:rPr>
        <w:t>答</w:t>
      </w:r>
      <w:r>
        <w:rPr>
          <w:rFonts w:ascii="MS Gothic" w:hAnsi="MS Gothic" w:eastAsia="MS Gothic" w:cs="MS Gothic"/>
        </w:rPr>
        <w:t>えて</w:t>
      </w:r>
      <w:r>
        <w:rPr>
          <w:rFonts w:ascii="Microsoft YaHei" w:hAnsi="Microsoft YaHei" w:eastAsia="Microsoft YaHei" w:cs="Microsoft YaHei"/>
        </w:rPr>
        <w:t>言</w:t>
      </w:r>
      <w:r>
        <w:rPr>
          <w:rFonts w:ascii="MS Gothic" w:hAnsi="MS Gothic" w:eastAsia="MS Gothic" w:cs="MS Gothic"/>
        </w:rPr>
        <w:t>った</w:t>
      </w:r>
      <w:r>
        <w:rPr>
          <w:rFonts w:ascii="Microsoft YaHei" w:hAnsi="Microsoft YaHei" w:eastAsia="Microsoft YaHei" w:cs="Microsoft YaHei"/>
        </w:rPr>
        <w:t>、「</w:t>
      </w:r>
      <w:r>
        <w:rPr>
          <w:rFonts w:ascii="MS Gothic" w:hAnsi="MS Gothic" w:eastAsia="MS Gothic" w:cs="MS Gothic"/>
        </w:rPr>
        <w:t>あなたはキリスト</w:t>
      </w:r>
      <w:r>
        <w:rPr>
          <w:rFonts w:ascii="Microsoft YaHei" w:hAnsi="Microsoft YaHei" w:eastAsia="Microsoft YaHei" w:cs="Microsoft YaHei"/>
        </w:rPr>
        <w:t>、生</w:t>
      </w:r>
      <w:r>
        <w:rPr>
          <w:rFonts w:ascii="MS Gothic" w:hAnsi="MS Gothic" w:eastAsia="MS Gothic" w:cs="MS Gothic"/>
        </w:rPr>
        <w:t>ける</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御子</w:t>
      </w:r>
      <w:r>
        <w:rPr>
          <w:rFonts w:ascii="MS Gothic" w:hAnsi="MS Gothic" w:eastAsia="MS Gothic" w:cs="MS Gothic"/>
        </w:rPr>
        <w:t>です</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マタイ</w:t>
      </w:r>
      <w:r>
        <w:rPr>
          <w:rFonts w:ascii="Times New Roman" w:hAnsi="Times New Roman" w:eastAsia="Times New Roman" w:cs="Times New Roman"/>
        </w:rPr>
        <w:t xml:space="preserve"> 16:15, 16.</w:t>
      </w:r>
    </w:p>
    <w:p>
      <w:pPr>
        <w:pStyle w:val="ArticleBody"/>
        <w:jc w:val="left"/>
      </w:pPr>
      <w:r>
        <w:rPr>
          <w:rFonts w:ascii="Times New Roman" w:hAnsi="Times New Roman" w:eastAsia="Times New Roman" w:cs="Times New Roman"/>
        </w:rPr>
        <w:t>پطرس کا اصل نام اسی حقیقت کو ظاہر کرتا تھا، کیونکہ سمعان بار یونا کا معنی ہے “وہ جو کبوتر کے پیغام کو سنتا ہے”، اور یہی اُس کے بپتسمہ کا پیغام تھا۔ اُس کا بپتسمہ 9/11 کے ساتھ ہم آہنگ ہے، اور یہوداہ اُن لوگوں کی نمائندگی کرتا ہے جنہوں نے کسی موقع پر 9/11 کی سمجھ کا اقرار کیا، لیکن راستے میں اپنی راہ کھو بیٹھتے ہیں۔ یہوداہ سنہدرین کی علامت نہیں ہے، کیونکہ وہ لاؤدیقیہ کی سیونتھ ڈے ایڈونٹسٹ کلیسیا کی نمائندگی کرتے ہیں۔ یہوداہ نے سنہدرین کے لیے ایک گواہی فراہم کی، لیکن سنہدرین کی بغاوت کی علامت یہوداہ کی بغاوت سے مختلف ہے۔ سنہدرین کی بغاوت مندرجہ ذیل خواب میں ظاہر کی گئی ہے۔</w:t>
      </w:r>
    </w:p>
    <w:p>
      <w:pPr>
        <w:pStyle w:val="ArticleScripture"/>
        <w:jc w:val="left"/>
      </w:pPr>
      <w:r>
        <w:rPr>
          <w:rFonts w:ascii="Times New Roman" w:hAnsi="Times New Roman" w:eastAsia="Times New Roman" w:cs="Times New Roman"/>
        </w:rPr>
        <w:t>«Номзодҳоямро ҷамъ овардам, ва мо ба сафари худ оғоз кардем. Дар роҳ мо дар Orange ду ҷамъомад баргузор намудем ва далеле доштем, ки калисо манфиат ёфт ва рӯҳбаланд гардид. Худамон низ аз Рӯҳи Худованд тароват ёфтем. Он шаб ман хоб дидам, ки дар Battle Creek будам, аз шишаи паҳлӯии назди дар менигаристам ва гурӯҳе дидам, ки ду-ду ба сӯи хона мерафтанд. Онҳо сахтҷидд ва қатъӣ менамуданд. Ман онҳоро хуб мешинохтам ва рӯй гардондам, то дари меҳмонхонаро боз карда, онҳоро қабул намоям, аммо андешидам, ки бори дигар назар афканам. Манзара дигар шуда буд. Он гурӯҳ акнун намуди як роҳпаймоии католикиро дошт. Яке дар дасташ салиб дошт, дигаре найе. Ва чун наздик шуданд, он касе ки най дар даст дошт, гирди хонаро доира кашида, се бор гуфт: “Ин хона мамнӯъ эълон шудааст. Амвол бояд мусодира гардад. Онҳо бар зидди ордени муқаддаси мо сухан гуфтаанд.” Ваҳшат маро фаро гирифт, ва ман аз миёни хона давида, аз дари шимолӣ берун шудам ва худро дар миёни гурӯҳе ёфтам, ки баъзе аз онҳоро мешинохтам, аммо ҷуръат намекардам, ки бо онҳо як калима ҳам бигӯям, мабодо фош гардам. Кӯшиш мекардам, ки ҷои хилвате биҷӯям, ки дар он ҷо битавонам гиря кунам ва дуо гӯям, бе он ки ба ҳар тарафе рӯй гардонам, ба чашмони пуриштиёқу кунҷков дучор шавам. Ман зуд-зуд такрор мекардам: “Кош фақат метавонистам инро бифаҳмам! Кош онҳо ба ман мегуфтанд, ки чӣ гуфтаам ё чӣ кардаам!”»</w:t>
      </w:r>
    </w:p>
    <w:p>
      <w:pPr>
        <w:pStyle w:val="ArticleScripture"/>
        <w:jc w:val="left"/>
      </w:pPr>
      <w:r>
        <w:rPr>
          <w:rFonts w:ascii="Times New Roman" w:hAnsi="Times New Roman" w:eastAsia="Times New Roman" w:cs="Times New Roman"/>
        </w:rPr>
        <w:t>«كان شغا سُبئ وُصلّي بعيندا، سوغ مبّاراليه گُزُفا كورا آگره. ننا نِنا دابالته إندا نگرسّولايا دهبينا قابي بُويّهال عَساليه، كَلهَ متّا بيقيه ياقه مَطيه سِدقي ديسوا، إيسي دبوتا يَتئه دوكو هَرانده هاتته، مَوودي باتّا ياقه هَسَسقيتينا، هِنقُو آيّانا مَللاتّو دوكونا عَتتينا، يِنيه اووه دِشّي دِشّي إيينّا آمه. شِدقُورا كِسّي كيسا إِشلّو ووتارا ووتي، إينا آكّه ننا إيهاتو كُمّه ووتينده، ننا هَساوا يَتّيرا گوفايه. ننا قَرا باعّا إيكّا شَشِّي إيسي: “إِيتّي نِنيه مالّا أودو يِرغو، وُوينّي مالّا عُدو إِسّو نِنيه بُويّانا!” ياقه هَسّو، وودا قُفي إِسّي كِفله مَنّا إيسي راّفيهالّا جِرُو، نِنيه شَشّا ناغايا دَمه. بُركو كِيّيا إيمِبّا بُويّيه، إينا گَمّاتشي آدّانا قَلبي تِسّا نَرّاتي.» Testimonies, volume 1, 577, 578.</w:t>
      </w:r>
    </w:p>
    <w:p>
      <w:pPr>
        <w:pStyle w:val="ArticleBody"/>
        <w:jc w:val="left"/>
      </w:pP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ସିଦ୍ଧାନ୍ତକୁ</w:t>
      </w:r>
      <w:r>
        <w:rPr>
          <w:rFonts w:ascii="Times New Roman" w:hAnsi="Times New Roman" w:eastAsia="Times New Roman" w:cs="Times New Roman"/>
        </w:rPr>
        <w:t xml:space="preserve"> </w:t>
      </w:r>
      <w:r>
        <w:rPr>
          <w:rFonts w:ascii="Nirmala UI" w:hAnsi="Nirmala UI" w:eastAsia="Nirmala UI" w:cs="Nirmala UI"/>
        </w:rPr>
        <w:t>ଲାଗୁ</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ଭବିଷ୍ୟଦ୍ଦର୍ଶୀମାନେ</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w:t>
      </w:r>
      <w:r>
        <w:rPr>
          <w:rFonts w:ascii="Nirmala UI" w:hAnsi="Nirmala UI" w:eastAsia="Nirmala UI" w:cs="Nirmala UI"/>
        </w:rPr>
        <w:t>ବାସ</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ତାହାଠାରୁ</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ଶେଷ</w:t>
      </w:r>
      <w:r>
        <w:rPr>
          <w:rFonts w:ascii="Times New Roman" w:hAnsi="Times New Roman" w:eastAsia="Times New Roman" w:cs="Times New Roman"/>
        </w:rPr>
        <w:t xml:space="preserve"> </w:t>
      </w:r>
      <w:r>
        <w:rPr>
          <w:rFonts w:ascii="Nirmala UI" w:hAnsi="Nirmala UI" w:eastAsia="Nirmala UI" w:cs="Nirmala UI"/>
        </w:rPr>
        <w:t>ଦିନଗୁଡ଼ିକ</w:t>
      </w:r>
      <w:r>
        <w:rPr>
          <w:rFonts w:ascii="Times New Roman" w:hAnsi="Times New Roman" w:eastAsia="Times New Roman" w:cs="Times New Roman"/>
        </w:rPr>
        <w:t xml:space="preserve"> </w:t>
      </w:r>
      <w:r>
        <w:rPr>
          <w:rFonts w:ascii="Nirmala UI" w:hAnsi="Nirmala UI" w:eastAsia="Nirmala UI" w:cs="Nirmala UI"/>
        </w:rPr>
        <w:t>ବିଷୟରେ</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ସେଭେନ୍ଥ</w:t>
      </w:r>
      <w:r>
        <w:rPr>
          <w:rFonts w:ascii="Times New Roman" w:hAnsi="Times New Roman" w:eastAsia="Times New Roman" w:cs="Times New Roman"/>
        </w:rPr>
        <w:t>-</w:t>
      </w:r>
      <w:r>
        <w:rPr>
          <w:rFonts w:ascii="Nirmala UI" w:hAnsi="Nirmala UI" w:eastAsia="Nirmala UI" w:cs="Nirmala UI"/>
        </w:rPr>
        <w:t>ଡେ</w:t>
      </w:r>
      <w:r>
        <w:rPr>
          <w:rFonts w:ascii="Times New Roman" w:hAnsi="Times New Roman" w:eastAsia="Times New Roman" w:cs="Times New Roman"/>
        </w:rPr>
        <w:t xml:space="preserve"> </w:t>
      </w:r>
      <w:r>
        <w:rPr>
          <w:rFonts w:ascii="Nirmala UI" w:hAnsi="Nirmala UI" w:eastAsia="Nirmala UI" w:cs="Nirmala UI"/>
        </w:rPr>
        <w:t>ଆଡଭେଣ୍ଟିଷ୍ଟ</w:t>
      </w:r>
      <w:r>
        <w:rPr>
          <w:rFonts w:ascii="Times New Roman" w:hAnsi="Times New Roman" w:eastAsia="Times New Roman" w:cs="Times New Roman"/>
        </w:rPr>
        <w:t xml:space="preserve"> </w:t>
      </w:r>
      <w:r>
        <w:rPr>
          <w:rFonts w:ascii="Nirmala UI" w:hAnsi="Nirmala UI" w:eastAsia="Nirmala UI" w:cs="Nirmala UI"/>
        </w:rPr>
        <w:t>ଚର୍ଚ୍ଚର</w:t>
      </w:r>
      <w:r>
        <w:rPr>
          <w:rFonts w:ascii="Times New Roman" w:hAnsi="Times New Roman" w:eastAsia="Times New Roman" w:cs="Times New Roman"/>
        </w:rPr>
        <w:t xml:space="preserve"> </w:t>
      </w:r>
      <w:r>
        <w:rPr>
          <w:rFonts w:ascii="Nirmala UI" w:hAnsi="Nirmala UI" w:eastAsia="Nirmala UI" w:cs="Nirmala UI"/>
        </w:rPr>
        <w:t>ନେତାମାନଙ୍କ</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ଅତ୍ୟନ୍ତ</w:t>
      </w:r>
      <w:r>
        <w:rPr>
          <w:rFonts w:ascii="Times New Roman" w:hAnsi="Times New Roman" w:eastAsia="Times New Roman" w:cs="Times New Roman"/>
        </w:rPr>
        <w:t xml:space="preserve"> </w:t>
      </w:r>
      <w:r>
        <w:rPr>
          <w:rFonts w:ascii="Nirmala UI" w:hAnsi="Nirmala UI" w:eastAsia="Nirmala UI" w:cs="Nirmala UI"/>
        </w:rPr>
        <w:t>ଗମ୍ଭୀର</w:t>
      </w:r>
      <w:r>
        <w:rPr>
          <w:rFonts w:ascii="Times New Roman" w:hAnsi="Times New Roman" w:eastAsia="Times New Roman" w:cs="Times New Roman"/>
        </w:rPr>
        <w:t xml:space="preserve"> </w:t>
      </w:r>
      <w:r>
        <w:rPr>
          <w:rFonts w:ascii="Nirmala UI" w:hAnsi="Nirmala UI" w:eastAsia="Nirmala UI" w:cs="Nirmala UI"/>
        </w:rPr>
        <w:t>ପ୍ରଶ୍ନ</w:t>
      </w:r>
      <w:r>
        <w:rPr>
          <w:rFonts w:ascii="Times New Roman" w:hAnsi="Times New Roman" w:eastAsia="Times New Roman" w:cs="Times New Roman"/>
        </w:rPr>
        <w:t xml:space="preserve"> </w:t>
      </w:r>
      <w:r>
        <w:rPr>
          <w:rFonts w:ascii="Nirmala UI" w:hAnsi="Nirmala UI" w:eastAsia="Nirmala UI" w:cs="Nirmala UI"/>
        </w:rPr>
        <w:t>ଉଠେ।</w:t>
      </w:r>
      <w:r>
        <w:rPr>
          <w:rFonts w:ascii="Times New Roman" w:hAnsi="Times New Roman" w:eastAsia="Times New Roman" w:cs="Times New Roman"/>
        </w:rPr>
        <w:t xml:space="preserve"> </w:t>
      </w:r>
      <w:r>
        <w:rPr>
          <w:rFonts w:ascii="Nirmala UI" w:hAnsi="Nirmala UI" w:eastAsia="Nirmala UI" w:cs="Nirmala UI"/>
        </w:rPr>
        <w:t>ସିଷ୍ଟର</w:t>
      </w:r>
      <w:r>
        <w:rPr>
          <w:rFonts w:ascii="Times New Roman" w:hAnsi="Times New Roman" w:eastAsia="Times New Roman" w:cs="Times New Roman"/>
        </w:rPr>
        <w:t xml:space="preserve"> </w:t>
      </w:r>
      <w:r>
        <w:rPr>
          <w:rFonts w:ascii="Nirmala UI" w:hAnsi="Nirmala UI" w:eastAsia="Nirmala UI" w:cs="Nirmala UI"/>
        </w:rPr>
        <w:t>ହ୍ୱାଇଟ୍</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“writings” “gathered up”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Battle Creek</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ଫେରା</w:t>
      </w:r>
      <w:r>
        <w:rPr>
          <w:rFonts w:ascii="Times New Roman" w:hAnsi="Times New Roman" w:eastAsia="Times New Roman" w:cs="Times New Roman"/>
        </w:rPr>
        <w:t xml:space="preserve"> </w:t>
      </w:r>
      <w:r>
        <w:rPr>
          <w:rFonts w:ascii="Nirmala UI" w:hAnsi="Nirmala UI" w:eastAsia="Nirmala UI" w:cs="Nirmala UI"/>
        </w:rPr>
        <w:t>ଯାତ୍ରା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ସେତେବେଳେ</w:t>
      </w:r>
      <w:r>
        <w:rPr>
          <w:rFonts w:ascii="Times New Roman" w:hAnsi="Times New Roman" w:eastAsia="Times New Roman" w:cs="Times New Roman"/>
        </w:rPr>
        <w:t xml:space="preserve"> Battle Creek </w:t>
      </w:r>
      <w:r>
        <w:rPr>
          <w:rFonts w:ascii="Nirmala UI" w:hAnsi="Nirmala UI" w:eastAsia="Nirmala UI" w:cs="Nirmala UI"/>
        </w:rPr>
        <w:t>କାର୍ଯ୍ୟର</w:t>
      </w:r>
      <w:r>
        <w:rPr>
          <w:rFonts w:ascii="Times New Roman" w:hAnsi="Times New Roman" w:eastAsia="Times New Roman" w:cs="Times New Roman"/>
        </w:rPr>
        <w:t xml:space="preserve"> </w:t>
      </w:r>
      <w:r>
        <w:rPr>
          <w:rFonts w:ascii="Nirmala UI" w:hAnsi="Nirmala UI" w:eastAsia="Nirmala UI" w:cs="Nirmala UI"/>
        </w:rPr>
        <w:t>ହୃଦୟକେନ୍ଦ୍ର</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Tacoma Park </w:t>
      </w:r>
      <w:r>
        <w:rPr>
          <w:rFonts w:ascii="Nirmala UI" w:hAnsi="Nirmala UI" w:eastAsia="Nirmala UI" w:cs="Nirmala UI"/>
        </w:rPr>
        <w:t>ଆଜି</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ଦିନରେ</w:t>
      </w:r>
      <w:r>
        <w:rPr>
          <w:rFonts w:ascii="Times New Roman" w:hAnsi="Times New Roman" w:eastAsia="Times New Roman" w:cs="Times New Roman"/>
        </w:rPr>
        <w:t xml:space="preserve"> Jerusalem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ଲେଖାଗୁଡ଼ିକ</w:t>
      </w:r>
      <w:r>
        <w:rPr>
          <w:rFonts w:ascii="Times New Roman" w:hAnsi="Times New Roman" w:eastAsia="Times New Roman" w:cs="Times New Roman"/>
        </w:rPr>
        <w:t xml:space="preserve"> </w:t>
      </w:r>
      <w:r>
        <w:rPr>
          <w:rFonts w:ascii="Nirmala UI" w:hAnsi="Nirmala UI" w:eastAsia="Nirmala UI" w:cs="Nirmala UI"/>
        </w:rPr>
        <w:t>ସମ୍ବନ୍ଧରେ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ସଂଘର୍ଷର</w:t>
      </w:r>
      <w:r>
        <w:rPr>
          <w:rFonts w:ascii="Times New Roman" w:hAnsi="Times New Roman" w:eastAsia="Times New Roman" w:cs="Times New Roman"/>
        </w:rPr>
        <w:t xml:space="preserve"> </w:t>
      </w:r>
      <w:r>
        <w:rPr>
          <w:rFonts w:ascii="Nirmala UI" w:hAnsi="Nirmala UI" w:eastAsia="Nirmala UI" w:cs="Nirmala UI"/>
        </w:rPr>
        <w:t>ଉଲ୍ଲେଖ</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କରିସାରିବା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ଯାତ୍ରା</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ଲେଖାଗୁଡ଼ିକ</w:t>
      </w:r>
      <w:r>
        <w:rPr>
          <w:rFonts w:ascii="Times New Roman" w:hAnsi="Times New Roman" w:eastAsia="Times New Roman" w:cs="Times New Roman"/>
        </w:rPr>
        <w:t xml:space="preserve"> </w:t>
      </w:r>
      <w:r>
        <w:rPr>
          <w:rFonts w:ascii="Nirmala UI" w:hAnsi="Nirmala UI" w:eastAsia="Nirmala UI" w:cs="Nirmala UI"/>
        </w:rPr>
        <w:t>ସଂଗ୍ରହ</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ସ୍ୱପ୍ନର</w:t>
      </w:r>
      <w:r>
        <w:rPr>
          <w:rFonts w:ascii="Times New Roman" w:hAnsi="Times New Roman" w:eastAsia="Times New Roman" w:cs="Times New Roman"/>
        </w:rPr>
        <w:t xml:space="preserve"> </w:t>
      </w:r>
      <w:r>
        <w:rPr>
          <w:rFonts w:ascii="Nirmala UI" w:hAnsi="Nirmala UI" w:eastAsia="Nirmala UI" w:cs="Nirmala UI"/>
        </w:rPr>
        <w:t>ପରିପ୍ରେକ୍ଷ୍ୟ</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ଲେଖାଗୁଡ଼ିକ</w:t>
      </w:r>
      <w:r>
        <w:rPr>
          <w:rFonts w:ascii="Times New Roman" w:hAnsi="Times New Roman" w:eastAsia="Times New Roman" w:cs="Times New Roman"/>
        </w:rPr>
        <w:t xml:space="preserve"> </w:t>
      </w:r>
      <w:r>
        <w:rPr>
          <w:rFonts w:ascii="Nirmala UI" w:hAnsi="Nirmala UI" w:eastAsia="Nirmala UI" w:cs="Nirmala UI"/>
        </w:rPr>
        <w:t>ସମ୍ବନ୍ଧରେ</w:t>
      </w:r>
      <w:r>
        <w:rPr>
          <w:rFonts w:ascii="Times New Roman" w:hAnsi="Times New Roman" w:eastAsia="Times New Roman" w:cs="Times New Roman"/>
        </w:rPr>
        <w:t xml:space="preserve"> </w:t>
      </w:r>
      <w:r>
        <w:rPr>
          <w:rFonts w:ascii="Nirmala UI" w:hAnsi="Nirmala UI" w:eastAsia="Nirmala UI" w:cs="Nirmala UI"/>
        </w:rPr>
        <w:t>ଅଟେ।</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ସଂଘର୍ଷ</w:t>
      </w:r>
      <w:r>
        <w:rPr>
          <w:rFonts w:ascii="Times New Roman" w:hAnsi="Times New Roman" w:eastAsia="Times New Roman" w:cs="Times New Roman"/>
        </w:rPr>
        <w:t xml:space="preserve"> Wright </w:t>
      </w:r>
      <w:r>
        <w:rPr>
          <w:rFonts w:ascii="Nirmala UI" w:hAnsi="Nirmala UI" w:eastAsia="Nirmala UI" w:cs="Nirmala UI"/>
        </w:rPr>
        <w:t>ନଗରରେ</w:t>
      </w:r>
      <w:r>
        <w:rPr>
          <w:rFonts w:ascii="Times New Roman" w:hAnsi="Times New Roman" w:eastAsia="Times New Roman" w:cs="Times New Roman"/>
        </w:rPr>
        <w:t xml:space="preserve"> </w:t>
      </w:r>
      <w:r>
        <w:rPr>
          <w:rFonts w:ascii="Nirmala UI" w:hAnsi="Nirmala UI" w:eastAsia="Nirmala UI" w:cs="Nirmala UI"/>
        </w:rPr>
        <w:t>ଘଟିଥିଲା।</w:t>
      </w:r>
    </w:p>
    <w:p>
      <w:pPr>
        <w:pStyle w:val="ArticleScripture"/>
        <w:jc w:val="left"/>
      </w:pPr>
      <w:r>
        <w:rPr>
          <w:rFonts w:ascii="Times New Roman" w:hAnsi="Times New Roman" w:eastAsia="Times New Roman" w:cs="Times New Roman"/>
        </w:rPr>
        <w:t>«Нимае ки дар Wright будем, мо дастнависи маро барои No. 11 ба идораи нашр фиристода будем, ва ман қариб ҳар лаҳзае, ки берун аз маҷлис будам, бо навиштани мавод барои No. 12 беҳбуд меёфтам. Қувваҳои ман, ҳам ҷисмонӣ ва ҳам зеҳнӣ, ҳангоми меҳнат кардан барои калисо дар Wright сахт фарсоиш ёфта буданд. Ман ҳис мекардам, ки бояд истироҳат дошта бошам, аммо ҳеҷ фурсати осоишро дида наметавонистам. Ман ҳар ҳафта чанд бор ба мардум сухан мегуфтам ва саҳифаҳои бисёре аз шаҳодатҳои шахсӣ менавиштам. Бори ҷонҳо бар дӯши ман буд, ва масъулиятҳое, ки ҳис мекардам, чунон бузург буданд, ки ҳар шаб ҷуз чанд соати хоб ба даст оварда наметавонистам.»</w:t>
      </w:r>
    </w:p>
    <w:p>
      <w:pPr>
        <w:pStyle w:val="ArticleScripture"/>
        <w:jc w:val="left"/>
      </w:pPr>
      <w:r>
        <w:rPr>
          <w:rFonts w:ascii="Times New Roman" w:hAnsi="Times New Roman" w:eastAsia="Times New Roman" w:cs="Times New Roman"/>
        </w:rPr>
        <w:t>«لدې ډول په وینا او لیکنه کې د کار کولو پر مهال، ما له بټل کریک څخه داسې لیکونه تر لاسه کړل چې ناهیلوونکی رنګ یې درلود. کله چې مې ولوستل، ما د روحونو داسې نه‌ویونکې ژور خپګان احساس کړ چې د ذهن تر عذاب پورې رسېده، او داسې برېښېده چې د لږ وخت لپاره یې زما حیاتي ځواکونه فلج کړل. درې شپې مې نږدې هېڅ خوب ونه کړ. زما فکرونه اندېښمن او مغشوش وو. ما خپل احساسات تر خپلې وسې پورې له خپل مېړه او له هغې خواخوږې کورنۍ څخه چې موږ ورسره اوسېدو، پټ ساتل. هېچا زما د زحمت او د ذهن د بار څخه خبر نه درلود، په داسې حال کې چې زه به له کورنۍ سره د سهار او ماښام په عبادت کې یو ځای کېدم او هڅه مې کوله چې خپل بار د ستر باروړونکي پر اوږو کېږدم. خو زما عریضې له هغه زړه څخه راوتلې چې په کړاو کې مچوړل شوی و، او زما دعاوې د نه‌قابل مهار غم له امله شلېدلې او ناپیوستې وې. وینه به زما دماغ ته په تېزۍ سره ختله، او ډېری وخت به یې زه داسې لړزوله چې نږدې به ولوېدم. له پزې به مې ډېر ځل وینه راتله، په تېره بیا وروسته له هغې چې د لیکلو هڅه مې کړې وه. زه اړ شوم چې لیکل یوې خوا ته کېږدم، خو ونه توانېدم هغه د اندېښنې او مسؤلیت بار چې پر ما و، له ځانه وغورځوم، ځکه ما درک کوله چې زما سره د نورو لپاره شهادتونه شته، خو زه نه توانېدم هغوی ته یې وړاندې کړم.»</w:t>
      </w:r>
    </w:p>
    <w:p>
      <w:pPr>
        <w:pStyle w:val="ArticleScripture"/>
        <w:jc w:val="left"/>
      </w:pPr>
      <w:r>
        <w:rPr>
          <w:rFonts w:ascii="Times New Roman" w:hAnsi="Times New Roman" w:eastAsia="Times New Roman" w:cs="Times New Roman"/>
        </w:rPr>
        <w:t>“Надад дахин нэгэн захидал ирж, тэнд № 11-ийг хэвлүүлэхийг түр хойшлуулах нь зүйтэй гэж үзсэнийг мэдэгдсэн бөгөөд, учир нь Эрүүл мэндийн хүрээлэнгийн талаар надад үзүүлэгдсэн зүйлийг би бичиж гаргах хүртэл тийнхүү хүлээх хэрэгтэй байжээ. Учир нь тэр ажлыг хариуцагсад хөрөнгө мөнгөөр туйлын гачигдаж байсан бөгөөд ахан дүүсийг хөдөлгөхөд миний гэрчлэлийн нөлөө тэдэнд ихэд хэрэгтэй байв. Тэгээд би Хүрээлэнгийн талаар надад үзүүлэгдсэн зүйлийн нэг хэсгийг бичиж гаргасан боловч тархинд цус хэт шавсан тул бүх сэдвийг бүрэн гаргаж чадсангүй. Хэрэв № 12 ийнхүү удаан саатна гэж би бодсонсон бол, ямар ч тохиолдолд № 11-д орсон тэр хэсгийг илгээхгүй байх байсан. Хэдэн өдөр амарсны дараа дахин бичгээ үргэлжлүүлж чадна гэж би бодож байлаа. Гэвч ихэд гашуудмаар нь, тархины минь байдал надад бичихийг боломжгүй болгосныг олж мэдэв. Ерөнхий ч бай, хувь хүнд хандсан ч бай, гэрчлэлүүд бичих бодлыг орхисон бөгөөд тэдгээрийг бичиж чадахгүй байснаасаа болж би тасралтгүй шаналж байв.</w:t>
      </w:r>
    </w:p>
    <w:p>
      <w:pPr>
        <w:pStyle w:val="ArticleScripture"/>
        <w:jc w:val="left"/>
      </w:pPr>
      <w:r>
        <w:rPr>
          <w:rFonts w:ascii="Times New Roman" w:hAnsi="Times New Roman" w:eastAsia="Times New Roman" w:cs="Times New Roman"/>
        </w:rPr>
        <w:t>“Ukax akhamanakanx amtasïnawa jiwasax Battle Creek ukar kuttʼañäni, ukat uka chiqan qhiparañäni thakhinakax ñeqʼe, tʼaqsuta ukhamäpkäna ukkama, ukat nayax ukan No. 12 tukuyä. Chachajax wali munasïnwa Battle Creek uksankir jilatanakapar uñjañataki, jupanakamp parlañataki, ukat Diosax jupatak luraskäna uka luräwimp kusisiñataki. Nayax qillqatanakaj tantachtʼasïyätwa, ukat saräwisaru qalltawayapxta. …” Testimonies, volumen 1, 576, 577.</w:t>
      </w:r>
    </w:p>
    <w:p>
      <w:pPr>
        <w:pStyle w:val="ArticleBody"/>
        <w:jc w:val="left"/>
      </w:pPr>
      <w:r>
        <w:rPr>
          <w:rFonts w:ascii="Times New Roman" w:hAnsi="Times New Roman" w:eastAsia="Times New Roman" w:cs="Times New Roman"/>
        </w:rPr>
        <w:t>En los postreros días, la dirigencia de la Iglesia Adventista del Séptimo Día, representada como Battle Creek y aquellos a quienes ella «conocía bien», se transformó en una procesión católica. La dirigencia de la Iglesia Adventista del Séptimo Día se convirtió en una procesión católica. En el sueño venían «de dos en dos», uno con una caña, otro con una cruz. Trazaron un círculo alrededor de la casa y proclamaron tres veces: «Esta casa está proscrita. Los bienes deben ser confiscados. Han hablado contra nuestra santa orden». ¿Cuáles son los «bienes» de la «casa» que los dirigentes católicos de Battle Creek «confiscaron»? ¿Qué «santa orden» de la Iglesia católica fue aquella contra la cual «se habló»?</w:t>
      </w:r>
    </w:p>
    <w:p>
      <w:pPr>
        <w:pStyle w:val="ArticleBody"/>
        <w:jc w:val="left"/>
      </w:pPr>
      <w:r>
        <w:rPr>
          <w:rFonts w:ascii="Times New Roman" w:hAnsi="Times New Roman" w:eastAsia="Times New Roman" w:cs="Times New Roman"/>
        </w:rPr>
        <w:t>Daha doğrudan sorulacak soru şu olabilir: “Engizisyon’da hangi Katoliklik tarikatı öncülük etti?” Engizisyon, Cizvitler tarihte ortaya çıkmadan önce Dominikenler tarikatıyla başladı; ancak bir kez işe karıştıklarında, zulmü ve kan dökülmesini bayraklaştıran tarikat onlar oldu.</w:t>
      </w:r>
    </w:p>
    <w:p>
      <w:pPr>
        <w:pStyle w:val="ArticleScripture"/>
        <w:jc w:val="left"/>
      </w:pPr>
      <w:r>
        <w:rPr>
          <w:rFonts w:ascii="Times New Roman" w:hAnsi="Times New Roman" w:eastAsia="Times New Roman" w:cs="Times New Roman"/>
        </w:rPr>
        <w:t>«Кристосон итæгæдон дзылты æхсæн протестантизм бафтыд фæззæг лæггæдты хъахъхъæнæгæй. Реформацийы æууæндон фæстаг фæндагтæ уыдæу, Рим æрæмбырдта ног тыхтæ, йæ хъуыды кæнынæй йæй ныххæрдзын кæнын. Уый рæстæгæн иезуитты орден сфæлдыст æрцыд — папизмæн хъæздыгæй, æнæфæрстæй æмæ тыхджындæр фæлладæгты æппæты хуыздæр. Æрдзы бастдзинадтæй æмæ адæймаджы æнтыстдзинæдтæй хай уæвгæй, æрдзы хъæбулдзинады домæнтæй мæрдтæй, æмбарынад æмæ намыс æнæмгъуыд кæнгæй, сын нæ уыд æнæдæр æххæстдзинад, æнæдæр бастдзинад, фæлæ сæ ордены уый æххæстдзинад; æмæ нæ уыд сын æндæр хæс, фæлæ йæ тых фæуæлахиз кæнын. Кристосы Евангели йæ фæстагæрттæн лæвæрдта тых, цæмæй æрлæууой хъизæмар æмæ æнцондзинад, æмæ æнæтæрсонæй фæцæрой салд, æфснайд, зæххæст æмæ мæгуырдзинад, растдзинады тырыса уæлахиз кæнгæй фæллад, хъæдзары æмæ артæй æфсæддуг къордты размæ. Уыцы тыхтæм ныхмæ тохы фæдыл иезуитизм йæ фæстагæртты зæрдæты баппæрста ахастдзинад, кæцый сын радта уавæр уый хуызæн хъизæмартæ æрлæууынæн, æмæ растдзинады тыхмæ ныхмæ æвæрын алцы хуызон алдардзинады фæрæзтæ. Нæ уыд æндæр цæстæнгас гæнæн хуызыст æфхуырд, кæцый сæм стырдæр уыд; нæ уыд æндæр алдар, кæцый тымбылдæр уыд, æй практикæ кæнынæн; нæ уыд æндæр æвзæрст, кæцый æй хæссынæн уæззаудæр уыд. Æнæфæдисон мæгуырдзинад æмæ смирениæм арæзтæнтæй фæдыл, сæ хъуыды уыд бацæттæ кæнын хъæздыгдзинад æмæ тых, уынын протестантизмы ныххæрдзын кæнынмæ æмæ папайы уæлдæрдзинады ногæй æрлæууынмæ.»</w:t>
      </w:r>
    </w:p>
    <w:p>
      <w:pPr>
        <w:pStyle w:val="ArticleScripture"/>
        <w:jc w:val="left"/>
      </w:pPr>
      <w:r>
        <w:rPr>
          <w:rFonts w:ascii="Times New Roman" w:hAnsi="Times New Roman" w:eastAsia="Times New Roman" w:cs="Times New Roman"/>
        </w:rPr>
        <w:t>«Երբ հանդես էին գալիս իբրև իրենց միաբանության անդամներ, նրանք կրում էին սրբակյացության զգեստ, այցելում էին բանտեր և հիվանդանոցներ, ծառայում էին հիվանդներին և աղքատներին, հայտարարում էին, թե հրաժարվել են աշխարհից, և կրում էին Հիսուսի սուրբ անունը, որ շրջում էր՝ բարիք գործելով։ Բայց այս անբասիր արտաքինի տակ հաճախ թաքցված էին ամենահանցավոր և մահաբեր նպատակները։ Միաբանության հիմնարար սկզբունքն այն էր, որ նպատակը արդարացնում է միջոցները։ Այս կանոնակարգով ստությունը, գողությունը, սուտ երդումը, սպանությունը ոչ միայն ներելի էին, այլև գովելի, երբ ծառայում էին եկեղեցու շահերին։ Տարբեր քողարկումների ներքո ճիզվիտները ճանապարհ էին հարթում դեպի պետական պաշտոններ, բարձրանում էին մինչև թագավորների խորհրդական դառնալը և ձևավորում էին ազգերի քաղաքականությունը։ Նրանք դառնում էին ծառաներ, որպեսզի լրտեսեն իրենց տերերին։ Նրանք հիմնեցին քոլեջներ իշխանների և ազնվականների որդիների համար, և դպրոցներ՝ հասարակ ժողովրդի համար. և բողոքական ծնողների երեխաները ներգրավվում էին պապական ծեսերի պահման մեջ։ Հռոմեական պաշտամունքի ամբողջ արտաքին շքեղությունն ու ցուցադրականությունը գործի էին դրվում՝ միտքը շփոթեցնելու և երևակայությունը շլացնելու ու գերելու համար, և այսպիսով այն ազատությունը, որի համար հայրերը չարչարվել և արյուն էին թափել, մատնվեց որդիների կողմից։ Ճիզվիտները արագորեն տարածվեցին ամբողջ Եվրոպայով, և ուր էլ որ գնում էին, այնտեղ հետևում էր պապականության վերածնունդը»։</w:t>
      </w:r>
    </w:p>
    <w:p>
      <w:pPr>
        <w:pStyle w:val="ArticleScripture"/>
        <w:jc w:val="left"/>
      </w:pPr>
      <w:r>
        <w:rPr>
          <w:rFonts w:ascii="Times New Roman" w:hAnsi="Times New Roman" w:eastAsia="Times New Roman" w:cs="Times New Roman"/>
        </w:rPr>
        <w:t>«Դրանց առավել մեծ իշխանություն տալու համար հրապարակվեց մի կոնդակ՝ վերահաստատելով ինկվիզիցիան։ Չնայած այն ընդհանուր զզվանքին, որով այն ընդունվում էր նույնիսկ կաթոլիկ երկրներում, այս սարսափելի ատյանը կրկին հաստատվեց պապական իշխանավորների կողմից, և նրա գաղտնի բանտախցերում կրկնվեցին այնպիսի վայրագություններ, որոնք չափազանց սոսկալի էին՝ դիմանալու ցերեկվա լույսին։ Շատ երկրներում հազարների վրա հազարներ՝ հենց ազգի ծաղիկը, ամենամաքուրն ու ամենաազնիվը, ամենախոհն ու բարձր կրթություն ստացածները, աստվածապաշտ և նվիրված հովիվները, աշխատասեր և հայրենասեր քաղաքացիները, փայլուն գիտնականները, տաղանդավոր արվեստագետները, հմուտ արհեստավորները, սպանվեցին կամ հարկադրվեցին փախչել այլ երկրներ։</w:t>
      </w:r>
    </w:p>
    <w:p>
      <w:pPr>
        <w:pStyle w:val="ArticleScripture"/>
        <w:jc w:val="left"/>
      </w:pPr>
      <w:r>
        <w:rPr>
          <w:rFonts w:ascii="Times New Roman" w:hAnsi="Times New Roman" w:eastAsia="Times New Roman" w:cs="Times New Roman"/>
        </w:rPr>
        <w:t>«رومه د اصلاح د رڼا د مړه کولو، له خلکو څخه د انجيل د ايسته کولو، او د تيارو زمانو ناپوهي او خرافات د بېرته راګرځولو لپاره همداسې وسيلې کارولې وې. خو د خدای په برکت او د هغو نوميالو سړيو په زيار، چې هغه د لوتر د ځايناستو په توګه راپورته کړي وو، پروټسټانتيزم له منځه ولاړ نه شو. ده ته خپله ځواکمنتيا نه د شهزاده‌ګانو له پېرزوينې او نه د هغوی له وسلو څخه رسېده. تر ټولو واړه هېوادونه، تر ټولو عاجز او لږ ځواکمن قومونه، د هغه ټينګ سنګرونه وګرځېدل. هغه واړه جنيوا وه، د سترو دښمنانو په منځ کې چې د هغې د تباهۍ دسيسې يې جوړولې؛ هغه هالېنډ و، د شمالي سمندر پر شګلنو غاړو، چې د هسپانيا د ظلم پر وړاندې يې مبارزه کوله، هغه هيواد چې هغه مهال تر ټولو ستر او شتمن سلطنت و؛ هغه سوړ، شنډ سوېډن و، چې د اصلاح لپاره يې برياوې وګټلې.» The Great Controversy, 234, 235.</w:t>
      </w:r>
    </w:p>
    <w:p>
      <w:pPr>
        <w:pStyle w:val="ArticleBody"/>
        <w:jc w:val="left"/>
      </w:pPr>
      <w:r>
        <w:rPr>
          <w:rFonts w:ascii="Times New Roman" w:hAnsi="Times New Roman" w:eastAsia="Times New Roman" w:cs="Times New Roman"/>
        </w:rPr>
        <w:t>كاتوولیکو كليسيا، ݢه سڠت سدايا اوڠون تو منيوڽيكن الكتاب دريڤد مأنيسيا، دڠن مندعوى بهاوا تراديسي دان عادَت كفر مريكا لبيه تيڠݢي درڤد فرمان الله. ڤمڤين-ڤمڤين أدفينتيسم لاوديكيا تيدق اكن مباوا ڤيهق يڠ برلاينن ڤنداپت ك ماحكمه بربركن تيوليسن-تيوليسن إيلين وايت، اكن تتاڤي كاتووليك يڠ منڬاكو ديري سباݢاي ڤمڤين-ڤمڤين باتل كريك اكن بربوات دميكيان. حقيقت يڠ ڤاليڠ داسر باݢي بياتڠ كاتووليكسم اياله ڤڠݢوناان كواس سكيولر اونتوق منچاپاي مقصد-مقصد اݢام. اڤابيلا أدفينتيسم منچاري كواس سكيولر يڠ برسيفت ڤروندڠن اونتوق منڬوروس اينستيتوسي-اينستيتوسي مريكا، حاصيل درڤد “تاتاترتيب سوجي” مريكا دافت دليهات.</w:t>
      </w:r>
    </w:p>
    <w:p>
      <w:pPr>
        <w:pStyle w:val="ArticleBody"/>
        <w:jc w:val="left"/>
      </w:pPr>
      <w:r>
        <w:rPr>
          <w:rFonts w:ascii="Times New Roman" w:hAnsi="Times New Roman" w:eastAsia="Times New Roman" w:cs="Times New Roman"/>
        </w:rPr>
        <w:t>En el contexto de las ceremonias de auto de fe de la Inquisición española, la caña y la cruz aparecen como elementos simbólicos vinculados a la crucifixión de Cristo. La caña alude al cetro de burla puesto en la mano de Jesús durante su coronación de espinas, que los soldados romanos usaron para golpearlo, simbolizando la mofa, el sufrimiento y el desprecio.</w:t>
      </w:r>
    </w:p>
    <w:p>
      <w:pPr>
        <w:pStyle w:val="ArticleBody"/>
        <w:jc w:val="left"/>
      </w:pPr>
      <w:r>
        <w:rPr>
          <w:rFonts w:ascii="Times New Roman" w:hAnsi="Times New Roman" w:eastAsia="Times New Roman" w:cs="Times New Roman"/>
        </w:rPr>
        <w:t xml:space="preserve">Auto-da-fé </w:t>
      </w:r>
      <w:r>
        <w:rPr>
          <w:rFonts w:ascii="Myanmar Text" w:hAnsi="Myanmar Text" w:eastAsia="Myanmar Text" w:cs="Myanmar Text"/>
        </w:rPr>
        <w:t>တန်းလှည့်ပွဲများတွင်</w:t>
      </w:r>
      <w:r>
        <w:rPr>
          <w:rFonts w:ascii="Times New Roman" w:hAnsi="Times New Roman" w:eastAsia="Times New Roman" w:cs="Times New Roman"/>
        </w:rPr>
        <w:t xml:space="preserve"> </w:t>
      </w:r>
      <w:r>
        <w:rPr>
          <w:rFonts w:ascii="Myanmar Text" w:hAnsi="Myanmar Text" w:eastAsia="Myanmar Text" w:cs="Myanmar Text"/>
        </w:rPr>
        <w:t>လက်ဝါးကပ်တိုင်ကို</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ထည့်သွင်းပြသကြသည်။</w:t>
      </w:r>
      <w:r>
        <w:rPr>
          <w:rFonts w:ascii="Times New Roman" w:hAnsi="Times New Roman" w:eastAsia="Times New Roman" w:cs="Times New Roman"/>
        </w:rPr>
        <w:t xml:space="preserve"> </w:t>
      </w:r>
      <w:r>
        <w:rPr>
          <w:rFonts w:ascii="Myanmar Text" w:hAnsi="Myanmar Text" w:eastAsia="Myanmar Text" w:cs="Myanmar Text"/>
        </w:rPr>
        <w:t>အစိမ်းရောင်</w:t>
      </w:r>
      <w:r>
        <w:rPr>
          <w:rFonts w:ascii="Times New Roman" w:hAnsi="Times New Roman" w:eastAsia="Times New Roman" w:cs="Times New Roman"/>
        </w:rPr>
        <w:t xml:space="preserve"> </w:t>
      </w:r>
      <w:r>
        <w:rPr>
          <w:rFonts w:ascii="Myanmar Text" w:hAnsi="Myanmar Text" w:eastAsia="Myanmar Text" w:cs="Myanmar Text"/>
        </w:rPr>
        <w:t>လက်ဝါးကပ်တိုင်တစ်ခုကို</w:t>
      </w:r>
      <w:r>
        <w:rPr>
          <w:rFonts w:ascii="Times New Roman" w:hAnsi="Times New Roman" w:eastAsia="Times New Roman" w:cs="Times New Roman"/>
        </w:rPr>
        <w:t xml:space="preserve"> (</w:t>
      </w:r>
      <w:r>
        <w:rPr>
          <w:rFonts w:ascii="Myanmar Text" w:hAnsi="Myanmar Text" w:eastAsia="Myanmar Text" w:cs="Myanmar Text"/>
        </w:rPr>
        <w:t>မကြာခဏ</w:t>
      </w:r>
      <w:r>
        <w:rPr>
          <w:rFonts w:ascii="Times New Roman" w:hAnsi="Times New Roman" w:eastAsia="Times New Roman" w:cs="Times New Roman"/>
        </w:rPr>
        <w:t xml:space="preserve"> </w:t>
      </w:r>
      <w:r>
        <w:rPr>
          <w:rFonts w:ascii="Myanmar Text" w:hAnsi="Myanmar Text" w:eastAsia="Myanmar Text" w:cs="Myanmar Text"/>
        </w:rPr>
        <w:t>အနက်ရောင်</w:t>
      </w:r>
      <w:r>
        <w:rPr>
          <w:rFonts w:ascii="Times New Roman" w:hAnsi="Times New Roman" w:eastAsia="Times New Roman" w:cs="Times New Roman"/>
        </w:rPr>
        <w:t xml:space="preserve"> crepe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ဖုံးအုပ်ထားလျက်</w:t>
      </w:r>
      <w:r>
        <w:rPr>
          <w:rFonts w:ascii="Times New Roman" w:hAnsi="Times New Roman" w:eastAsia="Times New Roman" w:cs="Times New Roman"/>
        </w:rPr>
        <w:t xml:space="preserve">) Inquisition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အမှတ်အသားအဖြစ်</w:t>
      </w:r>
      <w:r>
        <w:rPr>
          <w:rFonts w:ascii="Times New Roman" w:hAnsi="Times New Roman" w:eastAsia="Times New Roman" w:cs="Times New Roman"/>
        </w:rPr>
        <w:t xml:space="preserve"> </w:t>
      </w:r>
      <w:r>
        <w:rPr>
          <w:rFonts w:ascii="Myanmar Text" w:hAnsi="Myanmar Text" w:eastAsia="Myanmar Text" w:cs="Myanmar Text"/>
        </w:rPr>
        <w:t>အသုံးပြုကြပြီး၊</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ပွဲမတိုင်မီ</w:t>
      </w:r>
      <w:r>
        <w:rPr>
          <w:rFonts w:ascii="Times New Roman" w:hAnsi="Times New Roman" w:eastAsia="Times New Roman" w:cs="Times New Roman"/>
        </w:rPr>
        <w:t xml:space="preserve"> </w:t>
      </w:r>
      <w:r>
        <w:rPr>
          <w:rFonts w:ascii="Myanmar Text" w:hAnsi="Myanmar Text" w:eastAsia="Myanmar Text" w:cs="Myanmar Text"/>
        </w:rPr>
        <w:t>တစ်ရက်အလိုတွင်</w:t>
      </w:r>
      <w:r>
        <w:rPr>
          <w:rFonts w:ascii="Times New Roman" w:hAnsi="Times New Roman" w:eastAsia="Times New Roman" w:cs="Times New Roman"/>
        </w:rPr>
        <w:t xml:space="preserve"> </w:t>
      </w:r>
      <w:r>
        <w:rPr>
          <w:rFonts w:ascii="Myanmar Text" w:hAnsi="Myanmar Text" w:eastAsia="Myanmar Text" w:cs="Myanmar Text"/>
        </w:rPr>
        <w:t>သီးခြားပြင်ဆင်ရေး</w:t>
      </w:r>
      <w:r>
        <w:rPr>
          <w:rFonts w:ascii="Times New Roman" w:hAnsi="Times New Roman" w:eastAsia="Times New Roman" w:cs="Times New Roman"/>
        </w:rPr>
        <w:t xml:space="preserve"> </w:t>
      </w:r>
      <w:r>
        <w:rPr>
          <w:rFonts w:ascii="Myanmar Text" w:hAnsi="Myanmar Text" w:eastAsia="Myanmar Text" w:cs="Myanmar Text"/>
        </w:rPr>
        <w:t>တန်းလှည့်ပွဲ၌</w:t>
      </w:r>
      <w:r>
        <w:rPr>
          <w:rFonts w:ascii="Times New Roman" w:hAnsi="Times New Roman" w:eastAsia="Times New Roman" w:cs="Times New Roman"/>
        </w:rPr>
        <w:t xml:space="preserve"> </w:t>
      </w:r>
      <w:r>
        <w:rPr>
          <w:rFonts w:ascii="Myanmar Text" w:hAnsi="Myanmar Text" w:eastAsia="Myanmar Text" w:cs="Myanmar Text"/>
        </w:rPr>
        <w:t>သယ်ဆောင်ကာ</w:t>
      </w:r>
      <w:r>
        <w:rPr>
          <w:rFonts w:ascii="Times New Roman" w:hAnsi="Times New Roman" w:eastAsia="Times New Roman" w:cs="Times New Roman"/>
        </w:rPr>
        <w:t xml:space="preserve"> </w:t>
      </w:r>
      <w:r>
        <w:rPr>
          <w:rFonts w:ascii="Myanmar Text" w:hAnsi="Myanmar Text" w:eastAsia="Myanmar Text" w:cs="Myanmar Text"/>
        </w:rPr>
        <w:t>ပွဲအတွင်းတွင်လည်း</w:t>
      </w:r>
      <w:r>
        <w:rPr>
          <w:rFonts w:ascii="Times New Roman" w:hAnsi="Times New Roman" w:eastAsia="Times New Roman" w:cs="Times New Roman"/>
        </w:rPr>
        <w:t xml:space="preserve"> </w:t>
      </w:r>
      <w:r>
        <w:rPr>
          <w:rFonts w:ascii="Myanmar Text" w:hAnsi="Myanmar Text" w:eastAsia="Myanmar Text" w:cs="Myanmar Text"/>
        </w:rPr>
        <w:t>ပြသထားသည်။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တရားရုံး၏</w:t>
      </w:r>
      <w:r>
        <w:rPr>
          <w:rFonts w:ascii="Times New Roman" w:hAnsi="Times New Roman" w:eastAsia="Times New Roman" w:cs="Times New Roman"/>
        </w:rPr>
        <w:t xml:space="preserve"> </w:t>
      </w:r>
      <w:r>
        <w:rPr>
          <w:rFonts w:ascii="Myanmar Text" w:hAnsi="Myanmar Text" w:eastAsia="Myanmar Text" w:cs="Myanmar Text"/>
        </w:rPr>
        <w:t>အာဏာကို</w:t>
      </w:r>
      <w:r>
        <w:rPr>
          <w:rFonts w:ascii="Times New Roman" w:hAnsi="Times New Roman" w:eastAsia="Times New Roman" w:cs="Times New Roman"/>
        </w:rPr>
        <w:t xml:space="preserve"> </w:t>
      </w:r>
      <w:r>
        <w:rPr>
          <w:rFonts w:ascii="Myanmar Text" w:hAnsi="Myanmar Text" w:eastAsia="Myanmar Text" w:cs="Myanmar Text"/>
        </w:rPr>
        <w:t>သင်္ကေတပြုသည်။</w:t>
      </w:r>
    </w:p>
    <w:p>
      <w:pPr>
        <w:pStyle w:val="ArticleBody"/>
        <w:jc w:val="left"/>
      </w:pPr>
      <w:r>
        <w:rPr>
          <w:rFonts w:ascii="Times New Roman" w:hAnsi="Times New Roman" w:eastAsia="Times New Roman" w:cs="Times New Roman"/>
        </w:rPr>
        <w:t>Ашамҭақәа рыԥырхраара ҳәа ироуҳәоит ахара зықәҵоу ауаҩы имал-мүлк абгараны аҟаҵара (иҭарцәра ма ақәиҭымра ақәҵара), Инквизициаҿы излеиуаз шьҭрала иуадаҩу ахараԥса ируак, атрибунал ахарџь ацхраареи иреицәоу арҭхра аԥҟарамырҵаразы. Ари ахараԥса auto-da-fé аҿы иҳаиҭаз ахарадҵа ҳәамҭақәа рҟны амилаҭ иргәарҭахарцала ирыларҳәон, уи иалан ауаажәларратә лацҟәыршьаареи егьырҭ рзы аларҟәра аԥырхагарагьы.</w:t>
      </w:r>
    </w:p>
    <w:p>
      <w:pPr>
        <w:pStyle w:val="ArticleBody"/>
        <w:jc w:val="left"/>
      </w:pPr>
      <w:r>
        <w:rPr>
          <w:rFonts w:ascii="Times New Roman" w:hAnsi="Times New Roman" w:eastAsia="Times New Roman" w:cs="Times New Roman"/>
        </w:rPr>
        <w:t>ایلن جی. وایت کے نوشتے نہایت واضح اور قطعی طور پر اُس قیادت کی مذمت کرتے ہیں جو اُس کی تحریروں کو ممنوع قرار دے کر تاکستان کے گیت کی اُس آواز کو خاموش کرنے کی کوشش کرے گی جو گائی جا رہی ہے؛ لیکن یہ ایک ناپاک نظام کی آخری کارروائی ہے، عین اُس سے پہلے کہ وہ اتوار کے قانون کے وقت کھلے طور پر اپنے کردار ظاہر کریں۔ ایک “Catholic procession” اُن پچیس قدیم مردوں کے ساتھ مطابقت رکھتی ہے جو سورج کو سجدہ کرتے تھے۔ ذیل کے چار پیراگرافوں میں، پہلا پیراگراف “آخری دنوں” میں “خدا کے اقراری لوگوں” کو پیش کرتا ہے۔ یہ عبارت واضح طور پر تعلیم دیتی ہے کہ آخری دنوں میں، سیونتھ ڈے ایڈونٹسٹ خادم “گِرجاؤں میں اور کھلی فضا میں بڑے اجتماعات میں” “لوگوں پر ہفتہ کے پہلے دن کو ماننے کی ضرورت پر زور دیں گے۔”</w:t>
      </w:r>
    </w:p>
    <w:p>
      <w:pPr>
        <w:pStyle w:val="ArticleScripture"/>
        <w:jc w:val="left"/>
      </w:pPr>
      <w:r>
        <w:rPr>
          <w:rFonts w:ascii="Times New Roman" w:hAnsi="Times New Roman" w:eastAsia="Times New Roman" w:cs="Times New Roman"/>
        </w:rPr>
        <w:t>“Qañchiq p’unchawkunaq kay qhepa p’unchaykunapi, Señorqa sutichasqa llaqtanwan huk ch’aqwayniyuqmi. Kay ch’aqwaypiqa, kamachikuq chiqankunapi kaq runakunaqa Nehemíaspa purisqanman chiqan contrapi huk ñanmanmi purinqaku. Mana paykuna kikillankuchu samana p’unchayta mana yupaychaspa, aswanpas wakinkunamantapas hark’asaqkanku, costumbrekunapaq hinallataq tradición nisqakunapa q’upa q’allallawan pampachispa. Iglesiakunapi hinallataq hatun huñunakuykunapi wayra hawapi, ministrokunaqa runakunaman willakuyta qallarinqaku semanapa ñawpaq kaq p’unchaynin waqaychasqa kananpaq. Lamar qochapipas hallp’apipas llaquykuna kashan; chay llaquykunaqa astawanmi yapakunku, huk ñak’ariy hukmanta qhepanta chayamusaq; hinaspan allin yuyayniyuq aslla sábado waqaychaqkunaqa sut’inchasqa kankaq, paykunas Diospa phiñasqan kay pachaman apamushanman hina, domingo p’unchayta mana kasukusqankurayku.”</w:t>
      </w:r>
    </w:p>
    <w:p>
      <w:pPr>
        <w:pStyle w:val="ArticleBody"/>
        <w:jc w:val="left"/>
      </w:pPr>
      <w:r>
        <w:rPr>
          <w:rFonts w:ascii="Times New Roman" w:hAnsi="Times New Roman" w:eastAsia="Times New Roman" w:cs="Times New Roman"/>
        </w:rPr>
        <w:t>Akɔntɔm yi rekyerɛ pefee sɛ Seventh-day Adventists ne “Nyankopɔn man a wɔka sɛ wɔyɛ ne dea” a wɔbɛhyɛ Kwasida di ho nkuran, na wɔn nso bɛkyerɛ “akyerɛ” “Sabbath-adi sofo kakraa bi a ahonim wɔ wɔn mu no.” Nkyekyɛm a edi hɔ no mu no, ɔsi so dua sɛ amanehunu a ɛbaa mmere a atwam no mu no bɛsan aba bio. Nkyekyɛm a edi kan no de ɔbaa awiei bere a ɔde Nyankopɔn man a wɔka sɛ wɔyɛ ne dea no toto wɔn a ɔka sɛ wɔyɛ Sabbath-adi sofo a ahonim wɔ wɔn mu no ho. Afei ɔde abakɔsɛm a atwam no ba mu, na ɔbɔ wɔn kɔkɔ sɛ saa abakɔsɛm no bɛsan ayɛ bio wɔ nna a edi akyiri no mu. Ɔda no adi pefee.</w:t>
      </w:r>
    </w:p>
    <w:p>
      <w:pPr>
        <w:pStyle w:val="ArticleScripture"/>
        <w:jc w:val="left"/>
      </w:pPr>
      <w:r>
        <w:rPr>
          <w:rFonts w:ascii="Times New Roman" w:hAnsi="Times New Roman" w:eastAsia="Times New Roman" w:cs="Times New Roman"/>
        </w:rPr>
        <w:t>«Шайтан дүйнөнү туткунга алышы үчүн ушул жалганды түртөт. Анын планы — адамдарды жаңылыштыктарды кабыл алууга мажбурлоо. Ал бардык жалган диндердин жайылышына жигердүү катышат жана жаңылыш окууларды таңуулоо аракетинде эч нерседен кайра тартпайт. Диний кызуулуктун көшөгөсү астында, анын рухунун таасирине берилген адамдар өз боордоштору үчүн эң ырайымсыз кыйноолорду ойлоп табышкан жана алардын үстүнө эң коркунучтуу азаптарды түшүрүшкөн. Шайтан менен анын өкүлдөрүндө азыр да ошол эле рух бар; өткөндүн тарыхы биздин күндөрдө да кайталанат.</w:t>
      </w:r>
    </w:p>
    <w:p>
      <w:pPr>
        <w:pStyle w:val="ArticleScripture"/>
        <w:jc w:val="left"/>
      </w:pPr>
      <w:r>
        <w:rPr>
          <w:rFonts w:ascii="Times New Roman" w:hAnsi="Times New Roman" w:eastAsia="Times New Roman" w:cs="Times New Roman"/>
        </w:rPr>
        <w:t>«Кылмысты иш кылмақ үчүн пикир вә ирадисини шу йолға бағлиған адәмләр бар; қәлблириниң қараңғу бүрүк җайлирида улар қандақ җинайәтләрни садир қилидиғанлиғини қарар қилған. Бу адәмләр өзлирини өзлири алдап жүриду. Улар Худаниң улуқ һәқ-һуқуқ өлчимини рәт қилди, униң орниға өзлириниң бир өлчимини тиклиди; вә өзлирини шу өлчим билән селиштуруп, өзлирини муқәддәс дәп елан қилиду. Рәб уларға қәлблиридә немә бар екәнлигини ашкарә қилишқа, өзлирини башқуриватқан хоҗиниң роһини әмәлдә көрситишкә йол қояду. Уларни Өз қануниға болған нәпритини, униң тәләплиригә садақәтлик билән бойсунғучиларға болған муамилисидә көрситишкә қоюп бериду. Улар Мәсиһни крестқа қаққузған топни қутритип қозғиғлиған шу бир хил диний деливанилиқ роһи билән һәрикәтләндүрүлиду; чиркав вә дөләт шуниңдәк бузуқ бир уйғунлуқта бирлишиду.»</w:t>
      </w:r>
    </w:p>
    <w:p>
      <w:pPr>
        <w:pStyle w:val="ArticleScripture"/>
        <w:jc w:val="left"/>
      </w:pPr>
      <w:r>
        <w:rPr>
          <w:rFonts w:ascii="Times New Roman" w:hAnsi="Times New Roman" w:eastAsia="Times New Roman" w:cs="Times New Roman"/>
        </w:rPr>
        <w:t>“</w:t>
      </w:r>
      <w:r>
        <w:rPr>
          <w:rFonts w:ascii="Javanese Text" w:hAnsi="Javanese Text" w:eastAsia="Javanese Text" w:cs="Javanese Text"/>
        </w:rPr>
        <w:t>ꦒꦼꦫꦺꦗ</w:t>
      </w:r>
      <w:r>
        <w:rPr>
          <w:rFonts w:ascii="Times New Roman" w:hAnsi="Times New Roman" w:eastAsia="Times New Roman" w:cs="Times New Roman"/>
        </w:rPr>
        <w:t xml:space="preserve"> </w:t>
      </w:r>
      <w:r>
        <w:rPr>
          <w:rFonts w:ascii="Javanese Text" w:hAnsi="Javanese Text" w:eastAsia="Javanese Text" w:cs="Javanese Text"/>
        </w:rPr>
        <w:t>ꦗꦩꦤ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ꦭꦩ꧀ꦥꦲ꧀</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ꦠꦼꦭꦴꦁꦏꦃꦤꦶꦥꦸꦤ꧀</w:t>
      </w:r>
      <w:r>
        <w:rPr>
          <w:rFonts w:ascii="Times New Roman" w:hAnsi="Times New Roman" w:eastAsia="Times New Roman" w:cs="Times New Roman"/>
        </w:rPr>
        <w:t xml:space="preserve"> </w:t>
      </w:r>
      <w:r>
        <w:rPr>
          <w:rFonts w:ascii="Javanese Text" w:hAnsi="Javanese Text" w:eastAsia="Javanese Text" w:cs="Javanese Text"/>
        </w:rPr>
        <w:t>ꦮꦺꦴꦁ</w:t>
      </w:r>
      <w:r>
        <w:rPr>
          <w:rFonts w:ascii="Times New Roman" w:hAnsi="Times New Roman" w:eastAsia="Times New Roman" w:cs="Times New Roman"/>
        </w:rPr>
        <w:t xml:space="preserve"> </w:t>
      </w:r>
      <w:r>
        <w:rPr>
          <w:rFonts w:ascii="Javanese Text" w:hAnsi="Javanese Text" w:eastAsia="Javanese Text" w:cs="Javanese Text"/>
        </w:rPr>
        <w:t>ꦪꦲꦸꦢꦶ</w:t>
      </w:r>
      <w:r>
        <w:rPr>
          <w:rFonts w:ascii="Times New Roman" w:hAnsi="Times New Roman" w:eastAsia="Times New Roman" w:cs="Times New Roman"/>
        </w:rPr>
        <w:t xml:space="preserve"> </w:t>
      </w:r>
      <w:r>
        <w:rPr>
          <w:rFonts w:ascii="Javanese Text" w:hAnsi="Javanese Text" w:eastAsia="Javanese Text" w:cs="Javanese Text"/>
        </w:rPr>
        <w:t>ꦗꦩꦤ</w:t>
      </w:r>
      <w:r>
        <w:rPr>
          <w:rFonts w:ascii="Times New Roman" w:hAnsi="Times New Roman" w:eastAsia="Times New Roman" w:cs="Times New Roman"/>
        </w:rPr>
        <w:t xml:space="preserve"> </w:t>
      </w:r>
      <w:r>
        <w:rPr>
          <w:rFonts w:ascii="Javanese Text" w:hAnsi="Javanese Text" w:eastAsia="Javanese Text" w:cs="Javanese Text"/>
        </w:rPr>
        <w:t>ꦥꦸꦫ꧀ꦮ</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ꦩꦶꦥꦶꦱ꧀ꦲꦏꦺ</w:t>
      </w:r>
      <w:r>
        <w:rPr>
          <w:rFonts w:ascii="Times New Roman" w:hAnsi="Times New Roman" w:eastAsia="Times New Roman" w:cs="Times New Roman"/>
        </w:rPr>
        <w:t xml:space="preserve"> </w:t>
      </w:r>
      <w:r>
        <w:rPr>
          <w:rFonts w:ascii="Javanese Text" w:hAnsi="Javanese Text" w:eastAsia="Javanese Text" w:cs="Javanese Text"/>
        </w:rPr>
        <w:t>ꦥꦫꦶꦤꦠꦃꦶꦥꦸꦤ꧀</w:t>
      </w:r>
      <w:r>
        <w:rPr>
          <w:rFonts w:ascii="Times New Roman" w:hAnsi="Times New Roman" w:eastAsia="Times New Roman" w:cs="Times New Roman"/>
        </w:rPr>
        <w:t xml:space="preserve"> </w:t>
      </w:r>
      <w:r>
        <w:rPr>
          <w:rFonts w:ascii="Javanese Text" w:hAnsi="Javanese Text" w:eastAsia="Javanese Text" w:cs="Javanese Text"/>
        </w:rPr>
        <w:t>ꦲꦭ꧀ꦭꦃ</w:t>
      </w:r>
      <w:r>
        <w:rPr>
          <w:rFonts w:ascii="Times New Roman" w:hAnsi="Times New Roman" w:eastAsia="Times New Roman" w:cs="Times New Roman"/>
        </w:rPr>
        <w:t xml:space="preserve"> </w:t>
      </w:r>
      <w:r>
        <w:rPr>
          <w:rFonts w:ascii="Javanese Text" w:hAnsi="Javanese Text" w:eastAsia="Javanese Text" w:cs="Javanese Text"/>
        </w:rPr>
        <w:t>ꦏꦫꦺꦤ</w:t>
      </w:r>
      <w:r>
        <w:rPr>
          <w:rFonts w:ascii="Times New Roman" w:hAnsi="Times New Roman" w:eastAsia="Times New Roman" w:cs="Times New Roman"/>
        </w:rPr>
        <w:t xml:space="preserve"> </w:t>
      </w:r>
      <w:r>
        <w:rPr>
          <w:rFonts w:ascii="Javanese Text" w:hAnsi="Javanese Text" w:eastAsia="Javanese Text" w:cs="Javanese Text"/>
        </w:rPr>
        <w:t>ꦲꦼꦔꦒꦺꦤ꧀</w:t>
      </w:r>
      <w:r>
        <w:rPr>
          <w:rFonts w:ascii="Times New Roman" w:hAnsi="Times New Roman" w:eastAsia="Times New Roman" w:cs="Times New Roman"/>
        </w:rPr>
        <w:t xml:space="preserve"> </w:t>
      </w:r>
      <w:r>
        <w:rPr>
          <w:rFonts w:ascii="Javanese Text" w:hAnsi="Javanese Text" w:eastAsia="Javanese Text" w:cs="Javanese Text"/>
        </w:rPr>
        <w:t>ꦥꦫꦩ꧀ꦥꦶꦭꦤ꧀ꦤꦶꦥꦸꦤ꧀</w:t>
      </w:r>
      <w:r>
        <w:rPr>
          <w:rFonts w:ascii="Times New Roman" w:hAnsi="Times New Roman" w:eastAsia="Times New Roman" w:cs="Times New Roman"/>
        </w:rPr>
        <w:t xml:space="preserve"> </w:t>
      </w:r>
      <w:r>
        <w:rPr>
          <w:rFonts w:ascii="Javanese Text" w:hAnsi="Javanese Text" w:eastAsia="Javanese Text" w:cs="Javanese Text"/>
        </w:rPr>
        <w:t>ꦢꦺꦮꦺ</w:t>
      </w:r>
      <w:r>
        <w:rPr>
          <w:rFonts w:ascii="Times New Roman" w:hAnsi="Times New Roman" w:eastAsia="Times New Roman" w:cs="Times New Roman"/>
        </w:rPr>
        <w:t xml:space="preserve">. </w:t>
      </w:r>
      <w:r>
        <w:rPr>
          <w:rFonts w:ascii="Javanese Text" w:hAnsi="Javanese Text" w:eastAsia="Javanese Text" w:cs="Javanese Text"/>
        </w:rPr>
        <w:t>ꦒꦼꦫꦺꦗ</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ꦔꦸꦧꦃ</w:t>
      </w:r>
      <w:r>
        <w:rPr>
          <w:rFonts w:ascii="Times New Roman" w:hAnsi="Times New Roman" w:eastAsia="Times New Roman" w:cs="Times New Roman"/>
        </w:rPr>
        <w:t xml:space="preserve"> </w:t>
      </w:r>
      <w:r>
        <w:rPr>
          <w:rFonts w:ascii="Javanese Text" w:hAnsi="Javanese Text" w:eastAsia="Javanese Text" w:cs="Javanese Text"/>
        </w:rPr>
        <w:t>ꦠꦠꦤꦤ꧀ꦤꦶꦥꦸꦤ꧀</w:t>
      </w:r>
      <w:r>
        <w:rPr>
          <w:rFonts w:ascii="Times New Roman" w:hAnsi="Times New Roman" w:eastAsia="Times New Roman" w:cs="Times New Roman"/>
        </w:rPr>
        <w:t xml:space="preserve">, </w:t>
      </w:r>
      <w:r>
        <w:rPr>
          <w:rFonts w:ascii="Javanese Text" w:hAnsi="Javanese Text" w:eastAsia="Javanese Text" w:cs="Javanese Text"/>
        </w:rPr>
        <w:t>ꦔꦭꦁꦒꦂ</w:t>
      </w:r>
      <w:r>
        <w:rPr>
          <w:rFonts w:ascii="Times New Roman" w:hAnsi="Times New Roman" w:eastAsia="Times New Roman" w:cs="Times New Roman"/>
        </w:rPr>
        <w:t xml:space="preserve"> prajanjian langgeng,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ꦱꦏꦶꦤꦶ</w:t>
      </w:r>
      <w:r>
        <w:rPr>
          <w:rFonts w:ascii="Times New Roman" w:hAnsi="Times New Roman" w:eastAsia="Times New Roman" w:cs="Times New Roman"/>
        </w:rPr>
        <w:t xml:space="preserve">, </w:t>
      </w:r>
      <w:r>
        <w:rPr>
          <w:rFonts w:ascii="Javanese Text" w:hAnsi="Javanese Text" w:eastAsia="Javanese Text" w:cs="Javanese Text"/>
        </w:rPr>
        <w:t>ꦏꦺꦪꦺꦴꦱ꧀</w:t>
      </w:r>
      <w:r>
        <w:rPr>
          <w:rFonts w:ascii="Times New Roman" w:hAnsi="Times New Roman" w:eastAsia="Times New Roman" w:cs="Times New Roman"/>
        </w:rPr>
        <w:t xml:space="preserve"> </w:t>
      </w:r>
      <w:r>
        <w:rPr>
          <w:rFonts w:ascii="Javanese Text" w:hAnsi="Javanese Text" w:eastAsia="Javanese Text" w:cs="Javanese Text"/>
        </w:rPr>
        <w:t>ꦧꦶꦪꦺꦤ꧀</w:t>
      </w:r>
      <w:r>
        <w:rPr>
          <w:rFonts w:ascii="Times New Roman" w:hAnsi="Times New Roman" w:eastAsia="Times New Roman" w:cs="Times New Roman"/>
        </w:rPr>
        <w:t xml:space="preserve">, </w:t>
      </w:r>
      <w:r>
        <w:rPr>
          <w:rFonts w:ascii="Javanese Text" w:hAnsi="Javanese Text" w:eastAsia="Javanese Text" w:cs="Javanese Text"/>
        </w:rPr>
        <w:t>ꦏꦺꦩ꧀ꦧꦸꦫꦶ</w:t>
      </w:r>
      <w:r>
        <w:rPr>
          <w:rFonts w:ascii="Times New Roman" w:hAnsi="Times New Roman" w:eastAsia="Times New Roman" w:cs="Times New Roman"/>
        </w:rPr>
        <w:t xml:space="preserve">, </w:t>
      </w:r>
      <w:r>
        <w:rPr>
          <w:rFonts w:ascii="Javanese Text" w:hAnsi="Javanese Text" w:eastAsia="Javanese Text" w:cs="Javanese Text"/>
        </w:rPr>
        <w:t>ꦏꦲꦶꦭꦁꦔꦤ꧀</w:t>
      </w:r>
      <w:r>
        <w:rPr>
          <w:rFonts w:ascii="Times New Roman" w:hAnsi="Times New Roman" w:eastAsia="Times New Roman" w:cs="Times New Roman"/>
        </w:rPr>
        <w:t xml:space="preserve"> </w:t>
      </w:r>
      <w:r>
        <w:rPr>
          <w:rFonts w:ascii="Javanese Text" w:hAnsi="Javanese Text" w:eastAsia="Javanese Text" w:cs="Javanese Text"/>
        </w:rPr>
        <w:t>ꦥꦿꦕꦪ</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ꦏꦥꦶꦏꦿꦺꦣꦤ꧀</w:t>
      </w:r>
      <w:r>
        <w:rPr>
          <w:rFonts w:ascii="Times New Roman" w:hAnsi="Times New Roman" w:eastAsia="Times New Roman" w:cs="Times New Roman"/>
        </w:rPr>
        <w:t xml:space="preserve"> </w:t>
      </w:r>
      <w:r>
        <w:rPr>
          <w:rFonts w:ascii="Javanese Text" w:hAnsi="Javanese Text" w:eastAsia="Javanese Text" w:cs="Javanese Text"/>
        </w:rPr>
        <w:t>ꦩꦼꦚ꧀ꦗꦢꦶ</w:t>
      </w:r>
      <w:r>
        <w:rPr>
          <w:rFonts w:ascii="Times New Roman" w:hAnsi="Times New Roman" w:eastAsia="Times New Roman" w:cs="Times New Roman"/>
        </w:rPr>
        <w:t xml:space="preserve"> </w:t>
      </w:r>
      <w:r>
        <w:rPr>
          <w:rFonts w:ascii="Javanese Text" w:hAnsi="Javanese Text" w:eastAsia="Javanese Text" w:cs="Javanese Text"/>
        </w:rPr>
        <w:t>ꦲꦱꦶꦭ꧀ꦤꦶꦥꦸꦤ꧀</w:t>
      </w:r>
      <w:r>
        <w:rPr>
          <w:rFonts w:ascii="Times New Roman" w:hAnsi="Times New Roman" w:eastAsia="Times New Roman" w:cs="Times New Roman"/>
        </w:rPr>
        <w:t xml:space="preserve">. </w:t>
      </w:r>
      <w:r>
        <w:rPr>
          <w:rFonts w:ascii="Javanese Text" w:hAnsi="Javanese Text" w:eastAsia="Javanese Text" w:cs="Javanese Text"/>
        </w:rPr>
        <w:t>ꦏꦲꦤ꧀ꦲꦤ꧀</w:t>
      </w:r>
      <w:r>
        <w:rPr>
          <w:rFonts w:ascii="Times New Roman" w:hAnsi="Times New Roman" w:eastAsia="Times New Roman" w:cs="Times New Roman"/>
        </w:rPr>
        <w:t xml:space="preserve"> </w:t>
      </w:r>
      <w:r>
        <w:rPr>
          <w:rFonts w:ascii="Javanese Text" w:hAnsi="Javanese Text" w:eastAsia="Javanese Text" w:cs="Javanese Text"/>
        </w:rPr>
        <w:t>ꦱꦼꦗꦠꦶꦤꦶꦥꦸꦤ꧀</w:t>
      </w:r>
      <w:r>
        <w:rPr>
          <w:rFonts w:ascii="Times New Roman" w:hAnsi="Times New Roman" w:eastAsia="Times New Roman" w:cs="Times New Roman"/>
        </w:rPr>
        <w:t xml:space="preserve"> </w:t>
      </w:r>
      <w:r>
        <w:rPr>
          <w:rFonts w:ascii="Javanese Text" w:hAnsi="Javanese Text" w:eastAsia="Javanese Text" w:cs="Javanese Text"/>
        </w:rPr>
        <w:t>ꦏꦺꦠꦼꦫꦁꦏꦤ꧀</w:t>
      </w:r>
      <w:r>
        <w:rPr>
          <w:rFonts w:ascii="Times New Roman" w:hAnsi="Times New Roman" w:eastAsia="Times New Roman" w:cs="Times New Roman"/>
        </w:rPr>
        <w:t xml:space="preserve"> </w:t>
      </w:r>
      <w:r>
        <w:rPr>
          <w:rFonts w:ascii="Javanese Text" w:hAnsi="Javanese Text" w:eastAsia="Javanese Text" w:cs="Javanese Text"/>
        </w:rPr>
        <w:t>ꦲꦶꦁ</w:t>
      </w:r>
      <w:r>
        <w:rPr>
          <w:rFonts w:ascii="Times New Roman" w:hAnsi="Times New Roman" w:eastAsia="Times New Roman" w:cs="Times New Roman"/>
        </w:rPr>
        <w:t xml:space="preserve"> </w:t>
      </w:r>
      <w:r>
        <w:rPr>
          <w:rFonts w:ascii="Javanese Text" w:hAnsi="Javanese Text" w:eastAsia="Javanese Text" w:cs="Javanese Text"/>
        </w:rPr>
        <w:t>ꦗꦼꦫꦺꦴ</w:t>
      </w:r>
      <w:r>
        <w:rPr>
          <w:rFonts w:ascii="Times New Roman" w:hAnsi="Times New Roman" w:eastAsia="Times New Roman" w:cs="Times New Roman"/>
        </w:rPr>
        <w:t xml:space="preserve"> </w:t>
      </w:r>
      <w:r>
        <w:rPr>
          <w:rFonts w:ascii="Javanese Text" w:hAnsi="Javanese Text" w:eastAsia="Javanese Text" w:cs="Javanese Text"/>
        </w:rPr>
        <w:t>ꦗꦼꦫꦺꦴ</w:t>
      </w:r>
      <w:r>
        <w:rPr>
          <w:rFonts w:ascii="Times New Roman" w:hAnsi="Times New Roman" w:eastAsia="Times New Roman" w:cs="Times New Roman"/>
        </w:rPr>
        <w:t xml:space="preserve"> </w:t>
      </w:r>
      <w:r>
        <w:rPr>
          <w:rFonts w:ascii="Javanese Text" w:hAnsi="Javanese Text" w:eastAsia="Javanese Text" w:cs="Javanese Text"/>
        </w:rPr>
        <w:t>ꦥꦁꦭꦸꦏꦶꦱꦤ꧀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kidungipun Musa: ‘</w:t>
      </w:r>
      <w:r>
        <w:rPr>
          <w:rFonts w:ascii="Javanese Text" w:hAnsi="Javanese Text" w:eastAsia="Javanese Text" w:cs="Javanese Text"/>
        </w:rPr>
        <w:t>ꦮꦺꦴꦁꦏꦺꦲꦶꦁ</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ꦩꦿꦸꦱꦏ꧀</w:t>
      </w:r>
      <w:r>
        <w:rPr>
          <w:rFonts w:ascii="Times New Roman" w:hAnsi="Times New Roman" w:eastAsia="Times New Roman" w:cs="Times New Roman"/>
        </w:rPr>
        <w:t xml:space="preserve"> </w:t>
      </w:r>
      <w:r>
        <w:rPr>
          <w:rFonts w:ascii="Javanese Text" w:hAnsi="Javanese Text" w:eastAsia="Javanese Text" w:cs="Javanese Text"/>
        </w:rPr>
        <w:t>ꦲꦮꦏꦺ</w:t>
      </w:r>
      <w:r>
        <w:rPr>
          <w:rFonts w:ascii="Times New Roman" w:hAnsi="Times New Roman" w:eastAsia="Times New Roman" w:cs="Times New Roman"/>
        </w:rPr>
        <w:t xml:space="preserve"> </w:t>
      </w:r>
      <w:r>
        <w:rPr>
          <w:rFonts w:ascii="Javanese Text" w:hAnsi="Javanese Text" w:eastAsia="Javanese Text" w:cs="Javanese Text"/>
        </w:rPr>
        <w:t>ꦢꦺꦮꦺ</w:t>
      </w:r>
      <w:r>
        <w:rPr>
          <w:rFonts w:ascii="Times New Roman" w:hAnsi="Times New Roman" w:eastAsia="Times New Roman" w:cs="Times New Roman"/>
        </w:rPr>
        <w:t xml:space="preserve">; </w:t>
      </w:r>
      <w:r>
        <w:rPr>
          <w:rFonts w:ascii="Javanese Text" w:hAnsi="Javanese Text" w:eastAsia="Javanese Text" w:cs="Javanese Text"/>
        </w:rPr>
        <w:t>ꦕꦕꦢ꧀ꦤꦺ</w:t>
      </w:r>
      <w:r>
        <w:rPr>
          <w:rFonts w:ascii="Times New Roman" w:hAnsi="Times New Roman" w:eastAsia="Times New Roman" w:cs="Times New Roman"/>
        </w:rPr>
        <w:t xml:space="preserve"> dudu cacading para putranipun; </w:t>
      </w:r>
      <w:r>
        <w:rPr>
          <w:rFonts w:ascii="Javanese Text" w:hAnsi="Javanese Text" w:eastAsia="Javanese Text" w:cs="Javanese Text"/>
        </w:rPr>
        <w:t>ꦮꦺꦴꦁꦏꦺꦲꦶꦁ</w:t>
      </w:r>
      <w:r>
        <w:rPr>
          <w:rFonts w:ascii="Times New Roman" w:hAnsi="Times New Roman" w:eastAsia="Times New Roman" w:cs="Times New Roman"/>
        </w:rPr>
        <w:t xml:space="preserve"> iku sawijining turunan kang bengkong lan minger. Punapa kados mekaten anggenira mbales dhateng Pangeran, hé para bangsa bodho lan boten wicaksana? Punapa Panjenenganipun punika dudu Ramamu kang wus nebus sira? Punapa Panjenenganipun boten nitahaken sira lan netepaken sira?’” Review and Herald, March 18, 1884.</w:t>
      </w:r>
    </w:p>
    <w:p>
      <w:pPr>
        <w:pStyle w:val="ArticleBody"/>
        <w:jc w:val="left"/>
      </w:pPr>
      <w:r>
        <w:rPr>
          <w:rFonts w:ascii="Times New Roman" w:hAnsi="Times New Roman" w:eastAsia="Times New Roman" w:cs="Times New Roman"/>
        </w:rPr>
        <w:t>Ubhalwe ngumbhalo ngumbhalo kwiMoya yoBuprofeti echaza intshutshiso yemihla yokugqibela ejoliswe kubathembekileyo bakaThixo, yaye “ibandla lanamhlanje” alichazayo asiyiyo inkolo yobuKristu ngokubanzi, koko libandla alisoloko elichaza njengelamfanekiselwa libandla lamaYuda. Ezo ndinyana zicacileyo kwimibhalo yakhe ziyiyo inkuthazo yokuba ibandla lamaSeventh-day Adventist lizame ukubeka izithintelo phezu kwemibhalo kaDade White, njengoko iphupha lakhe likuchaza ngokufanelekileyo. Izenzo zabo ngokuchasene nemibhalo yakhe, eyayizezona zinto zilungileyo zendlu yakhe ezimele ukuthintelwa ziinkokeli zaseBattle Creek ezaguqukayo zaba ngumyalelo ongcwele wobuKatolika. Uhlaselo lwabo kwimibhalo yakhe lukwamelwe luhlaselo olwenziwa kwimibhalo kaYeremiya. Iphupha likaEllen White lingqina lesibini lokuba imibhalo kaYeremiya yatshiswa.</w:t>
      </w:r>
    </w:p>
    <w:p>
      <w:pPr>
        <w:pStyle w:val="ArticleBody"/>
        <w:jc w:val="left"/>
      </w:pPr>
      <w:r>
        <w:rPr>
          <w:rFonts w:ascii="Times New Roman" w:hAnsi="Times New Roman" w:eastAsia="Times New Roman" w:cs="Times New Roman"/>
        </w:rPr>
        <w:t>Лаодикеийн Адвентизмийн гурав дахь үеийн гол шинж нь буулт байв. Гурав дахь үе нь Пергамын чуулганаар төлөөлөгдөнө. 1919 онд В. В. Прескоттын The Doctrine of Christ нэртэй ном хэвлэгдсэнээс эхлээд 1957 онд Questions on Doctrine хэвлэгдэх хүртэлх хугацаа нь альфа хэвлэлээр эхэлж, омега хэвлэлээр төгссөн шилжилтийн үеийг тэмдэглэдэг. Эхний ном нь В. В. Прескотт Иуда овгийн Арсланг үгүйсгэн, Христийн тухай урвасан протестант үзлийг хүлээн авсныг илэрхийлсэн. The Doctrine of Christ хэмээн оновчтой нэрлэгдсэн Прескоттын ном нь Миллерийн эш үзүүллэгийн мэдээг дотроос нь хоосолж, Католик шашин болон урвасан протестантизмын шүтдэг Есүсийн хоосон тодорхойлолтыг л үлдээсэн. Тэр үеийн сүүлчийн ном нь Бурханы хуулийг, Түүний шударга ёс болон нигүүлслийг нураадаг ариусал ба зөвтгөлийн ойлголтыг тодорхойлдог. Эртний Израильд Бурханы хуулийн хадгаламж эзэмшигчид байх хариуцлага өгөгдсөн бөгөөд Адвентизм нь зөвхөн Бурханы хуулийн төдийгүй, мөн Түүний эш үзүүллэгийн Үгийн хадгаламж эзэмшигчид байх ёстой байсан. 1919 онд Бурханы эш үзүүллэгийн Үгийг хамгаалахыг үгүйсгэсэн нэгэн ном хэвлэгдсэн нь Лаодикеийн Адвентизмийн гурав дахь үеийн эхлэлийг тэмдэглэсэн бөгөөд тэр үе нь Бурханы хуулийг үгүйсгэдэг нэгэн номоор төгссөн юм.</w:t>
      </w:r>
    </w:p>
    <w:p>
      <w:pPr>
        <w:pStyle w:val="ArticleScripture"/>
        <w:jc w:val="left"/>
      </w:pPr>
      <w:r>
        <w:rPr>
          <w:rFonts w:ascii="Times New Roman" w:hAnsi="Times New Roman" w:eastAsia="Times New Roman" w:cs="Times New Roman"/>
        </w:rPr>
        <w:t>«</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ብጽንዓት</w:t>
      </w:r>
      <w:r>
        <w:rPr>
          <w:rFonts w:ascii="Times New Roman" w:hAnsi="Times New Roman" w:eastAsia="Times New Roman" w:cs="Times New Roman"/>
        </w:rPr>
        <w:t xml:space="preserve"> </w:t>
      </w:r>
      <w:r>
        <w:rPr>
          <w:rFonts w:ascii="Ebrima" w:hAnsi="Ebrima" w:eastAsia="Ebrima" w:cs="Ebrima"/>
        </w:rPr>
        <w:t>ልቢ</w:t>
      </w:r>
      <w:r>
        <w:rPr>
          <w:rFonts w:ascii="Times New Roman" w:hAnsi="Times New Roman" w:eastAsia="Times New Roman" w:cs="Times New Roman"/>
        </w:rPr>
        <w:t xml:space="preserve"> </w:t>
      </w:r>
      <w:r>
        <w:rPr>
          <w:rFonts w:ascii="Ebrima" w:hAnsi="Ebrima" w:eastAsia="Ebrima" w:cs="Ebrima"/>
        </w:rPr>
        <w:t>ትጸንሑ፣</w:t>
      </w:r>
      <w:r>
        <w:rPr>
          <w:rFonts w:ascii="Times New Roman" w:hAnsi="Times New Roman" w:eastAsia="Times New Roman" w:cs="Times New Roman"/>
        </w:rPr>
        <w:t xml:space="preserve"> </w:t>
      </w:r>
      <w:r>
        <w:rPr>
          <w:rFonts w:ascii="Ebrima" w:hAnsi="Ebrima" w:eastAsia="Ebrima" w:cs="Ebrima"/>
        </w:rPr>
        <w:t>ብትዕቢትን</w:t>
      </w:r>
      <w:r>
        <w:rPr>
          <w:rFonts w:ascii="Times New Roman" w:hAnsi="Times New Roman" w:eastAsia="Times New Roman" w:cs="Times New Roman"/>
        </w:rPr>
        <w:t xml:space="preserve"> </w:t>
      </w:r>
      <w:r>
        <w:rPr>
          <w:rFonts w:ascii="Ebrima" w:hAnsi="Ebrima" w:eastAsia="Ebrima" w:cs="Ebrima"/>
        </w:rPr>
        <w:t>ብርእሰ</w:t>
      </w:r>
      <w:r>
        <w:rPr>
          <w:rFonts w:ascii="Times New Roman" w:hAnsi="Times New Roman" w:eastAsia="Times New Roman" w:cs="Times New Roman"/>
        </w:rPr>
        <w:t>-</w:t>
      </w:r>
      <w:r>
        <w:rPr>
          <w:rFonts w:ascii="Ebrima" w:hAnsi="Ebrima" w:eastAsia="Ebrima" w:cs="Ebrima"/>
        </w:rPr>
        <w:t>ጽድቅን</w:t>
      </w:r>
      <w:r>
        <w:rPr>
          <w:rFonts w:ascii="Times New Roman" w:hAnsi="Times New Roman" w:eastAsia="Times New Roman" w:cs="Times New Roman"/>
        </w:rPr>
        <w:t xml:space="preserve"> </w:t>
      </w:r>
      <w:r>
        <w:rPr>
          <w:rFonts w:ascii="Ebrima" w:hAnsi="Ebrima" w:eastAsia="Ebrima" w:cs="Ebrima"/>
        </w:rPr>
        <w:t>ጌርኩም</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ጌጋታትኩም</w:t>
      </w:r>
      <w:r>
        <w:rPr>
          <w:rFonts w:ascii="Times New Roman" w:hAnsi="Times New Roman" w:eastAsia="Times New Roman" w:cs="Times New Roman"/>
        </w:rPr>
        <w:t xml:space="preserve"> </w:t>
      </w:r>
      <w:r>
        <w:rPr>
          <w:rFonts w:ascii="Ebrima" w:hAnsi="Ebrima" w:eastAsia="Ebrima" w:cs="Ebrima"/>
        </w:rPr>
        <w:t>ኣይትእመኑን፣</w:t>
      </w:r>
      <w:r>
        <w:rPr>
          <w:rFonts w:ascii="Times New Roman" w:hAnsi="Times New Roman" w:eastAsia="Times New Roman" w:cs="Times New Roman"/>
        </w:rPr>
        <w:t xml:space="preserve"> </w:t>
      </w:r>
      <w:r>
        <w:rPr>
          <w:rFonts w:ascii="Ebrima" w:hAnsi="Ebrima" w:eastAsia="Ebrima" w:cs="Ebrima"/>
        </w:rPr>
        <w:t>ንፈተናታት</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ትተርፉ</w:t>
      </w:r>
      <w:r>
        <w:rPr>
          <w:rFonts w:ascii="Times New Roman" w:hAnsi="Times New Roman" w:eastAsia="Times New Roman" w:cs="Times New Roman"/>
        </w:rPr>
        <w:t xml:space="preserve"> </w:t>
      </w:r>
      <w:r>
        <w:rPr>
          <w:rFonts w:ascii="Ebrima" w:hAnsi="Ebrima" w:eastAsia="Ebrima" w:cs="Ebrima"/>
        </w:rPr>
        <w:t>ክትግዝኡ</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ጌጋታትኩም</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ዚገልጸልኩም</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ዘይትንስሑ</w:t>
      </w:r>
      <w:r>
        <w:rPr>
          <w:rFonts w:ascii="Times New Roman" w:hAnsi="Times New Roman" w:eastAsia="Times New Roman" w:cs="Times New Roman"/>
        </w:rPr>
        <w:t xml:space="preserve">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ዘይትእመኑ፣</w:t>
      </w:r>
      <w:r>
        <w:rPr>
          <w:rFonts w:ascii="Times New Roman" w:hAnsi="Times New Roman" w:eastAsia="Times New Roman" w:cs="Times New Roman"/>
        </w:rPr>
        <w:t xml:space="preserve"> </w:t>
      </w:r>
      <w:r>
        <w:rPr>
          <w:rFonts w:ascii="Ebrima" w:hAnsi="Ebrima" w:eastAsia="Ebrima" w:cs="Ebrima"/>
        </w:rPr>
        <w:t>ምሕደራኡ</w:t>
      </w:r>
      <w:r>
        <w:rPr>
          <w:rFonts w:ascii="Times New Roman" w:hAnsi="Times New Roman" w:eastAsia="Times New Roman" w:cs="Times New Roman"/>
        </w:rPr>
        <w:t xml:space="preserve"> </w:t>
      </w:r>
      <w:r>
        <w:rPr>
          <w:rFonts w:ascii="Ebrima" w:hAnsi="Ebrima" w:eastAsia="Ebrima" w:cs="Ebrima"/>
        </w:rPr>
        <w:t>ደጊሙ</w:t>
      </w:r>
      <w:r>
        <w:rPr>
          <w:rFonts w:ascii="Times New Roman" w:hAnsi="Times New Roman" w:eastAsia="Times New Roman" w:cs="Times New Roman"/>
        </w:rPr>
        <w:t xml:space="preserve"> </w:t>
      </w:r>
      <w:r>
        <w:rPr>
          <w:rFonts w:ascii="Ebrima" w:hAnsi="Ebrima" w:eastAsia="Ebrima" w:cs="Ebrima"/>
        </w:rPr>
        <w:t>ደጋጊሙ</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መሬት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ትሓልፉ</w:t>
      </w:r>
      <w:r>
        <w:rPr>
          <w:rFonts w:ascii="Times New Roman" w:hAnsi="Times New Roman" w:eastAsia="Times New Roman" w:cs="Times New Roman"/>
        </w:rPr>
        <w:t xml:space="preserve"> </w:t>
      </w:r>
      <w:r>
        <w:rPr>
          <w:rFonts w:ascii="Ebrima" w:hAnsi="Ebrima" w:eastAsia="Ebrima" w:cs="Ebrima"/>
        </w:rPr>
        <w:t>ክገብረኩም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ብተመሳሳሊ</w:t>
      </w:r>
      <w:r>
        <w:rPr>
          <w:rFonts w:ascii="Times New Roman" w:hAnsi="Times New Roman" w:eastAsia="Times New Roman" w:cs="Times New Roman"/>
        </w:rPr>
        <w:t xml:space="preserve"> </w:t>
      </w:r>
      <w:r>
        <w:rPr>
          <w:rFonts w:ascii="Ebrima" w:hAnsi="Ebrima" w:eastAsia="Ebrima" w:cs="Ebrima"/>
        </w:rPr>
        <w:t>ባህርይ</w:t>
      </w:r>
      <w:r>
        <w:rPr>
          <w:rFonts w:ascii="Times New Roman" w:hAnsi="Times New Roman" w:eastAsia="Times New Roman" w:cs="Times New Roman"/>
        </w:rPr>
        <w:t xml:space="preserve"> </w:t>
      </w:r>
      <w:r>
        <w:rPr>
          <w:rFonts w:ascii="Ebrima" w:hAnsi="Ebrima" w:eastAsia="Ebrima" w:cs="Ebrima"/>
        </w:rPr>
        <w:t>ዘለዎም</w:t>
      </w:r>
      <w:r>
        <w:rPr>
          <w:rFonts w:ascii="Times New Roman" w:hAnsi="Times New Roman" w:eastAsia="Times New Roman" w:cs="Times New Roman"/>
        </w:rPr>
        <w:t xml:space="preserve"> </w:t>
      </w:r>
      <w:r>
        <w:rPr>
          <w:rFonts w:ascii="Ebrima" w:hAnsi="Ebrima" w:eastAsia="Ebrima" w:cs="Ebrima"/>
        </w:rPr>
        <w:t>ጌጋታት</w:t>
      </w:r>
      <w:r>
        <w:rPr>
          <w:rFonts w:ascii="Times New Roman" w:hAnsi="Times New Roman" w:eastAsia="Times New Roman" w:cs="Times New Roman"/>
        </w:rPr>
        <w:t xml:space="preserve"> </w:t>
      </w:r>
      <w:r>
        <w:rPr>
          <w:rFonts w:ascii="Ebrima" w:hAnsi="Ebrima" w:eastAsia="Ebrima" w:cs="Ebrima"/>
        </w:rPr>
        <w:t>ክትገብሩ</w:t>
      </w:r>
      <w:r>
        <w:rPr>
          <w:rFonts w:ascii="Times New Roman" w:hAnsi="Times New Roman" w:eastAsia="Times New Roman" w:cs="Times New Roman"/>
        </w:rPr>
        <w:t xml:space="preserve"> </w:t>
      </w:r>
      <w:r>
        <w:rPr>
          <w:rFonts w:ascii="Ebrima" w:hAnsi="Ebrima" w:eastAsia="Ebrima" w:cs="Ebrima"/>
        </w:rPr>
        <w:t>ክትተሓደጉ</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ጥበብ</w:t>
      </w:r>
      <w:r>
        <w:rPr>
          <w:rFonts w:ascii="Times New Roman" w:hAnsi="Times New Roman" w:eastAsia="Times New Roman" w:cs="Times New Roman"/>
        </w:rPr>
        <w:t xml:space="preserve"> </w:t>
      </w:r>
      <w:r>
        <w:rPr>
          <w:rFonts w:ascii="Ebrima" w:hAnsi="Ebrima" w:eastAsia="Ebrima" w:cs="Ebrima"/>
        </w:rPr>
        <w:t>ክትጎድሉ</w:t>
      </w:r>
      <w:r>
        <w:rPr>
          <w:rFonts w:ascii="Times New Roman" w:hAnsi="Times New Roman" w:eastAsia="Times New Roman" w:cs="Times New Roman"/>
        </w:rPr>
        <w:t xml:space="preserve"> </w:t>
      </w:r>
      <w:r>
        <w:rPr>
          <w:rFonts w:ascii="Ebrima" w:hAnsi="Ebrima" w:eastAsia="Ebrima" w:cs="Ebrima"/>
        </w:rPr>
        <w:t>ትቕጽሉ</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ሓጢኣት</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ጽድቂ፣</w:t>
      </w:r>
      <w:r>
        <w:rPr>
          <w:rFonts w:ascii="Times New Roman" w:hAnsi="Times New Roman" w:eastAsia="Times New Roman" w:cs="Times New Roman"/>
        </w:rPr>
        <w:t xml:space="preserve"> </w:t>
      </w:r>
      <w:r>
        <w:rPr>
          <w:rFonts w:ascii="Ebrima" w:hAnsi="Ebrima" w:eastAsia="Ebrima" w:cs="Ebrima"/>
        </w:rPr>
        <w:t>ጽድቂውን</w:t>
      </w:r>
      <w:r>
        <w:rPr>
          <w:rFonts w:ascii="Times New Roman" w:hAnsi="Times New Roman" w:eastAsia="Times New Roman" w:cs="Times New Roman"/>
        </w:rPr>
        <w:t xml:space="preserve"> </w:t>
      </w:r>
      <w:r>
        <w:rPr>
          <w:rFonts w:ascii="Ebrima" w:hAnsi="Ebrima" w:eastAsia="Ebrima" w:cs="Ebrima"/>
        </w:rPr>
        <w:t>ሓጢኣት</w:t>
      </w:r>
      <w:r>
        <w:rPr>
          <w:rFonts w:ascii="Times New Roman" w:hAnsi="Times New Roman" w:eastAsia="Times New Roman" w:cs="Times New Roman"/>
        </w:rPr>
        <w:t xml:space="preserve"> </w:t>
      </w:r>
      <w:r>
        <w:rPr>
          <w:rFonts w:ascii="Ebrima" w:hAnsi="Ebrima" w:eastAsia="Ebrima" w:cs="Ebrima"/>
        </w:rPr>
        <w:t>ክትብሉ</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ብዙሕ</w:t>
      </w:r>
      <w:r>
        <w:rPr>
          <w:rFonts w:ascii="Times New Roman" w:hAnsi="Times New Roman" w:eastAsia="Times New Roman" w:cs="Times New Roman"/>
        </w:rPr>
        <w:t xml:space="preserve"> </w:t>
      </w:r>
      <w:r>
        <w:rPr>
          <w:rFonts w:ascii="Ebrima" w:hAnsi="Ebrima" w:eastAsia="Ebrima" w:cs="Ebrima"/>
        </w:rPr>
        <w:t>ምትላል</w:t>
      </w:r>
      <w:r>
        <w:rPr>
          <w:rFonts w:ascii="Times New Roman" w:hAnsi="Times New Roman" w:eastAsia="Times New Roman" w:cs="Times New Roman"/>
        </w:rPr>
        <w:t xml:space="preserve"> </w:t>
      </w:r>
      <w:r>
        <w:rPr>
          <w:rFonts w:ascii="Ebrima" w:hAnsi="Ebrima" w:eastAsia="Ebrima" w:cs="Ebrima"/>
        </w:rPr>
        <w:t>ኣብዘን</w:t>
      </w:r>
      <w:r>
        <w:rPr>
          <w:rFonts w:ascii="Times New Roman" w:hAnsi="Times New Roman" w:eastAsia="Times New Roman" w:cs="Times New Roman"/>
        </w:rPr>
        <w:t xml:space="preserve"> </w:t>
      </w:r>
      <w:r>
        <w:rPr>
          <w:rFonts w:ascii="Ebrima" w:hAnsi="Ebrima" w:eastAsia="Ebrima" w:cs="Ebrima"/>
        </w:rPr>
        <w:t>ዳሕረዎት</w:t>
      </w:r>
      <w:r>
        <w:rPr>
          <w:rFonts w:ascii="Times New Roman" w:hAnsi="Times New Roman" w:eastAsia="Times New Roman" w:cs="Times New Roman"/>
        </w:rPr>
        <w:t xml:space="preserve"> </w:t>
      </w:r>
      <w:r>
        <w:rPr>
          <w:rFonts w:ascii="Ebrima" w:hAnsi="Ebrima" w:eastAsia="Ebrima" w:cs="Ebrima"/>
        </w:rPr>
        <w:t>መዓልትታት</w:t>
      </w:r>
      <w:r>
        <w:rPr>
          <w:rFonts w:ascii="Times New Roman" w:hAnsi="Times New Roman" w:eastAsia="Times New Roman" w:cs="Times New Roman"/>
        </w:rPr>
        <w:t xml:space="preserve"> </w:t>
      </w:r>
      <w:r>
        <w:rPr>
          <w:rFonts w:ascii="Ebrima" w:hAnsi="Ebrima" w:eastAsia="Ebrima" w:cs="Ebrima"/>
        </w:rPr>
        <w:t>ኪሰፍን</w:t>
      </w:r>
      <w:r>
        <w:rPr>
          <w:rFonts w:ascii="Times New Roman" w:hAnsi="Times New Roman" w:eastAsia="Times New Roman" w:cs="Times New Roman"/>
        </w:rPr>
        <w:t xml:space="preserve"> </w:t>
      </w:r>
      <w:r>
        <w:rPr>
          <w:rFonts w:ascii="Ebrima" w:hAnsi="Ebrima" w:eastAsia="Ebrima" w:cs="Ebrima"/>
        </w:rPr>
        <w:t>ዘለዎ</w:t>
      </w:r>
      <w:r>
        <w:rPr>
          <w:rFonts w:ascii="Times New Roman" w:hAnsi="Times New Roman" w:eastAsia="Times New Roman" w:cs="Times New Roman"/>
        </w:rPr>
        <w:t xml:space="preserve"> </w:t>
      </w:r>
      <w:r>
        <w:rPr>
          <w:rFonts w:ascii="Ebrima" w:hAnsi="Ebrima" w:eastAsia="Ebrima" w:cs="Ebrima"/>
        </w:rPr>
        <w:t>ክኸብበኩም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መራሒ</w:t>
      </w:r>
      <w:r>
        <w:rPr>
          <w:rFonts w:ascii="Times New Roman" w:hAnsi="Times New Roman" w:eastAsia="Times New Roman" w:cs="Times New Roman"/>
        </w:rPr>
        <w:t xml:space="preserve"> </w:t>
      </w:r>
      <w:r>
        <w:rPr>
          <w:rFonts w:ascii="Ebrima" w:hAnsi="Ebrima" w:eastAsia="Ebrima" w:cs="Ebrima"/>
        </w:rPr>
        <w:t>እውን</w:t>
      </w:r>
      <w:r>
        <w:rPr>
          <w:rFonts w:ascii="Times New Roman" w:hAnsi="Times New Roman" w:eastAsia="Times New Roman" w:cs="Times New Roman"/>
        </w:rPr>
        <w:t xml:space="preserve"> </w:t>
      </w:r>
      <w:r>
        <w:rPr>
          <w:rFonts w:ascii="Ebrima" w:hAnsi="Ebrima" w:eastAsia="Ebrima" w:cs="Ebrima"/>
        </w:rPr>
        <w:t>ክትቅይሩ</w:t>
      </w:r>
      <w:r>
        <w:rPr>
          <w:rFonts w:ascii="Times New Roman" w:hAnsi="Times New Roman" w:eastAsia="Times New Roman" w:cs="Times New Roman"/>
        </w:rPr>
        <w:t xml:space="preserve"> </w:t>
      </w:r>
      <w:r>
        <w:rPr>
          <w:rFonts w:ascii="Ebrima" w:hAnsi="Ebrima" w:eastAsia="Ebrima" w:cs="Ebrima"/>
        </w:rPr>
        <w:t>ኢኹም፣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ዝቐየርኩም</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ኣይትፈልጡን።</w:t>
      </w:r>
      <w:r>
        <w:rPr>
          <w:rFonts w:ascii="Times New Roman" w:hAnsi="Times New Roman" w:eastAsia="Times New Roman" w:cs="Times New Roman"/>
        </w:rPr>
        <w:t>» Review and Herald, December 16, 1890.</w:t>
      </w:r>
    </w:p>
    <w:p>
      <w:pPr>
        <w:pStyle w:val="ArticleBody"/>
        <w:jc w:val="left"/>
      </w:pPr>
      <w:r>
        <w:rPr>
          <w:rFonts w:ascii="Times New Roman" w:hAnsi="Times New Roman" w:eastAsia="Times New Roman" w:cs="Times New Roman"/>
        </w:rPr>
        <w:t>پەرگامۆس، سێیەمین کڵێسا، بۆ سەیاتیرا، کڵێسای پاپایی، ڕێنمایی کرد، کە ئەو چوارەمین نەوەیە؛ کاتێک بیست و پێنج پیاو کڕنووش بۆ نیشانەی دەسەڵاتی سەیاتیرا دەبەن.</w:t>
      </w:r>
    </w:p>
    <w:p>
      <w:pPr>
        <w:pStyle w:val="ArticleScripture"/>
        <w:jc w:val="left"/>
      </w:pPr>
      <w:r>
        <w:rPr>
          <w:rFonts w:ascii="Times New Roman" w:hAnsi="Times New Roman" w:eastAsia="Times New Roman" w:cs="Times New Roman"/>
        </w:rPr>
        <w:t>“Ñe’ẽme’ẽ ojejapóva umi tenondegua colono-kuéra rehegua, ohejávo iglesia-pegua añónte ikatu hag̃uáicha ovota térã oguereko tembiapo mburuvicha hag̃ua gobierno civil-pe, ogueru ñemondýiva vaietereíva. Ko medida oñemoneĩ kuri peteĩ tape ramo oñeñongatu hag̃ua estado potĩ, péro ipahápe ogueru iglesia ñembyai. Oĩgui jerovia rehegua jehechauka ramo condición sufragio ha cargo público rehegua, heta tapicha, omýi hag̃uáicha añoite yvypóra rembipota ha politika ko yvy arigua rehe, ojoaju iglesia ndive py’a ñemoambue’ỹ reheve. Péicha umi iglesia oñembyaty heta hendápe umi ndojehekovéiva reheguánte; ha ministerio-pe jepe oĩ va’ekue umi ndaha’éi añónte oguerekóva doctrina jejavy, síno ndoikuaáiva Espíritu Santo pu’aka omoheñóiva pyahu. Péicha jey ojehechauka umi mba’e vai rova’ẽ, heta jey ojehechava’ekue iglesia rembiasakue pukukue jave Constantino ára guive ko’ág̃a peve, oñeha’ãvo oñemopu’ã iglesia estado pytyvõ rupive, ojerurérõ poder secular toñemoĩ evangelio ykére Pe he’íva: ‘Che Rréino ndaha’éi ko yvygua.’ Juan 18:36. Iglesia ha estado joaju, taha’e michĩeterei jepe pe grado, jepe ikatu hag̃uáicha ojehecha oguerúva ko yvy arigua hi’aguĩve iglesia rehe, añetehápe ndaipóri ambue mba’e ojapóva ndaha’éirõ ogueru iglesia hi’aguĩve ko yvy arigua rehe.” The Great Controversy, 297.</w:t>
      </w:r>
    </w:p>
    <w:p>
      <w:pPr>
        <w:pStyle w:val="ArticleBody"/>
        <w:jc w:val="left"/>
      </w:pPr>
      <w:r>
        <w:rPr>
          <w:rFonts w:ascii="Nirmala UI" w:hAnsi="Nirmala UI" w:eastAsia="Nirmala UI" w:cs="Nirmala UI"/>
        </w:rPr>
        <w:t>ଚର୍ଚ୍ଚ</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ରାଜ୍ୟର</w:t>
      </w:r>
      <w:r>
        <w:rPr>
          <w:rFonts w:ascii="Times New Roman" w:hAnsi="Times New Roman" w:eastAsia="Times New Roman" w:cs="Times New Roman"/>
        </w:rPr>
        <w:t xml:space="preserve"> “</w:t>
      </w:r>
      <w:r>
        <w:rPr>
          <w:rFonts w:ascii="Nirmala UI" w:hAnsi="Nirmala UI" w:eastAsia="Nirmala UI" w:cs="Nirmala UI"/>
        </w:rPr>
        <w:t>ଏକତା</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ମାତ୍ରା</w:t>
      </w:r>
      <w:r>
        <w:rPr>
          <w:rFonts w:ascii="Times New Roman" w:hAnsi="Times New Roman" w:eastAsia="Times New Roman" w:cs="Times New Roman"/>
        </w:rPr>
        <w:t xml:space="preserve"> </w:t>
      </w:r>
      <w:r>
        <w:rPr>
          <w:rFonts w:ascii="Nirmala UI" w:hAnsi="Nirmala UI" w:eastAsia="Nirmala UI" w:cs="Nirmala UI"/>
        </w:rPr>
        <w:t>କେବେ</w:t>
      </w:r>
      <w:r>
        <w:rPr>
          <w:rFonts w:ascii="Times New Roman" w:hAnsi="Times New Roman" w:eastAsia="Times New Roman" w:cs="Times New Roman"/>
        </w:rPr>
        <w:t xml:space="preserve"> </w:t>
      </w:r>
      <w:r>
        <w:rPr>
          <w:rFonts w:ascii="Nirmala UI" w:hAnsi="Nirmala UI" w:eastAsia="Nirmala UI" w:cs="Nirmala UI"/>
        </w:rPr>
        <w:t>ଯେତେ</w:t>
      </w:r>
      <w:r>
        <w:rPr>
          <w:rFonts w:ascii="Times New Roman" w:hAnsi="Times New Roman" w:eastAsia="Times New Roman" w:cs="Times New Roman"/>
        </w:rPr>
        <w:t xml:space="preserve"> </w:t>
      </w:r>
      <w:r>
        <w:rPr>
          <w:rFonts w:ascii="Nirmala UI" w:hAnsi="Nirmala UI" w:eastAsia="Nirmala UI" w:cs="Nirmala UI"/>
        </w:rPr>
        <w:t>ସାନା</w:t>
      </w:r>
      <w:r>
        <w:rPr>
          <w:rFonts w:ascii="Times New Roman" w:hAnsi="Times New Roman" w:eastAsia="Times New Roman" w:cs="Times New Roman"/>
        </w:rPr>
        <w:t xml:space="preserve"> </w:t>
      </w:r>
      <w:r>
        <w:rPr>
          <w:rFonts w:ascii="Nirmala UI" w:hAnsi="Nirmala UI" w:eastAsia="Nirmala UI" w:cs="Nirmala UI"/>
        </w:rPr>
        <w:t>ହେଉନାହିଁ</w:t>
      </w:r>
      <w:r>
        <w:rPr>
          <w:rFonts w:ascii="Times New Roman" w:hAnsi="Times New Roman" w:eastAsia="Times New Roman" w:cs="Times New Roman"/>
        </w:rPr>
        <w:t xml:space="preserve">, </w:t>
      </w:r>
      <w:r>
        <w:rPr>
          <w:rFonts w:ascii="Nirmala UI" w:hAnsi="Nirmala UI" w:eastAsia="Nirmala UI" w:cs="Nirmala UI"/>
        </w:rPr>
        <w:t>ଯଦିଓ</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ଦେଖାଯାଇପାରେ</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ଜଗତକୁ</w:t>
      </w:r>
      <w:r>
        <w:rPr>
          <w:rFonts w:ascii="Times New Roman" w:hAnsi="Times New Roman" w:eastAsia="Times New Roman" w:cs="Times New Roman"/>
        </w:rPr>
        <w:t xml:space="preserve"> </w:t>
      </w:r>
      <w:r>
        <w:rPr>
          <w:rFonts w:ascii="Nirmala UI" w:hAnsi="Nirmala UI" w:eastAsia="Nirmala UI" w:cs="Nirmala UI"/>
        </w:rPr>
        <w:t>ଚର୍ଚ୍ଚର</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ନିକଟକୁ</w:t>
      </w:r>
      <w:r>
        <w:rPr>
          <w:rFonts w:ascii="Times New Roman" w:hAnsi="Times New Roman" w:eastAsia="Times New Roman" w:cs="Times New Roman"/>
        </w:rPr>
        <w:t xml:space="preserve"> </w:t>
      </w:r>
      <w:r>
        <w:rPr>
          <w:rFonts w:ascii="Nirmala UI" w:hAnsi="Nirmala UI" w:eastAsia="Nirmala UI" w:cs="Nirmala UI"/>
        </w:rPr>
        <w:t>ଆଣୁଛି</w:t>
      </w:r>
      <w:r>
        <w:rPr>
          <w:rFonts w:ascii="Times New Roman" w:hAnsi="Times New Roman" w:eastAsia="Times New Roman" w:cs="Times New Roman"/>
        </w:rPr>
        <w:t xml:space="preserve">, </w:t>
      </w:r>
      <w:r>
        <w:rPr>
          <w:rFonts w:ascii="Nirmala UI" w:hAnsi="Nirmala UI" w:eastAsia="Nirmala UI" w:cs="Nirmala UI"/>
        </w:rPr>
        <w:t>ବାସ୍ତବରେ</w:t>
      </w:r>
      <w:r>
        <w:rPr>
          <w:rFonts w:ascii="Times New Roman" w:hAnsi="Times New Roman" w:eastAsia="Times New Roman" w:cs="Times New Roman"/>
        </w:rPr>
        <w:t xml:space="preserve"> </w:t>
      </w:r>
      <w:r>
        <w:rPr>
          <w:rFonts w:ascii="Nirmala UI" w:hAnsi="Nirmala UI" w:eastAsia="Nirmala UI" w:cs="Nirmala UI"/>
        </w:rPr>
        <w:t>ତଥାପି</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ଚର୍ଚ୍ଚକୁ</w:t>
      </w:r>
      <w:r>
        <w:rPr>
          <w:rFonts w:ascii="Times New Roman" w:hAnsi="Times New Roman" w:eastAsia="Times New Roman" w:cs="Times New Roman"/>
        </w:rPr>
        <w:t xml:space="preserve"> </w:t>
      </w:r>
      <w:r>
        <w:rPr>
          <w:rFonts w:ascii="Nirmala UI" w:hAnsi="Nirmala UI" w:eastAsia="Nirmala UI" w:cs="Nirmala UI"/>
        </w:rPr>
        <w:t>ଜଗତର</w:t>
      </w:r>
      <w:r>
        <w:rPr>
          <w:rFonts w:ascii="Times New Roman" w:hAnsi="Times New Roman" w:eastAsia="Times New Roman" w:cs="Times New Roman"/>
        </w:rPr>
        <w:t xml:space="preserve"> </w:t>
      </w:r>
      <w:r>
        <w:rPr>
          <w:rFonts w:ascii="Nirmala UI" w:hAnsi="Nirmala UI" w:eastAsia="Nirmala UI" w:cs="Nirmala UI"/>
        </w:rPr>
        <w:t>ଅଧିକ</w:t>
      </w:r>
      <w:r>
        <w:rPr>
          <w:rFonts w:ascii="Times New Roman" w:hAnsi="Times New Roman" w:eastAsia="Times New Roman" w:cs="Times New Roman"/>
        </w:rPr>
        <w:t xml:space="preserve"> </w:t>
      </w:r>
      <w:r>
        <w:rPr>
          <w:rFonts w:ascii="Nirmala UI" w:hAnsi="Nirmala UI" w:eastAsia="Nirmala UI" w:cs="Nirmala UI"/>
        </w:rPr>
        <w:t>ନିକଟକୁ</w:t>
      </w:r>
      <w:r>
        <w:rPr>
          <w:rFonts w:ascii="Times New Roman" w:hAnsi="Times New Roman" w:eastAsia="Times New Roman" w:cs="Times New Roman"/>
        </w:rPr>
        <w:t xml:space="preserve"> </w:t>
      </w:r>
      <w:r>
        <w:rPr>
          <w:rFonts w:ascii="Nirmala UI" w:hAnsi="Nirmala UI" w:eastAsia="Nirmala UI" w:cs="Nirmala UI"/>
        </w:rPr>
        <w:t>ଆଣେ।</w:t>
      </w:r>
      <w:r>
        <w:rPr>
          <w:rFonts w:ascii="Times New Roman" w:hAnsi="Times New Roman" w:eastAsia="Times New Roman" w:cs="Times New Roman"/>
        </w:rPr>
        <w:t xml:space="preserve">” </w:t>
      </w:r>
      <w:r>
        <w:rPr>
          <w:rFonts w:ascii="Nirmala UI" w:hAnsi="Nirmala UI" w:eastAsia="Nirmala UI" w:cs="Nirmala UI"/>
        </w:rPr>
        <w:t>୧୮</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୧୯୭୭</w:t>
      </w:r>
      <w:r>
        <w:rPr>
          <w:rFonts w:ascii="Times New Roman" w:hAnsi="Times New Roman" w:eastAsia="Times New Roman" w:cs="Times New Roman"/>
        </w:rPr>
        <w:t xml:space="preserve"> </w:t>
      </w:r>
      <w:r>
        <w:rPr>
          <w:rFonts w:ascii="Nirmala UI" w:hAnsi="Nirmala UI" w:eastAsia="Nirmala UI" w:cs="Nirmala UI"/>
        </w:rPr>
        <w:t>ତାରିଖରେ</w:t>
      </w:r>
      <w:r>
        <w:rPr>
          <w:rFonts w:ascii="Times New Roman" w:hAnsi="Times New Roman" w:eastAsia="Times New Roman" w:cs="Times New Roman"/>
        </w:rPr>
        <w:t xml:space="preserve">, </w:t>
      </w:r>
      <w:r>
        <w:rPr>
          <w:rFonts w:ascii="Nirmala UI" w:hAnsi="Nirmala UI" w:eastAsia="Nirmala UI" w:cs="Nirmala UI"/>
        </w:rPr>
        <w:t>ବର୍ଟ</w:t>
      </w:r>
      <w:r>
        <w:rPr>
          <w:rFonts w:ascii="Times New Roman" w:hAnsi="Times New Roman" w:eastAsia="Times New Roman" w:cs="Times New Roman"/>
        </w:rPr>
        <w:t xml:space="preserve"> </w:t>
      </w:r>
      <w:r>
        <w:rPr>
          <w:rFonts w:ascii="Nirmala UI" w:hAnsi="Nirmala UI" w:eastAsia="Nirmala UI" w:cs="Nirmala UI"/>
        </w:rPr>
        <w:t>ବି</w:t>
      </w:r>
      <w:r>
        <w:rPr>
          <w:rFonts w:ascii="Times New Roman" w:hAnsi="Times New Roman" w:eastAsia="Times New Roman" w:cs="Times New Roman"/>
        </w:rPr>
        <w:t xml:space="preserve">. </w:t>
      </w:r>
      <w:r>
        <w:rPr>
          <w:rFonts w:ascii="Nirmala UI" w:hAnsi="Nirmala UI" w:eastAsia="Nirmala UI" w:cs="Nirmala UI"/>
        </w:rPr>
        <w:t>ବିଚ୍</w:t>
      </w:r>
      <w:r>
        <w:rPr>
          <w:rFonts w:ascii="Times New Roman" w:hAnsi="Times New Roman" w:eastAsia="Times New Roman" w:cs="Times New Roman"/>
        </w:rPr>
        <w:t xml:space="preserve"> (</w:t>
      </w:r>
      <w:r>
        <w:rPr>
          <w:rFonts w:ascii="Nirmala UI" w:hAnsi="Nirmala UI" w:eastAsia="Nirmala UI" w:cs="Nirmala UI"/>
        </w:rPr>
        <w:t>ଚର୍ଚ୍ଚର</w:t>
      </w:r>
      <w:r>
        <w:rPr>
          <w:rFonts w:ascii="Times New Roman" w:hAnsi="Times New Roman" w:eastAsia="Times New Roman" w:cs="Times New Roman"/>
        </w:rPr>
        <w:t xml:space="preserve"> Northern Europe-West Africa Division-</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ନିର୍ଦ୍ଦେଶକ</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ଆନ୍ତର୍ଚର୍ଚ୍ଚ</w:t>
      </w:r>
      <w:r>
        <w:rPr>
          <w:rFonts w:ascii="Times New Roman" w:hAnsi="Times New Roman" w:eastAsia="Times New Roman" w:cs="Times New Roman"/>
        </w:rPr>
        <w:t xml:space="preserve"> </w:t>
      </w:r>
      <w:r>
        <w:rPr>
          <w:rFonts w:ascii="Nirmala UI" w:hAnsi="Nirmala UI" w:eastAsia="Nirmala UI" w:cs="Nirmala UI"/>
        </w:rPr>
        <w:t>ସମ୍ପର୍କରେ</w:t>
      </w:r>
      <w:r>
        <w:rPr>
          <w:rFonts w:ascii="Times New Roman" w:hAnsi="Times New Roman" w:eastAsia="Times New Roman" w:cs="Times New Roman"/>
        </w:rPr>
        <w:t xml:space="preserve"> </w:t>
      </w:r>
      <w:r>
        <w:rPr>
          <w:rFonts w:ascii="Nirmala UI" w:hAnsi="Nirmala UI" w:eastAsia="Nirmala UI" w:cs="Nirmala UI"/>
        </w:rPr>
        <w:t>ସଂଲଗ୍ନ</w:t>
      </w:r>
      <w:r>
        <w:rPr>
          <w:rFonts w:ascii="Times New Roman" w:hAnsi="Times New Roman" w:eastAsia="Times New Roman" w:cs="Times New Roman"/>
        </w:rPr>
        <w:t xml:space="preserve">) </w:t>
      </w:r>
      <w:r>
        <w:rPr>
          <w:rFonts w:ascii="Nirmala UI" w:hAnsi="Nirmala UI" w:eastAsia="Nirmala UI" w:cs="Nirmala UI"/>
        </w:rPr>
        <w:t>ରୋମରେ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ଗୋଷ୍ଠୀ</w:t>
      </w:r>
      <w:r>
        <w:rPr>
          <w:rFonts w:ascii="Times New Roman" w:hAnsi="Times New Roman" w:eastAsia="Times New Roman" w:cs="Times New Roman"/>
        </w:rPr>
        <w:t xml:space="preserve"> </w:t>
      </w:r>
      <w:r>
        <w:rPr>
          <w:rFonts w:ascii="Nirmala UI" w:hAnsi="Nirmala UI" w:eastAsia="Nirmala UI" w:cs="Nirmala UI"/>
        </w:rPr>
        <w:t>ସାକ୍ଷାତକାର</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ଖ୍ରୀଷ୍ଟବିରୋଧୀ</w:t>
      </w:r>
      <w:r>
        <w:rPr>
          <w:rFonts w:ascii="Times New Roman" w:hAnsi="Times New Roman" w:eastAsia="Times New Roman" w:cs="Times New Roman"/>
        </w:rPr>
        <w:t xml:space="preserve"> Pope Paul VI</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ସୁଣାରେ</w:t>
      </w:r>
      <w:r>
        <w:rPr>
          <w:rFonts w:ascii="Times New Roman" w:hAnsi="Times New Roman" w:eastAsia="Times New Roman" w:cs="Times New Roman"/>
        </w:rPr>
        <w:t xml:space="preserve"> </w:t>
      </w:r>
      <w:r>
        <w:rPr>
          <w:rFonts w:ascii="Nirmala UI" w:hAnsi="Nirmala UI" w:eastAsia="Nirmala UI" w:cs="Nirmala UI"/>
        </w:rPr>
        <w:t>ଆବୃତ</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ପଦକ</w:t>
      </w:r>
      <w:r>
        <w:rPr>
          <w:rFonts w:ascii="Times New Roman" w:hAnsi="Times New Roman" w:eastAsia="Times New Roman" w:cs="Times New Roman"/>
        </w:rPr>
        <w:t xml:space="preserve"> </w:t>
      </w:r>
      <w:r>
        <w:rPr>
          <w:rFonts w:ascii="Nirmala UI" w:hAnsi="Nirmala UI" w:eastAsia="Nirmala UI" w:cs="Nirmala UI"/>
        </w:rPr>
        <w:t>ପ୍ରଦାନ</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Conference of Secretaries of World Confessional Families-</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ସଭାର</w:t>
      </w:r>
      <w:r>
        <w:rPr>
          <w:rFonts w:ascii="Times New Roman" w:hAnsi="Times New Roman" w:eastAsia="Times New Roman" w:cs="Times New Roman"/>
        </w:rPr>
        <w:t xml:space="preserve"> </w:t>
      </w:r>
      <w:r>
        <w:rPr>
          <w:rFonts w:ascii="Nirmala UI" w:hAnsi="Nirmala UI" w:eastAsia="Nirmala UI" w:cs="Nirmala UI"/>
        </w:rPr>
        <w:t>ଅଂଶ</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ଘଟଣା</w:t>
      </w:r>
      <w:r>
        <w:rPr>
          <w:rFonts w:ascii="Times New Roman" w:hAnsi="Times New Roman" w:eastAsia="Times New Roman" w:cs="Times New Roman"/>
        </w:rPr>
        <w:t xml:space="preserve"> Adventist Review (August 11, 1977)-</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Religious News Service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ଏହାକୁ</w:t>
      </w:r>
      <w:r>
        <w:rPr>
          <w:rFonts w:ascii="Times New Roman" w:hAnsi="Times New Roman" w:eastAsia="Times New Roman" w:cs="Times New Roman"/>
        </w:rPr>
        <w:t xml:space="preserve"> </w:t>
      </w:r>
      <w:r>
        <w:rPr>
          <w:rFonts w:ascii="Nirmala UI" w:hAnsi="Nirmala UI" w:eastAsia="Nirmala UI" w:cs="Nirmala UI"/>
        </w:rPr>
        <w:t>ଏପରି</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ଉଲ୍ଲେଖ</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ହେଉଛି</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ଥର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ଆଧିକାରିକ</w:t>
      </w:r>
      <w:r>
        <w:rPr>
          <w:rFonts w:ascii="Times New Roman" w:hAnsi="Times New Roman" w:eastAsia="Times New Roman" w:cs="Times New Roman"/>
        </w:rPr>
        <w:t xml:space="preserve"> SDA </w:t>
      </w:r>
      <w:r>
        <w:rPr>
          <w:rFonts w:ascii="Nirmala UI" w:hAnsi="Nirmala UI" w:eastAsia="Nirmala UI" w:cs="Nirmala UI"/>
        </w:rPr>
        <w:t>ପ୍ରତିନିଧି</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Pontiff</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ସାକ୍ଷାତ</w:t>
      </w:r>
      <w:r>
        <w:rPr>
          <w:rFonts w:ascii="Times New Roman" w:hAnsi="Times New Roman" w:eastAsia="Times New Roman" w:cs="Times New Roman"/>
        </w:rPr>
        <w:t xml:space="preserve"> </w:t>
      </w:r>
      <w:r>
        <w:rPr>
          <w:rFonts w:ascii="Nirmala UI" w:hAnsi="Nirmala UI" w:eastAsia="Nirmala UI" w:cs="Nirmala UI"/>
        </w:rPr>
        <w:t>କରିଥିଲେ।</w:t>
      </w:r>
    </w:p>
    <w:p>
      <w:pPr>
        <w:pStyle w:val="ArticleScripture"/>
        <w:jc w:val="left"/>
      </w:pPr>
      <w:r>
        <w:rPr>
          <w:rFonts w:ascii="Times New Roman" w:hAnsi="Times New Roman" w:eastAsia="Times New Roman" w:cs="Times New Roman"/>
        </w:rPr>
        <w:t>“Rabbiin warra Caaffata Qulqullaa’oorratti irraa hir’isan yookaan itti dabalan irratti abaarsa dubbateera. Ani Isa Guddaan maal akka seera amantii fi barsiisa ta’u murteesseera; akkasumas Macaafni Qulqulluun kitaaba maatii akka ta’u qopheesseera. Waldaan dubbii Waaqayyoo cimsittee qabattu Roomaa irraa addaan baafamuu hin araaramne keessaa dhaabbattee jirti. Pirootestaantonni yeroo tokko akkasitti waldaa gantummaa guddaa kana irraa fagaatanii turan; amma garuu ishee caalaatti dhihaatanii jiru, amma illee karaa araaramuu Waldaa Roomaatiin irra jiru. Roomaan gonkumaa hin jijjiiramtu. Qajeeltoowwan ishee xiqqoo illee hin geeddaramne. Isheen ofii ishee fi Pirootestaantota gidduu addaan fageenya jiru hin hir’isin; isaan garuu gara isheetti tarkaanfii hunda fudhataniiru. Garuu kun Pirootestaantummaa bara kanaaf maal falma? Inni namoonni gara amantii dhabuutti akka dhihaatan kan godhu dhugaa Macaafa Qulqulluu diduudha. Waldaan irraa duubatti deebi’te fageenya ofii ishee fi Phaaphaasummaa gidduu jiru ni xiqqeessiti.”</w:t>
      </w:r>
    </w:p>
    <w:p>
      <w:pPr>
        <w:pStyle w:val="ArticleScripture"/>
        <w:jc w:val="left"/>
      </w:pPr>
      <w:r>
        <w:rPr>
          <w:rFonts w:ascii="Times New Roman" w:hAnsi="Times New Roman" w:eastAsia="Times New Roman" w:cs="Times New Roman"/>
        </w:rPr>
        <w:t>«Лютер, Кранмер, Ридли, Гупер һәм хаҡлыҡ хаҡына шаһит булып йәнен биргән меңләгән затлы ир-аттар кеүек йәндәр — ана шулар ысын протестанттар. Улар, протестантизм римселек менән берләшә алмай, ә папалыҡ принциптарынан көнсығыш көнбайыштан ни тиклем алыҫ булһа, шул тиклем алыҫ айырылырға тейеш, тип иғлан итеп, хаҡлыҡтың тоғро ҡарауылсылары булып торҙолар. Хәҡиҡәттең бындай яҡлаусылары «гөнаһ кешеһе» менән, Мәсих менән Уның илселәре нисек яраша алмаған булһа, шулай уҡ яраша алмаған булыр ине. Элекке дәүерҙәрҙә тәҡүә кешеләр Рим менән бәйләнешкә инеүҙең мөмкин түгеллеген тойҙо, һәм, был яңылышлыҡ системаһына ҡаршылыҡтары мал-мөлкәтен дә, ғүмерен дә хәүеф аҫтына ҡуйып һаҡланһа ла, улар айырылыуҙарын һаҡларға батырлыҡ тапты һәм ирҙәрсә хаҡлыҡ өсөн көрәште. Изге Яҙманың хәҡиҡәте улар өсөн байлыҡтан да, хөрмәттән дә, хатта ғүмерҙең үҙенән дә ҡәҙерлерәк ине. Улар хәҡиҡәттең хорафаттар һәм ялған сафсата өйөмө аҫтында күмелеп ятыуын түҙә алманы. Улар Алла Һүҙен ҡулдарына алды һәм халыҡ алдында хәҡиҡәт байрағын күтәрҙе, Изге Яҙманы тырышып өйрәнеү аша Алла үҙҙәренә асҡан нәмәне ҡыйыулыҡ менән иғлан итте. Улар Аллаға тоғролоҡтары өсөн иң аяуһыҙ үлемдәр менән үлде, ләкин үҙ ҡандары менән улар беҙгә, үҙен протестант тип атаған күптәрҙең яуызлыҡ көсөнә еңел генә биреп барған, иректәрҙе һәм өҫтөнлөктәрҙе һатып алды. Әммә беҙ был ҡиммәт хаҡҡа алынған өҫтөнлөктәрҙе биреп ҡуйырбыҙмы? Күктәр Аллаһын мыҫҡыл итербеҙме һәм, Ул беҙҙе рим ҡамытынан азат иткәс, яңынан үҙебеҙҙе был антихристиан ҡөҙрәттең ҡоллоғона ҡуйырбыҙмы? Үҙебеҙҙең дини азатлығыбыҙҙан, Аллаға үҙ вөжданыбыҙ ҡушыуы буйынса табыныу хоҡуғыбыҙҙан баш тартып, боҙолоуыбыҙҙы иҫбат итербеҙме?»</w:t>
      </w:r>
    </w:p>
    <w:p>
      <w:pPr>
        <w:pStyle w:val="ArticleScripture"/>
        <w:jc w:val="left"/>
      </w:pPr>
      <w:r>
        <w:rPr>
          <w:rFonts w:ascii="Times New Roman" w:hAnsi="Times New Roman" w:eastAsia="Times New Roman" w:cs="Times New Roman"/>
        </w:rPr>
        <w:t>«Хөндий уулсаар цуурайтан, Европыг газар хөдлөлт мэт донсолгосон Лютерийн дуу хоолой нь Есүсийн эрхэм элч нарын нэгэн их цэргийг урагш дуудан гаргасан бөгөөд тэдний өмгөөлөн тунхагласан үнэнийг түлээ мод, эрүү шүүлт, гяндан, үхэл ч таглан дийлж чадаагүй; мөн өнөө хэр нь алагдсан гэрч нарын тэрхүү эрхэм цэргийн дуу хоолой бидэнд Ромын эрх мэдэл бол эцсийн өдрүүдэд гарах тухай зөгнөгдсөн тэр урвалт, Паул бүр өөрийн цаг үедээ эхлэн үйлчилж байгааг харсан хууль бусын нууц мөн гэдгийг хэлсээр байна. Ромын католик шашин маш хурдтайгаар хүчээ тэлж байна. Папын ёс улам бүр өсөн нэмэгдэж байгаа бөгөөд үнэнийг сонсохоос чихээ буруулсан хүмүүс түүний мэхлэгч үлгэр домгийг сонсож байна. Папын мөргөлийн сүмүүд, папын коллежууд, гэлэнмаа нарын хийдүүд, лам нарын хийдүүд олширч байгаа бөгөөд протестант ертөнц унтсан мэт байна. Протестантууд өөрсдийг нь ертөнцөөс ялган тодруулж байсан онцлог тэмдгээ алдаж, өөрсдөдөө болон Ромын эрх мэдлийн хоорондох зайг багасгаж байна. Тэд үнэнийг сонсохоос чихээ буруулсан; Бурхан тэдний зам дээр гэрлээ тусгасан атал тэд түүнийг хүлээн авахыг хүсээгүй тул харанхуй руу орж байна. Ромын шашинтнууд болон тэдэнтэй нэгдэгчдийн зүгээс өнгөрсөн үеийн харгис хавчлага дахин сэргэнэ гэсэн санааг тэд үл тоомсорлон ярьдаг. Тэд Бурханы үг тийм сэргэлтийг бүрэн дүүрэн зөгнөдөг бодит үнэнийг хүлээн зөвшөөрдөггүй, мөн сүүлчийн өдрүүдэд Бурханы ард түмэн хавчлага амсана гэдгийг зөвшөөрөхийг хүсдэггүй, хэдий тийм боловч Библид, “Луу тэр эмэгтэйд хилэгнэж, Бурханы тушаалуудыг сахиж, Есүс Христийн гэрчлэлийг агуулсан түүний үр удмын үлдэгсэдтэй дайтахаар явлаа” гэж хэлсэн байдаг.»</w:t>
      </w:r>
    </w:p>
    <w:p>
      <w:pPr>
        <w:pStyle w:val="ArticleScripture"/>
        <w:jc w:val="left"/>
      </w:pPr>
      <w:r>
        <w:rPr>
          <w:rFonts w:ascii="Times New Roman" w:hAnsi="Times New Roman" w:eastAsia="Times New Roman" w:cs="Times New Roman"/>
        </w:rPr>
        <w:t>«Попери — ай адæмы æгъдауæн дини, æмæ адæмты бæрзонд массæ уарзой ахæм ахуыргæнæн, кæцы сын рæхсæдæй гуынах æмбарын, æвæдта сæ фидгæндтæй дæр сæттын кæны. Адæмæн хъæуы динион фæткæ, æмæ ай дини, адæймаджы æмбæрзтæй сæвзæрд, фæлæ нырдæр дæлбар кæнынц йæ божественный авторитет, ба цæст у æхсызгонд зæрдæйæ. Лæгтæ, кæцытæ хъуыдыйы кæнынц, имæ фæзминаг æмæ зондджын сты, сæ уæззауæй фæрæзтынц рæстдзинадæн стандартæй — æвдисæн дæс фарстатæй, æмæ нæ хъуыдыйы кæнынц, æйдæр сæ намысимæ æмхицæн у Хуыцауы фæндтыл бафæрсын. Уымæ гæсгæ сæ уайынц æрмæст фæндтæм, нывæнд фæндагтæм, уæдта сæхиуыл ышанæй фæцæуынц, сæхи хъæздыг кæнынц, папæйы фæлгонцæй, фæлæ не Иисус Христосы фæлгонцæй. Сын хъæуы динион уагыл кæй фæткæ, кæцыимæ спиритуалон цард æмæ сæхи инкар кæнынæн иу дæр хъæдæгдæр талап ис; æмæ уымæй кæд æнæсвятгонд адæймаджы зонд сын нæ разындзæн, поперийæ фæндтæм æмæ ахуыргæнæнтæм æй дургæй кæнын, уæд сын сæ æгъдауæй æрцæуынц йæ амонындзинадтæм æмæ догматæм. Се ’нæ уарзынц Хуцауы фæндтыл цæуын. Се ’ппæтæй дæр хорз уæлдæр æхсæнадæй рухс сты, æмæмæ Хуыцауæн кувын æмæ фæлладдæр æмæ сæрмагондæй Йæ ныхас æмбæрстауæйдæр балæвæрд кæнын нæ фæнды. Хуцауы фæндтæ базонын нæ хъуыдыйы кæнынцгæ, уымæ гæсгæ сæ зонд æппæтæй дæр æргом у алджындзинæдтæм, æппæтæй дæр разæй у алыгад æмбарын æмæ уый йæ бæрæг кæнын. Се ’нæм бар у æппæтæй дæр æнæхъæн, æппæтæй дæр æнæцæст æрыгон алыгадтæ сæ фæдыл уадзын кæнын, цыма уыдон растдзинад сты.»</w:t>
      </w:r>
    </w:p>
    <w:p>
      <w:pPr>
        <w:pStyle w:val="ArticleScripture"/>
        <w:jc w:val="left"/>
      </w:pPr>
      <w:r>
        <w:rPr>
          <w:rFonts w:ascii="Times New Roman" w:hAnsi="Times New Roman" w:eastAsia="Times New Roman" w:cs="Times New Roman"/>
        </w:rPr>
        <w:t>“Шайтанның алдау ісіндегі ең ұлы туындысы — папалық; әрі ұлы зияткерлік қараңғылық дәуірі римшілдікке қолайлы болғаны дәлелденгендей, ұлы зияткерлік жарық дәуірінің де оның билігіне қолайлы болатыны дәлелденеді; өйткені адамдардың ақыл-ойы өз артықшылығына шоғырланып, Құдайды өз танымында сақтағысы келмейді. Рим жаңылмайтындықты талап етеді, ал протестанттар сол жолмен келе жатыр. Олар ақиқатты іздеуді және жарықтан одан да зор жарыққа қарай ілгерілеуді қаламайды. Олар өздерін теріс пікірмен қоршап алып, алдануға да, өзгелерді алдауға да әзір сияқты.”</w:t>
      </w:r>
    </w:p>
    <w:p>
      <w:pPr>
        <w:pStyle w:val="ArticleScripture"/>
        <w:jc w:val="left"/>
      </w:pPr>
      <w:r>
        <w:rPr>
          <w:rFonts w:ascii="Times New Roman" w:hAnsi="Times New Roman" w:eastAsia="Times New Roman" w:cs="Times New Roman"/>
        </w:rPr>
        <w:t>“پر اگرچه رویۀ کلیساها مایوس‌کننده است، با این همه هیچ نیازی به دلسرد شدن نیست؛ زیرا خدا قومی دارد که وفاداری خود را به حقیقت او محفوظ خواهند داشت، که کتاب‌مقدس، و تنها کتاب‌مقدس را، قانون ایمان و عقیدۀ خویش خواهند ساخت، که معیار را برافراشته خواهند کرد و آن بیرقی را افراشته نگاه خواهند داشت که بر آن این عبارت نگاشته شده است: «احکام خدا و ایمانِ عیسی.» آنان برای انجیلِ پاک ارزش قائل خواهند شد و کتاب‌مقدس را بنیاد ایمان و عقیدۀ خود خواهند ساخت.</w:t>
      </w:r>
    </w:p>
    <w:p>
      <w:pPr>
        <w:pStyle w:val="ArticleScripture"/>
        <w:jc w:val="left"/>
      </w:pPr>
      <w:r>
        <w:rPr>
          <w:rFonts w:ascii="Times New Roman" w:hAnsi="Times New Roman" w:eastAsia="Times New Roman" w:cs="Times New Roman"/>
        </w:rPr>
        <w:t>«اینجا وقت همان‌چنان است، هنگامی که آدمیان شریعتِ خداوندِ لشکرها را کنار می‌افکنند، دعای داود قابلِ تطبیق است: “ای خداوند، وقت آن است که تو عمل کنی؛ زیرا ایشان شریعت تو را باطل ساخته‌اند.” ما به زمانی نزدیک می‌شویم که تقریباً تحقیرِ همگانی بر شریعتِ خدا فرو خواهد ریخت، و قومِ فرمان‌نگه‌دارِ خدا به‌سختی آزموده خواهند شد؛ اما آیا ایشان حرمتِ خود را نسبت به شریعتِ یهوه از دست خواهند داد، زیرا دیگران دعاوی الزام‌آورِ آن را نه می‌بینند و نه درمی‌یابند؟ بگذارید قومِ فرمان‌نگه‌دارِ خدا، همچون داود، شریعتِ خدا را به همان نسبت حرمت نهند که آدمیان آن را کنار می‌افکنند و بر آن بی‌حرمتی و خواری انباشته می‌سازند.» Signs of the Times, February 19, 1894.</w:t>
      </w:r>
    </w:p>
    <w:p>
      <w:pPr>
        <w:pStyle w:val="ArticleBody"/>
        <w:jc w:val="left"/>
      </w:pPr>
      <w:r>
        <w:rPr>
          <w:rFonts w:ascii="Times New Roman" w:hAnsi="Times New Roman" w:eastAsia="Times New Roman" w:cs="Times New Roman"/>
        </w:rPr>
        <w:t>Антихристын Лаодикейн Долоо дахь өдрийн Адвентист сүмийн нэгэн удирдагч алтан медалиар шагнахаас хоёр жилийн өмнө, 1975 онд Долоо дахь өдрийн Адвентист сүмийн эсрэг нэгэн нэхэмжлэл гарсан; EEOC v. Pacific Press Publishing Association (Case No. C-74-2025 CBR in the U.S. District Court for the Northern District of California). Уг хэрэгт Тэгш хөдөлмөр эрхлэлтийн боломжийн комисс сүмийн хэвлэлийн байгууллагыг хоёр эмэгтэй ажилтны—Merikay Silver (нэхэмжлэл гаргах үед ажлаасаа гарсан байсан хуучин редактор) болон Lorna Tobler—өмнөөс шүүхэд өгч, цалин хөлс болон хангамжид хүйсээр ялгаварлан гадуурхсан хэмээн буруутгасан. Сүм өөрийн үйл ажиллагааг хэсэгчлэн шашны хөнгөлөлтүүдийг эш татан, мөн өөрийн удирдлагын бүтцийн талаар тайлбарлан хамгаалсан.</w:t>
      </w:r>
    </w:p>
    <w:p>
      <w:pPr>
        <w:pStyle w:val="ArticleBody"/>
        <w:jc w:val="left"/>
      </w:pPr>
      <w:r>
        <w:rPr>
          <w:rFonts w:ascii="Times New Roman" w:hAnsi="Times New Roman" w:eastAsia="Times New Roman" w:cs="Times New Roman"/>
        </w:rPr>
        <w:t>6 de febrero de 1976-jo qillqatasin juramentompi arsuta willakuypi (tribunalman churasqa defensa qillqapa huknin chiqnin), Neal C. Wilson (chay p’unchawkuna iglesiapa Norteamérica Divisiónpa presidenten karqa, hinaspata 1979–1990 watakunapi Conferencia Generalpa presidenten) iglesiapa Roma Católicawan tupaq ñawpa qhawariyninkunamanta rimarqa. Chay willakuyqa rurasqa karqa iglesiata “jerarquía” nisqawan sutichaykunamanta hark’anapaq, papa sistema hina kasqanta nispa qhawachiykunapa contra. Hunt’asqa, kay hina allin tupaq citaqa kachkan: “Sichus chiqapmi Séptimo Día Adventista Iglesiapa kawsayninpi huk pacha karqa maypi denominación nisqa sutiyuq ayllu Roma Católica contra sut’i anti-Romano Católico qhawariyta hap’iq, hinaspa ‘jerarquía’ nisqa simiqa mana allinpaq, pisipaq qhawasqa hina llamk’achisqa karqa iglesiapa kamachiy papal formata sutichanapaq, chay yuyaychasqa iglesiapa chiqninmanta mana imapas karqachu aswanqa ñawpaq kay pachapi, kay sigloq qallariyninpi chaymanta qayna sigloq qhipa t’aqanpi, conservador protestante denominaciónkunapi mast’arasqa anti-popery nisqa yuyaychasqapa rikch’ayninlla, chaymi kunanqa Séptimo Día Adventista Iglesiapa nisqanmantaqa historiaq q’upa q’ipinman wikch’usqaña kachkan.”</w:t>
      </w:r>
    </w:p>
    <w:p>
      <w:pPr>
        <w:pStyle w:val="ArticleBody"/>
        <w:jc w:val="left"/>
      </w:pPr>
      <w:r>
        <w:rPr>
          <w:rFonts w:ascii="Times New Roman" w:hAnsi="Times New Roman" w:eastAsia="Times New Roman" w:cs="Times New Roman"/>
        </w:rPr>
        <w:t>Atjilïk iti, nawutchï wut tïkäÿelëk pinydu ku luɔɔi tɔ̈k ë cïn ë luɔɔi ya pinyduöth wäräläkäyic, cïïn katholikic aacïïk, ëbɛ̈n cïïn ye pɛ̈th nyuɔth bï keek ke “thöök” ka antichrist në Revelation. Këkë looi bï piny ë piny ku cïïn kɔc ke luɔɔi mɛnh acïïk yen ye raan tɛ̈në kɛ̈k yic ago tɔ̈u nëm cïïn katholikic aacïïk tɔ̈u ku piny tïït, ka cïïn bï keek cïïr ayuɔɔr ku keec tënë ecumenism nyuɔthic kɔc ën legal defenses. Wilson, në 1985, acïïk nyuɔth Presidentë këkë Divisions luɔɔi ke “cardinals,” ka ye cïïn yel, “… cïïn ë cardinals tɔ̈u pinydu käkë ci Far East, ku bï lëu bïï thok ‘cardinals’ rou ku Africa.”</w:t>
      </w:r>
    </w:p>
    <w:p>
      <w:pPr>
        <w:pStyle w:val="ArticleBody"/>
        <w:jc w:val="left"/>
      </w:pPr>
      <w:r>
        <w:rPr>
          <w:rFonts w:ascii="Times New Roman" w:hAnsi="Times New Roman" w:eastAsia="Times New Roman" w:cs="Times New Roman"/>
        </w:rPr>
        <w:t>أخت وايت صرّحت بأن الكنيسة المرتدّة هي التي تُقلِّل المسافة بينها وبين البابا! ويُمثَّل تهاون الجيل الثالث بأنه بكاء على تمّوز في حزقيال الثامن، وكذلك بتهاون برغامس. أمّا الجيل الأول من سنة 1863 إلى سنة 1888 فقد مثّل كنيسة أفسس، وهي كنيسة فقدت محبتها الأولى، وكانت المحبة الأولى للحركة الميلرية هي الرسالة النبوية، وكان الفصل الأول من تلك الرسالة النبوية هو «السبعة الأزمنة» التي وُضعت جانبًا في سنة 1863.</w:t>
      </w:r>
    </w:p>
    <w:p>
      <w:pPr>
        <w:pStyle w:val="ArticleBody"/>
        <w:jc w:val="left"/>
      </w:pPr>
      <w:r>
        <w:rPr>
          <w:rFonts w:ascii="Times New Roman" w:hAnsi="Times New Roman" w:eastAsia="Times New Roman" w:cs="Times New Roman"/>
        </w:rPr>
        <w:t>1888-ئىلدىن 1919-ئىلغىچە، سمىرنا ۋە ھەزقىيالنىڭ مەخپىي ھۇجرىلىرى بىلەن ئىپادىلەنگەن ئىككىنچى ئەۋلاد، روھىي نەبىيلىكنىڭ ۋاپاتىنى كۆردى؛ چۈنكى 1915-يىلى سىستېر ۋايت دەپنە قىلىندى. گۇۋاھلىقنى تاماملاش ئۈچۈن تۆت ئەۋلاد ھەققىدە تېخىمۇ كۆپ تەپسىلات زۆرۈر، ئەمما ئېللېن ۋايتنىڭ يازمىلىرىنى ئاسىي بولغان بىر خەلقنىڭ قانداق «چەكلەپ تاشلىيالايدىغانلىقى»نى، ياكى ھەپتىنىڭ بىرىنچى كۈنىنى قانداق قوبۇل قىلىشقا بولىدىغان نەرسە سۈپитидә ئىلگىرى سۈرەلەيدىغانلىقىنى تولۇق چۈشىنىش ئۈچۈن، تەدرىجىي ئاسىيلىقنى چۈشىنىش لازىم. يەھۇدا ئېرۇسالېمدە «بۇ خەلق ئۈستىدىن ھۆكۈم سۈرىدىغان» «ئەفرائىمنىڭ مەستلىرى» بىلەن بىللە ئىشلەيدۇ، ۋە ئېرۇسالېم ئۈستىدىن ھۆكۈم سۈرۈپ، قۇياشقا باش ئېگىدىغانلار سانھىدرىن بىلەن ئىپادىلەنگەن.</w:t>
      </w:r>
    </w:p>
    <w:p>
      <w:pPr>
        <w:pStyle w:val="ArticleBody"/>
        <w:jc w:val="left"/>
      </w:pPr>
      <w:r>
        <w:rPr>
          <w:rFonts w:ascii="Times New Roman" w:hAnsi="Times New Roman" w:eastAsia="Times New Roman" w:cs="Times New Roman"/>
        </w:rPr>
        <w:t>Yatiñäni aka yatxäwxa jutïr qillqatan sarantayaskakiñäni.</w:t>
      </w:r>
    </w:p>
    <w:p>
      <w:pPr>
        <w:pStyle w:val="ArticleScripture"/>
        <w:jc w:val="left"/>
      </w:pPr>
      <w:r>
        <w:rPr>
          <w:rFonts w:ascii="Times New Roman" w:hAnsi="Times New Roman" w:eastAsia="Times New Roman" w:cs="Times New Roman"/>
        </w:rPr>
        <w:t>«خۇدانىڭ ئۆزىنى ئېتىراپ قىلغان بالىلىرى ئارىسىدا، قانچىلىك ئاز سەۋر-تاقەت نامايان قىلىنغان، قانچىلىك كۆپ ئاچچىق سۆزلەر ئېيتىلغان، بىزنىڭ ئىمانىمىزدا بولمىغانلارغا قارىتا قانچىلىك كۆپ ئەيىبلەش ۋە مەھكۇم قىلىش سۆزلىرى بايان قىلىنغان. كۆپلىگەنلەر باشقا چېركاۋلارغا مەنسۇپ بولغانلارغا ناھايىتى چوڭ گۇناھكارلار دەپ قارىغان، ھالبۇكى رەب ئۇلارغا بۇنداق قارىمايدۇ. باشقا چېركاۋ ئەزالىرىغا شۇنداق قارىيدىغانلار خۇدانىڭ قۇدرەتلىك قولى ئاستىدا ئۆزلىرىنى تۆۋەن تۇتۇشقا موھتاجدۇر. ئۇلار ھۆكۈم قىلغان كىشىلەر بەلكىم ناھايىتى ئاز نۇرغا، ناھايىتى چەكلىك پۇرسەت ۋە ئىمتىيازلارغا ئىگە بولغان بولۇشى مۇمكىن. ئەگەر ئۇلار بىزنىڭ چېركاۋلىرىمىزدىكى كۆپ ئەزالارغا بېرىلگەن نۇرغا ئىگە بولغان بولسا، بەلكىم ناھايىتى تېزرەك ئىلگىرىلىگەن ۋە ئۆز ئىمانىنى دۇنياغا تېخىمۇ ياخشى ئىپادىلەپ بەرگەن بولاتتى. ئۆزلىرىگە بېرىلگەن نۇر بىلەن ماختىنىپ تۇرۇپ، شۇ نۇر بويىچە ماڭمايدىغانلار ھەققىدە مەسىھ مۇنداق دەيدۇ: «لېكىن مەن سىلەرگە دەيمەنكى، قىيامەت كۈنىدە سىلەرگە قارىغاندا تىر بىلەن سىدونغا تېخىمۇ چىداشلىق بولىدۇ. ۋە سەن، كاپېرناھۇم [زور نۇرغا ئىگە بولغان يەتتىنچى كۈنلۈك ئادۋېنتىستلار]، ئاسمانغىچە كۆتۈرۈلگەن [ئىمتياز جەھەتتە] سەن، دوزاخقىچە چۈشۈرۈلىسەن؛ چۈنكى سەندە قىلىنغان قۇدرەتلىك ئەمەللەر سودومدا قىلىنغان بولسا، ئۇ بۇ كۈنگىچە ساقلىنىپ قالغان بولاتتى. لېكىن مەن ساڭا دەيمەنكى، قىيامەت كۈنىدە سودوم زېمىنىغا ساڭا قارىغاندا تېخىمۇ چىداشلىق بولىدۇ.» شۇ ۋاقىتتا ئەيسا جاۋاب بېرىپ مۇنداق دېدى: «ئى ئاتا، ئاسمان بىلەن زېمىننىڭ رەبى، ساڭا شۈكۈر ئېيتىمەنكى، چۈنكى سەن بۇ نەرسىلەرنى دانا ۋە پەمىدەرلەردىن [ئۆز قارىشىچە] يوشۇرۇپ، ئۇلارنى بوۋاقلارغا ئاشكارا قىلدىڭ.»</w:t>
      </w:r>
    </w:p>
    <w:p>
      <w:pPr>
        <w:pStyle w:val="ArticleScripture"/>
        <w:jc w:val="left"/>
      </w:pP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w:t>
      </w:r>
      <w:r>
        <w:rPr>
          <w:rFonts w:ascii="Nirmala UI" w:hAnsi="Nirmala UI" w:eastAsia="Nirmala UI" w:cs="Nirmala UI"/>
        </w:rPr>
        <w:t>ए</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नहाङ्ना</w:t>
      </w:r>
      <w:r>
        <w:rPr>
          <w:rFonts w:ascii="Times New Roman" w:hAnsi="Times New Roman" w:eastAsia="Times New Roman" w:cs="Times New Roman"/>
        </w:rPr>
        <w:t xml:space="preserve"> </w:t>
      </w:r>
      <w:r>
        <w:rPr>
          <w:rFonts w:ascii="Nirmala UI" w:hAnsi="Nirmala UI" w:eastAsia="Nirmala UI" w:cs="Nirmala UI"/>
        </w:rPr>
        <w:t>हौजिक्तक</w:t>
      </w:r>
      <w:r>
        <w:rPr>
          <w:rFonts w:ascii="Times New Roman" w:hAnsi="Times New Roman" w:eastAsia="Times New Roman" w:cs="Times New Roman"/>
        </w:rPr>
        <w:t xml:space="preserve"> </w:t>
      </w:r>
      <w:r>
        <w:rPr>
          <w:rFonts w:ascii="Nirmala UI" w:hAnsi="Nirmala UI" w:eastAsia="Nirmala UI" w:cs="Nirmala UI"/>
        </w:rPr>
        <w:t>मखोयना</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पुम्नमक</w:t>
      </w:r>
      <w:r>
        <w:rPr>
          <w:rFonts w:ascii="Times New Roman" w:hAnsi="Times New Roman" w:eastAsia="Times New Roman" w:cs="Times New Roman"/>
        </w:rPr>
        <w:t xml:space="preserve"> </w:t>
      </w:r>
      <w:r>
        <w:rPr>
          <w:rFonts w:ascii="Nirmala UI" w:hAnsi="Nirmala UI" w:eastAsia="Nirmala UI" w:cs="Nirmala UI"/>
        </w:rPr>
        <w:t>तौरबसी</w:t>
      </w:r>
      <w:r>
        <w:rPr>
          <w:rFonts w:ascii="Times New Roman" w:hAnsi="Times New Roman" w:eastAsia="Times New Roman" w:cs="Times New Roman"/>
        </w:rPr>
        <w:t xml:space="preserve"> </w:t>
      </w:r>
      <w:r>
        <w:rPr>
          <w:rFonts w:ascii="Nirmala UI" w:hAnsi="Nirmala UI" w:eastAsia="Nirmala UI" w:cs="Nirmala UI"/>
        </w:rPr>
        <w:t>मपुना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ऐना</w:t>
      </w:r>
      <w:r>
        <w:rPr>
          <w:rFonts w:ascii="Times New Roman" w:hAnsi="Times New Roman" w:eastAsia="Times New Roman" w:cs="Times New Roman"/>
        </w:rPr>
        <w:t xml:space="preserve"> </w:t>
      </w:r>
      <w:r>
        <w:rPr>
          <w:rFonts w:ascii="Nirmala UI" w:hAnsi="Nirmala UI" w:eastAsia="Nirmala UI" w:cs="Nirmala UI"/>
        </w:rPr>
        <w:t>नहाक्खोयदा</w:t>
      </w:r>
      <w:r>
        <w:rPr>
          <w:rFonts w:ascii="Times New Roman" w:hAnsi="Times New Roman" w:eastAsia="Times New Roman" w:cs="Times New Roman"/>
        </w:rPr>
        <w:t xml:space="preserve"> </w:t>
      </w:r>
      <w:r>
        <w:rPr>
          <w:rFonts w:ascii="Nirmala UI" w:hAnsi="Nirmala UI" w:eastAsia="Nirmala UI" w:cs="Nirmala UI"/>
        </w:rPr>
        <w:t>अयाम्बा</w:t>
      </w:r>
      <w:r>
        <w:rPr>
          <w:rFonts w:ascii="Times New Roman" w:hAnsi="Times New Roman" w:eastAsia="Times New Roman" w:cs="Times New Roman"/>
        </w:rPr>
        <w:t xml:space="preserve"> </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खङ</w:t>
      </w:r>
      <w:r>
        <w:rPr>
          <w:rFonts w:ascii="Times New Roman" w:hAnsi="Times New Roman" w:eastAsia="Times New Roman" w:cs="Times New Roman"/>
        </w:rPr>
        <w:t xml:space="preserve">daba matamda houjik houjik hairaga wari loubirabadi, </w:t>
      </w:r>
      <w:r>
        <w:rPr>
          <w:rFonts w:ascii="Nirmala UI" w:hAnsi="Nirmala UI" w:eastAsia="Nirmala UI" w:cs="Nirmala UI"/>
        </w:rPr>
        <w:t>अदुबु</w:t>
      </w:r>
      <w:r>
        <w:rPr>
          <w:rFonts w:ascii="Times New Roman" w:hAnsi="Times New Roman" w:eastAsia="Times New Roman" w:cs="Times New Roman"/>
        </w:rPr>
        <w:t xml:space="preserve"> </w:t>
      </w:r>
      <w:r>
        <w:rPr>
          <w:rFonts w:ascii="Nirmala UI" w:hAnsi="Nirmala UI" w:eastAsia="Nirmala UI" w:cs="Nirmala UI"/>
        </w:rPr>
        <w:t>नहाङ्ना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ऐना</w:t>
      </w:r>
      <w:r>
        <w:rPr>
          <w:rFonts w:ascii="Times New Roman" w:hAnsi="Times New Roman" w:eastAsia="Times New Roman" w:cs="Times New Roman"/>
        </w:rPr>
        <w:t xml:space="preserve"> </w:t>
      </w:r>
      <w:r>
        <w:rPr>
          <w:rFonts w:ascii="Nirmala UI" w:hAnsi="Nirmala UI" w:eastAsia="Nirmala UI" w:cs="Nirmala UI"/>
        </w:rPr>
        <w:t>नहाक्खोयबु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ribadi, </w:t>
      </w:r>
      <w:r>
        <w:rPr>
          <w:rFonts w:ascii="Nirmala UI" w:hAnsi="Nirmala UI" w:eastAsia="Nirmala UI" w:cs="Nirmala UI"/>
        </w:rPr>
        <w:t>अदुबु</w:t>
      </w:r>
      <w:r>
        <w:rPr>
          <w:rFonts w:ascii="Times New Roman" w:hAnsi="Times New Roman" w:eastAsia="Times New Roman" w:cs="Times New Roman"/>
        </w:rPr>
        <w:t xml:space="preserve"> </w:t>
      </w:r>
      <w:r>
        <w:rPr>
          <w:rFonts w:ascii="Nirmala UI" w:hAnsi="Nirmala UI" w:eastAsia="Nirmala UI" w:cs="Nirmala UI"/>
        </w:rPr>
        <w:t>नहाङ्ना</w:t>
      </w:r>
      <w:r>
        <w:rPr>
          <w:rFonts w:ascii="Times New Roman" w:hAnsi="Times New Roman" w:eastAsia="Times New Roman" w:cs="Times New Roman"/>
        </w:rPr>
        <w:t xml:space="preserve"> </w:t>
      </w:r>
      <w:r>
        <w:rPr>
          <w:rFonts w:ascii="Nirmala UI" w:hAnsi="Nirmala UI" w:eastAsia="Nirmala UI" w:cs="Nirmala UI"/>
        </w:rPr>
        <w:t>खुम्द्रे</w:t>
      </w:r>
      <w:r>
        <w:rPr>
          <w:rFonts w:ascii="Times New Roman" w:hAnsi="Times New Roman" w:eastAsia="Times New Roman" w:cs="Times New Roman"/>
        </w:rPr>
        <w:t xml:space="preserve">; </w:t>
      </w:r>
      <w:r>
        <w:rPr>
          <w:rFonts w:ascii="Nirmala UI" w:hAnsi="Nirmala UI" w:eastAsia="Nirmala UI" w:cs="Nirmala UI"/>
        </w:rPr>
        <w:t>मরম</w:t>
      </w:r>
      <w:r>
        <w:rPr>
          <w:rFonts w:ascii="Times New Roman" w:hAnsi="Times New Roman" w:eastAsia="Times New Roman" w:cs="Times New Roman"/>
        </w:rPr>
        <w:t xml:space="preserve"> </w:t>
      </w:r>
      <w:r>
        <w:rPr>
          <w:rFonts w:ascii="Nirmala UI" w:hAnsi="Nirmala UI" w:eastAsia="Nirmala UI" w:cs="Nirmala UI"/>
        </w:rPr>
        <w:t>असीना</w:t>
      </w:r>
      <w:r>
        <w:rPr>
          <w:rFonts w:ascii="Times New Roman" w:hAnsi="Times New Roman" w:eastAsia="Times New Roman" w:cs="Times New Roman"/>
        </w:rPr>
        <w:t xml:space="preserve">, </w:t>
      </w:r>
      <w:r>
        <w:rPr>
          <w:rFonts w:ascii="Nirmala UI" w:hAnsi="Nirmala UI" w:eastAsia="Nirmala UI" w:cs="Nirmala UI"/>
        </w:rPr>
        <w:t>मिंगना</w:t>
      </w:r>
      <w:r>
        <w:rPr>
          <w:rFonts w:ascii="Times New Roman" w:hAnsi="Times New Roman" w:eastAsia="Times New Roman" w:cs="Times New Roman"/>
        </w:rPr>
        <w:t xml:space="preserve"> </w:t>
      </w:r>
      <w:r>
        <w:rPr>
          <w:rFonts w:ascii="Nirmala UI" w:hAnsi="Nirmala UI" w:eastAsia="Nirmala UI" w:cs="Nirmala UI"/>
        </w:rPr>
        <w:t>ऐगी</w:t>
      </w:r>
      <w:r>
        <w:rPr>
          <w:rFonts w:ascii="Times New Roman" w:hAnsi="Times New Roman" w:eastAsia="Times New Roman" w:cs="Times New Roman"/>
        </w:rPr>
        <w:t xml:space="preserve"> </w:t>
      </w:r>
      <w:r>
        <w:rPr>
          <w:rFonts w:ascii="Nirmala UI" w:hAnsi="Nirmala UI" w:eastAsia="Nirmala UI" w:cs="Nirmala UI"/>
        </w:rPr>
        <w:t>मिंग</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yaba yum asi, maduda </w:t>
      </w:r>
      <w:r>
        <w:rPr>
          <w:rFonts w:ascii="Nirmala UI" w:hAnsi="Nirmala UI" w:eastAsia="Nirmala UI" w:cs="Nirmala UI"/>
        </w:rPr>
        <w:t>नहाङ्ना</w:t>
      </w:r>
      <w:r>
        <w:rPr>
          <w:rFonts w:ascii="Times New Roman" w:hAnsi="Times New Roman" w:eastAsia="Times New Roman" w:cs="Times New Roman"/>
        </w:rPr>
        <w:t xml:space="preserve"> </w:t>
      </w:r>
      <w:r>
        <w:rPr>
          <w:rFonts w:ascii="Nirmala UI" w:hAnsi="Nirmala UI" w:eastAsia="Nirmala UI" w:cs="Nirmala UI"/>
        </w:rPr>
        <w:t>थाज</w:t>
      </w:r>
      <w:r>
        <w:rPr>
          <w:rFonts w:ascii="Times New Roman" w:hAnsi="Times New Roman" w:eastAsia="Times New Roman" w:cs="Times New Roman"/>
        </w:rPr>
        <w:t xml:space="preserve">aba,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ऐना</w:t>
      </w:r>
      <w:r>
        <w:rPr>
          <w:rFonts w:ascii="Times New Roman" w:hAnsi="Times New Roman" w:eastAsia="Times New Roman" w:cs="Times New Roman"/>
        </w:rPr>
        <w:t xml:space="preserve"> </w:t>
      </w:r>
      <w:r>
        <w:rPr>
          <w:rFonts w:ascii="Nirmala UI" w:hAnsi="Nirmala UI" w:eastAsia="Nirmala UI" w:cs="Nirmala UI"/>
        </w:rPr>
        <w:t>नहाक्खोयदा</w:t>
      </w:r>
      <w:r>
        <w:rPr>
          <w:rFonts w:ascii="Times New Roman" w:hAnsi="Times New Roman" w:eastAsia="Times New Roman" w:cs="Times New Roman"/>
        </w:rPr>
        <w:t xml:space="preserve"> </w:t>
      </w:r>
      <w:r>
        <w:rPr>
          <w:rFonts w:ascii="Nirmala UI" w:hAnsi="Nirmala UI" w:eastAsia="Nirmala UI" w:cs="Nirmala UI"/>
        </w:rPr>
        <w:t>अमसुंग</w:t>
      </w:r>
      <w:r>
        <w:rPr>
          <w:rFonts w:ascii="Times New Roman" w:hAnsi="Times New Roman" w:eastAsia="Times New Roman" w:cs="Times New Roman"/>
        </w:rPr>
        <w:t xml:space="preserve"> </w:t>
      </w:r>
      <w:r>
        <w:rPr>
          <w:rFonts w:ascii="Nirmala UI" w:hAnsi="Nirmala UI" w:eastAsia="Nirmala UI" w:cs="Nirmala UI"/>
        </w:rPr>
        <w:t>नहाक्खोयगी</w:t>
      </w:r>
      <w:r>
        <w:rPr>
          <w:rFonts w:ascii="Times New Roman" w:hAnsi="Times New Roman" w:eastAsia="Times New Roman" w:cs="Times New Roman"/>
        </w:rPr>
        <w:t xml:space="preserve"> ipa ipuna pibraba mapham aduda, </w:t>
      </w:r>
      <w:r>
        <w:rPr>
          <w:rFonts w:ascii="Nirmala UI" w:hAnsi="Nirmala UI" w:eastAsia="Nirmala UI" w:cs="Nirmala UI"/>
        </w:rPr>
        <w:t>ऐना</w:t>
      </w:r>
      <w:r>
        <w:rPr>
          <w:rFonts w:ascii="Times New Roman" w:hAnsi="Times New Roman" w:eastAsia="Times New Roman" w:cs="Times New Roman"/>
        </w:rPr>
        <w:t xml:space="preserve"> Shiloh-da touriba gumna tougani. </w:t>
      </w:r>
      <w:r>
        <w:rPr>
          <w:rFonts w:ascii="Nirmala UI" w:hAnsi="Nirmala UI" w:eastAsia="Nirmala UI" w:cs="Nirmala UI"/>
        </w:rPr>
        <w:t>अदुगा</w:t>
      </w:r>
      <w:r>
        <w:rPr>
          <w:rFonts w:ascii="Times New Roman" w:hAnsi="Times New Roman" w:eastAsia="Times New Roman" w:cs="Times New Roman"/>
        </w:rPr>
        <w:t xml:space="preserve"> </w:t>
      </w:r>
      <w:r>
        <w:rPr>
          <w:rFonts w:ascii="Nirmala UI" w:hAnsi="Nirmala UI" w:eastAsia="Nirmala UI" w:cs="Nirmala UI"/>
        </w:rPr>
        <w:t>ऐना</w:t>
      </w:r>
      <w:r>
        <w:rPr>
          <w:rFonts w:ascii="Times New Roman" w:hAnsi="Times New Roman" w:eastAsia="Times New Roman" w:cs="Times New Roman"/>
        </w:rPr>
        <w:t xml:space="preserve"> nangi mamangdagi nahak-khoi pumnamak louthokgani, eina nahak-khoigi macha-macha pumnamak, Ephraim-gi apumba mi-hao asi louthokkhibraba gumna.’”</w:t>
      </w:r>
    </w:p>
    <w:p>
      <w:pPr>
        <w:pStyle w:val="ArticleScripture"/>
        <w:jc w:val="left"/>
      </w:pPr>
      <w:r>
        <w:rPr>
          <w:rFonts w:ascii="Times New Roman" w:hAnsi="Times New Roman" w:eastAsia="Times New Roman" w:cs="Times New Roman"/>
        </w:rPr>
        <w:t>“Rabbi nuw ur ñu samp ay kurum yu am solo lool, te war nañu leen di doxal, du ni ñuy doxale kurumi àddina, waaye ni Yàlla tëral. War nañu leen di doxal ak xel bu jëm benn ci ndamam, ngir ci bépp anam ñaay yu bëgg a réer man a mucc. Ci askanu Yàlla, seede yi jóge ci Xelu mi ñëw nañu, waaye ñu bare jàppuñu ci yedd yi, artu yi, ak ndigël yi.</w:t>
      </w:r>
    </w:p>
    <w:p>
      <w:pPr>
        <w:pStyle w:val="ArticleScripture"/>
        <w:jc w:val="left"/>
      </w:pPr>
      <w:r>
        <w:rPr>
          <w:rFonts w:ascii="Times New Roman" w:hAnsi="Times New Roman" w:eastAsia="Times New Roman" w:cs="Times New Roman"/>
        </w:rPr>
        <w:t>“«Үүнийг одоо сонсогтун, мунхаг бөгөөд ухаангүй ард түмэн ээ; нүдтэй атлаа хардаггүй, чихтэй атлаа сонсдоггүй та нар аа. ЭЗЭН айлдаж байна: Та нар Надаас эмээхгүй гэж үү? Миний оршихуйн өмнө чичрэхгүй гэж үү? Би тэнгисийн хязгаарт элсийг мөнхийн тогтоолоор тавьсан бөгөөд тэр нь түүнийг давж чадахгүй. Долгион нь хэдий цалгилж, өөрсдийгөө шидлэвч дийлж эс чадна; хэдий архиравч түүнийг даван өнгөрч эс чадна. Харин энэ ард түмэн тэрслүү, бослогоч зүрхтэй; тэд тэрсэлж, холдон оджээ. Тэд зүрхэндээ ч: Одоо бид улиралд нь эрт ба хожуу бороог өгдөг, ургацын тогтоосон долоо хоногуудыг бидэнд хадгалдаг ЭЗЭН Бурханаасаа эмээцгээе, гэж хэлдэггүй. Та нарын гэм буруу эдгээрийг зайлуулж, нүгэл хилэнц чинь сайн сайхан зүйлсийг та нараас саатуулжээ.... Тэд өнчин хүний хэргийг, өнчний хэргийг шүүн тасалдаггүй, гэвч өөрсдөө цэцэглэн тэнэгэр байна; гачигдагсдын эрхийг ч тэд шүүн тасалдаггүй. ЭЗЭН айлдаж байна: Би эдгээрийн төлөө шийтгэхгүй гэж үү? Ийм үндэстнээс Миний сэтгэл өшөө авахгүй гэж үү?”</w:t>
      </w:r>
    </w:p>
    <w:p>
      <w:pPr>
        <w:pStyle w:val="ArticleScripture"/>
        <w:jc w:val="left"/>
      </w:pPr>
      <w:r>
        <w:rPr>
          <w:rFonts w:ascii="Times New Roman" w:hAnsi="Times New Roman" w:eastAsia="Times New Roman" w:cs="Times New Roman"/>
        </w:rPr>
        <w:t>«Ari Uta apuqa niykichispa ninan kanmanchu: “Ama kay llaqtapaq mañakuychu, amataq paykunapaq waqyaspa ni mañakuspa oqarichiychu, amataq noqaman mañapayayta ruraychu; mana uyarisqaykichu”? “Chayrayku paraykuna hark’asqa karqan, qhipa paraqa mana karqanchu.... Manachu kay p’unchawmanta noqaman waqyaspa ninki: Taytáy, qammi wayna kasqaymanta pusariqniy?”»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Yuw’él da Kaniisada Laodicean Seventh-day Adventist - Lambarka Soddonaad</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