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ادونتیستِ روز هفتمِ لائودیکیه‌ای - شمارۀ سی‌ونهم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សាមសិបប្រាំបួន</w:t>
      </w:r>
    </w:p>
    <w:p>
      <w:pPr>
        <w:pStyle w:val="ArticleBody"/>
        <w:jc w:val="left"/>
      </w:pPr>
      <w:r>
        <w:rPr>
          <w:rFonts w:ascii="Times New Roman" w:hAnsi="Times New Roman" w:eastAsia="Times New Roman" w:cs="Times New Roman"/>
        </w:rPr>
        <w:t>ئەل ۋەقەسىدىكى 2024-يىللىق سىرتقى ئەلفا ئۇل سىنىقىدىن كېيىن كېلىدىغان ئىچكى ئومېگا تام چوققىسى سىنىقى، «ئامبار»نىڭ ۋە ئامباردا ساقلىنىدىغان «ئوزۇق»نىڭ تەرىپىنى تەلەپ قىلىدۇ. بۇ سىناق نەبەۋىي بولۇپ، ئۇنىڭ ھەقىقەتنىڭ ئىچكى ۋە سىرتقى بىر سىزىقى بار. گۆھەرلەر جامېس ۋايتنىڭ قالدۇق جامائىتىمۇ، ياكى خۇدانىڭ سۆزىنىڭ ھەقىقەتلىرىمۇ؟ ئۇلار ھەر ئىككىسىدۇر.</w:t>
      </w:r>
    </w:p>
    <w:p>
      <w:pPr>
        <w:pStyle w:val="ArticleBody"/>
        <w:jc w:val="left"/>
      </w:pPr>
      <w:r>
        <w:rPr>
          <w:rFonts w:ascii="Times New Roman" w:hAnsi="Times New Roman" w:eastAsia="Times New Roman" w:cs="Times New Roman"/>
        </w:rPr>
        <w:t>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ক্ষুদ্র</w:t>
      </w:r>
      <w:r>
        <w:rPr>
          <w:rFonts w:ascii="Times New Roman" w:hAnsi="Times New Roman" w:eastAsia="Times New Roman" w:cs="Times New Roman"/>
        </w:rPr>
        <w:t xml:space="preserve"> </w:t>
      </w:r>
      <w:r>
        <w:rPr>
          <w:rFonts w:ascii="Nirmala UI" w:hAnsi="Nirmala UI" w:eastAsia="Nirmala UI" w:cs="Nirmala UI"/>
        </w:rPr>
        <w:t>পুস্তকটি</w:t>
      </w:r>
      <w:r>
        <w:rPr>
          <w:rFonts w:ascii="Times New Roman" w:hAnsi="Times New Roman" w:eastAsia="Times New Roman" w:cs="Times New Roman"/>
        </w:rPr>
        <w:t xml:space="preserve"> </w:t>
      </w:r>
      <w:r>
        <w:rPr>
          <w:rFonts w:ascii="Nirmala UI" w:hAnsi="Nirmala UI" w:eastAsia="Nirmala UI" w:cs="Nirmala UI"/>
        </w:rPr>
        <w:t>ভক্ষণ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ভিত্তিগুলি</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যোহনকে</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উপাসনাকারী</w:t>
      </w:r>
      <w:r>
        <w:rPr>
          <w:rFonts w:ascii="Times New Roman" w:hAnsi="Times New Roman" w:eastAsia="Times New Roman" w:cs="Times New Roman"/>
        </w:rPr>
        <w:t xml:space="preserve"> </w:t>
      </w:r>
      <w:r>
        <w:rPr>
          <w:rFonts w:ascii="Nirmala UI" w:hAnsi="Nirmala UI" w:eastAsia="Nirmala UI" w:cs="Nirmala UI"/>
        </w:rPr>
        <w:t>উভয়কেই</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উঠানটি</w:t>
      </w:r>
      <w:r>
        <w:rPr>
          <w:rFonts w:ascii="Times New Roman" w:hAnsi="Times New Roman" w:eastAsia="Times New Roman" w:cs="Times New Roman"/>
        </w:rPr>
        <w:t xml:space="preserve"> </w:t>
      </w:r>
      <w:r>
        <w:rPr>
          <w:rFonts w:ascii="Nirmala UI" w:hAnsi="Nirmala UI" w:eastAsia="Nirmala UI" w:cs="Nirmala UI"/>
        </w:rPr>
        <w:t>বাদ</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w:t>
      </w:r>
      <w:r>
        <w:rPr>
          <w:rFonts w:ascii="Nirmala UI" w:hAnsi="Nirmala UI" w:eastAsia="Nirmala UI" w:cs="Nirmala UI"/>
        </w:rPr>
        <w:t>অজাতীয়দের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পবিত্রস্থান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1,260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উঠান।</w:t>
      </w:r>
      <w:r>
        <w:rPr>
          <w:rFonts w:ascii="Times New Roman" w:hAnsi="Times New Roman" w:eastAsia="Times New Roman" w:cs="Times New Roman"/>
        </w:rPr>
        <w:t xml:space="preserve"> </w:t>
      </w:r>
      <w:r>
        <w:rPr>
          <w:rFonts w:ascii="Nirmala UI" w:hAnsi="Nirmala UI" w:eastAsia="Nirmala UI" w:cs="Nirmala UI"/>
        </w:rPr>
        <w:t>পবিত্রস্থান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উপাসনাকারীরা।</w:t>
      </w:r>
    </w:p>
    <w:p>
      <w:pPr>
        <w:pStyle w:val="ArticleBody"/>
        <w:jc w:val="left"/>
      </w:pPr>
      <w:r>
        <w:rPr>
          <w:rFonts w:ascii="Times New Roman" w:hAnsi="Times New Roman" w:eastAsia="Times New Roman" w:cs="Times New Roman"/>
        </w:rPr>
        <w:t>2023 елда, 9/11 дә төшкән шул ук фәрештә яңадан төште, Төн уртасы авазы хәбәрен мөһереннән ачты, ә аннары 2024 елда Рим символы, Миллерчеләр өчен булган кебек, әле дә күренешне билгелиме-юкмы дигән тышкы нигезләүче сыналу булды.</w:t>
      </w:r>
    </w:p>
    <w:p>
      <w:pPr>
        <w:pStyle w:val="ArticleBody"/>
        <w:jc w:val="left"/>
      </w:pP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ᎤᏍᏚᎩᏍᏗ</w:t>
      </w:r>
      <w:r>
        <w:rPr>
          <w:rFonts w:ascii="Times New Roman" w:hAnsi="Times New Roman" w:eastAsia="Times New Roman" w:cs="Times New Roman"/>
        </w:rPr>
        <w:t xml:space="preserve"> “</w:t>
      </w:r>
      <w:r>
        <w:rPr>
          <w:rFonts w:ascii="Gadugi" w:hAnsi="Gadugi" w:eastAsia="Gadugi" w:cs="Gadugi"/>
        </w:rPr>
        <w:t>ᎠᏍᏚᏟᏍᏗ</w:t>
      </w:r>
      <w:r>
        <w:rPr>
          <w:rFonts w:ascii="Times New Roman" w:hAnsi="Times New Roman" w:eastAsia="Times New Roman" w:cs="Times New Roman"/>
        </w:rPr>
        <w:t xml:space="preserve">” </w:t>
      </w:r>
      <w:r>
        <w:rPr>
          <w:rFonts w:ascii="Gadugi" w:hAnsi="Gadugi" w:eastAsia="Gadugi" w:cs="Gadugi"/>
        </w:rPr>
        <w:t>ᎦᏃᎮᏍᎩ</w:t>
      </w:r>
      <w:r>
        <w:rPr>
          <w:rFonts w:ascii="Times New Roman" w:hAnsi="Times New Roman" w:eastAsia="Times New Roman" w:cs="Times New Roman"/>
        </w:rPr>
        <w:t xml:space="preserve"> </w:t>
      </w:r>
      <w:r>
        <w:rPr>
          <w:rFonts w:ascii="Gadugi" w:hAnsi="Gadugi" w:eastAsia="Gadugi" w:cs="Gadugi"/>
        </w:rPr>
        <w:t>ᏧᏓᎴᎾ</w:t>
      </w:r>
      <w:r>
        <w:rPr>
          <w:rFonts w:ascii="Times New Roman" w:hAnsi="Times New Roman" w:eastAsia="Times New Roman" w:cs="Times New Roman"/>
        </w:rPr>
        <w:t xml:space="preserve"> </w:t>
      </w:r>
      <w:r>
        <w:rPr>
          <w:rFonts w:ascii="Gadugi" w:hAnsi="Gadugi" w:eastAsia="Gadugi" w:cs="Gadugi"/>
        </w:rPr>
        <w:t>ᎣᎻᎦ</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ᏓᎦᏁᎸ</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w:t>
      </w:r>
      <w:r>
        <w:rPr>
          <w:rFonts w:ascii="Ebrima" w:hAnsi="Ebrima" w:eastAsia="Ebrima" w:cs="Ebrima"/>
        </w:rPr>
        <w:t>ᎁ</w:t>
      </w:r>
      <w:r>
        <w:rPr>
          <w:rFonts w:ascii="Gadugi" w:hAnsi="Gadugi" w:eastAsia="Gadugi" w:cs="Gadugi"/>
        </w:rPr>
        <w:t>Ꭿ</w:t>
      </w:r>
      <w:r>
        <w:rPr>
          <w:rFonts w:ascii="Times New Roman" w:hAnsi="Times New Roman" w:eastAsia="Times New Roman" w:cs="Times New Roman"/>
        </w:rPr>
        <w:t xml:space="preserve">” </w:t>
      </w:r>
      <w:r>
        <w:rPr>
          <w:rFonts w:ascii="Gadugi" w:hAnsi="Gadugi" w:eastAsia="Gadugi" w:cs="Gadugi"/>
        </w:rPr>
        <w:t>ᎠᏥᏯᏅᏗ</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ᎤᏕᏲᎯᏍᏗ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ᎪᎱᏍᏗᎤᏍᏗ</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ᎤᏓᏰᎸᏛ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1844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9/11 </w:t>
      </w:r>
      <w:r>
        <w:rPr>
          <w:rFonts w:ascii="Gadugi" w:hAnsi="Gadugi" w:eastAsia="Gadugi" w:cs="Gadugi"/>
        </w:rPr>
        <w:t>ᎦᏰᎵ</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ᎠᏥᏁᎭ</w:t>
      </w:r>
      <w:r>
        <w:rPr>
          <w:rFonts w:ascii="Times New Roman" w:hAnsi="Times New Roman" w:eastAsia="Times New Roman" w:cs="Times New Roman"/>
        </w:rPr>
        <w:t xml:space="preserve"> </w:t>
      </w:r>
      <w:r>
        <w:rPr>
          <w:rFonts w:ascii="Gadugi" w:hAnsi="Gadugi" w:eastAsia="Gadugi" w:cs="Gadugi"/>
        </w:rPr>
        <w:t>ᎤᏟᎶᏍᏗ</w:t>
      </w:r>
      <w:r>
        <w:rPr>
          <w:rFonts w:ascii="Times New Roman" w:hAnsi="Times New Roman" w:eastAsia="Times New Roman" w:cs="Times New Roman"/>
        </w:rPr>
        <w:t xml:space="preserve"> </w:t>
      </w:r>
      <w:r>
        <w:rPr>
          <w:rFonts w:ascii="Gadugi" w:hAnsi="Gadugi" w:eastAsia="Gadugi" w:cs="Gadugi"/>
        </w:rPr>
        <w:t>ᏓᎦᏁᎸ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ᎠᎾᏓᏙᎵᏍᏗᏍᎩ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2023 </w:t>
      </w:r>
      <w:r>
        <w:rPr>
          <w:rFonts w:ascii="Gadugi" w:hAnsi="Gadugi" w:eastAsia="Gadugi" w:cs="Gadugi"/>
        </w:rPr>
        <w:t>ᎤᏕᏲᎯᏍᏗ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ᏓᎦᏁᎸ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ᎠᎾᏓᏙᎵᏍᏗᏍᎩ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ᎠᏥᏟᎶᏍᏗᏱ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ᎤᏬᎯᏳᏔᏅ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ᎹᎳᎦᎢ</w:t>
      </w:r>
      <w:r>
        <w:rPr>
          <w:rFonts w:ascii="Times New Roman" w:hAnsi="Times New Roman" w:eastAsia="Times New Roman" w:cs="Times New Roman"/>
        </w:rPr>
        <w:t xml:space="preserve"> </w:t>
      </w:r>
      <w:r>
        <w:rPr>
          <w:rFonts w:ascii="Gadugi" w:hAnsi="Gadugi" w:eastAsia="Gadugi" w:cs="Gadugi"/>
        </w:rPr>
        <w:t>ᎤᎾᏄᎪᏫᏎᎭ</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ᎦᏛᎪᎲ</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ᎠᎵᏍᏓᏴᏗ</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ᏗᏓᏛᏗ</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ᎠᎴᏂᎩᏒ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ᎠᏓᏫᏒ</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Miller-en tseettē yi gi mūtthida vānin jallukka kaḷavuṟṟa sannalgaḷai, Veḷippaduththal pattōṉpaththil veṇṇūl udukkappaṭṭu Karththarudaiya padaigaḷin Iraivanin padaiyin veḷḷai kuthiraigaḷin mēl ēṟa ezhuppappaṭum jeyiththa sabai irukkum iṭamāka aṭaiyaḷappaḍuththugiradhu. Andha tiṟandha sannalgaḷē Malkiyaa-vin āśīrvādam alladhu śāpam ūṟṟappaḍum iṭam. Miller-in tiṟandha sannal enbadhu kuppaigaḷ akatṟappaṭṭu, ratthinangaḷ peṭṭagaththirkkuḷ cērkkappaḍum iṭamāgum.</w:t>
      </w:r>
    </w:p>
    <w:p>
      <w:pPr>
        <w:pStyle w:val="ArticleBody"/>
        <w:jc w:val="left"/>
      </w:pPr>
      <w:r>
        <w:rPr>
          <w:rFonts w:ascii="Times New Roman" w:hAnsi="Times New Roman" w:eastAsia="Times New Roman" w:cs="Times New Roman"/>
        </w:rPr>
        <w:t>La primera referencia a las ventanas de los cielos se halla en la historia de Noé, y cuando aquellas ventanas fueron abiertas, hubo lluvia durante cuarenta días y cuarenta noches. Cuando las ventanas se abren, ocho almas están en el arca. El bautismo en el Mar Rojo dio inicio a cuarenta años de peregrinación hasta que se cruzó el Jordán. Cuando Cristo fue posteriormente bautizado en aquel mismo lugar, fue impulsado al desierto por cuarenta días. Cuando resucitó, tal como fue tipificado por Su bautismo, enseñó a los discípulos durante cuarenta días antes de ascender al cielo.</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বিজয়িনী</w:t>
      </w:r>
      <w:r>
        <w:rPr>
          <w:rFonts w:ascii="Times New Roman" w:hAnsi="Times New Roman" w:eastAsia="Times New Roman" w:cs="Times New Roman"/>
        </w:rPr>
        <w:t xml:space="preserve"> </w:t>
      </w:r>
      <w:r>
        <w:rPr>
          <w:rFonts w:ascii="Nirmala UI" w:hAnsi="Nirmala UI" w:eastAsia="Nirmala UI" w:cs="Nirmala UI"/>
        </w:rPr>
        <w:t>মণ্ডলীতে</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বয়স্ক</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দাউদ</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রাজত্ব</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বিজয়িনী</w:t>
      </w:r>
      <w:r>
        <w:rPr>
          <w:rFonts w:ascii="Times New Roman" w:hAnsi="Times New Roman" w:eastAsia="Times New Roman" w:cs="Times New Roman"/>
        </w:rPr>
        <w:t xml:space="preserve"> </w:t>
      </w:r>
      <w:r>
        <w:rPr>
          <w:rFonts w:ascii="Nirmala UI" w:hAnsi="Nirmala UI" w:eastAsia="Nirmala UI" w:cs="Nirmala UI"/>
        </w:rPr>
        <w:t>মণ্ডলীকে</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যাজক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বাইশ</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পরিচর্যাকার্য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বয়সে</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পরিচর্যাকার্য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আকাশমণ্ডল</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Scripture"/>
        <w:jc w:val="left"/>
      </w:pPr>
      <w:r>
        <w:rPr>
          <w:rFonts w:ascii="Times New Roman" w:hAnsi="Times New Roman" w:eastAsia="Times New Roman" w:cs="Times New Roman"/>
        </w:rPr>
        <w:t>Və belə oldu: otuzuncu ildə, dördüncü ayda, ayın beşinci günündə, mən Kəbar çayı kənarında əsirlər arasında olarkən göylər açıldı və mən Allahın görüntülərini gördüm. Hezekiel 1:1.</w:t>
      </w:r>
    </w:p>
    <w:p>
      <w:pPr>
        <w:pStyle w:val="ArticleBody"/>
        <w:jc w:val="left"/>
      </w:pPr>
      <w:r>
        <w:rPr>
          <w:rFonts w:ascii="Segoe UI Historic" w:hAnsi="Segoe UI Historic" w:eastAsia="Segoe UI Historic" w:cs="Segoe UI Historic"/>
        </w:rPr>
        <w:t>ܒܪܝܢ</w:t>
      </w:r>
      <w:r>
        <w:rPr>
          <w:rFonts w:ascii="Times New Roman" w:hAnsi="Times New Roman" w:eastAsia="Times New Roman" w:cs="Times New Roman"/>
        </w:rPr>
        <w:t xml:space="preserve"> </w:t>
      </w:r>
      <w:r>
        <w:rPr>
          <w:rFonts w:ascii="Segoe UI Historic" w:hAnsi="Segoe UI Historic" w:eastAsia="Segoe UI Historic" w:cs="Segoe UI Historic"/>
        </w:rPr>
        <w:t>ܬܠܬܝܢ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ܫܪܝ</w:t>
      </w:r>
      <w:r>
        <w:rPr>
          <w:rFonts w:ascii="Times New Roman" w:hAnsi="Times New Roman" w:eastAsia="Times New Roman" w:cs="Times New Roman"/>
        </w:rPr>
        <w:t xml:space="preserve"> </w:t>
      </w:r>
      <w:r>
        <w:rPr>
          <w:rFonts w:ascii="Segoe UI Historic" w:hAnsi="Segoe UI Historic" w:eastAsia="Segoe UI Historic" w:cs="Segoe UI Historic"/>
        </w:rPr>
        <w:t>ܝܘܣܦ</w:t>
      </w:r>
      <w:r>
        <w:rPr>
          <w:rFonts w:ascii="Times New Roman" w:hAnsi="Times New Roman" w:eastAsia="Times New Roman" w:cs="Times New Roman"/>
        </w:rPr>
        <w:t xml:space="preserve"> </w:t>
      </w:r>
      <w:r>
        <w:rPr>
          <w:rFonts w:ascii="Segoe UI Historic" w:hAnsi="Segoe UI Historic" w:eastAsia="Segoe UI Historic" w:cs="Segoe UI Historic"/>
        </w:rPr>
        <w:t>ܠܡܡܠܟܘ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ܟܗܢܐ</w:t>
      </w:r>
      <w:r>
        <w:rPr>
          <w:rFonts w:ascii="Times New Roman" w:hAnsi="Times New Roman" w:eastAsia="Times New Roman" w:cs="Times New Roman"/>
        </w:rPr>
        <w:t xml:space="preserve">، </w:t>
      </w:r>
      <w:r>
        <w:rPr>
          <w:rFonts w:ascii="Segoe UI Historic" w:hAnsi="Segoe UI Historic" w:eastAsia="Segoe UI Historic" w:cs="Segoe UI Historic"/>
        </w:rPr>
        <w:t>ܘܐܬܩܒܠ</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ܪܘܚܐ</w:t>
      </w:r>
      <w:r>
        <w:rPr>
          <w:rFonts w:ascii="Times New Roman" w:hAnsi="Times New Roman" w:eastAsia="Times New Roman" w:cs="Times New Roman"/>
        </w:rPr>
        <w:t xml:space="preserve"> </w:t>
      </w:r>
      <w:r>
        <w:rPr>
          <w:rFonts w:ascii="Segoe UI Historic" w:hAnsi="Segoe UI Historic" w:eastAsia="Segoe UI Historic" w:cs="Segoe UI Historic"/>
        </w:rPr>
        <w:t>ܕܡܕܢܚܐ</w:t>
      </w:r>
      <w:r>
        <w:rPr>
          <w:rFonts w:ascii="Times New Roman" w:hAnsi="Times New Roman" w:eastAsia="Times New Roman" w:cs="Times New Roman"/>
        </w:rPr>
        <w:t xml:space="preserve"> </w:t>
      </w:r>
      <w:r>
        <w:rPr>
          <w:rFonts w:ascii="Segoe UI Historic" w:hAnsi="Segoe UI Historic" w:eastAsia="Segoe UI Historic" w:cs="Segoe UI Historic"/>
        </w:rPr>
        <w:t>ܕܐܣܠܡ</w:t>
      </w:r>
      <w:r>
        <w:rPr>
          <w:rFonts w:ascii="Times New Roman" w:hAnsi="Times New Roman" w:eastAsia="Times New Roman" w:cs="Times New Roman"/>
        </w:rPr>
        <w:t xml:space="preserve"> </w:t>
      </w:r>
      <w:r>
        <w:rPr>
          <w:rFonts w:ascii="Segoe UI Historic" w:hAnsi="Segoe UI Historic" w:eastAsia="Segoe UI Historic" w:cs="Segoe UI Historic"/>
        </w:rPr>
        <w:t>ܕܡܝܬܝܐ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ܐܘܠܨܢܐ</w:t>
      </w:r>
      <w:r>
        <w:rPr>
          <w:rFonts w:ascii="Times New Roman" w:hAnsi="Times New Roman" w:eastAsia="Times New Roman" w:cs="Times New Roman"/>
        </w:rPr>
        <w:t xml:space="preserve"> </w:t>
      </w:r>
      <w:r>
        <w:rPr>
          <w:rFonts w:ascii="Segoe UI Historic" w:hAnsi="Segoe UI Historic" w:eastAsia="Segoe UI Historic" w:cs="Segoe UI Historic"/>
        </w:rPr>
        <w:t>ܕܡܬܝܬܪ</w:t>
      </w:r>
      <w:r>
        <w:rPr>
          <w:rFonts w:ascii="Times New Roman" w:hAnsi="Times New Roman" w:eastAsia="Times New Roman" w:cs="Times New Roman"/>
        </w:rPr>
        <w:t xml:space="preserve">، </w:t>
      </w:r>
      <w:r>
        <w:rPr>
          <w:rFonts w:ascii="Segoe UI Historic" w:hAnsi="Segoe UI Historic" w:eastAsia="Segoe UI Historic" w:cs="Segoe UI Historic"/>
        </w:rPr>
        <w:t>ܐܝܟܢܐ</w:t>
      </w:r>
      <w:r>
        <w:rPr>
          <w:rFonts w:ascii="Times New Roman" w:hAnsi="Times New Roman" w:eastAsia="Times New Roman" w:cs="Times New Roman"/>
        </w:rPr>
        <w:t xml:space="preserve"> </w:t>
      </w:r>
      <w:r>
        <w:rPr>
          <w:rFonts w:ascii="Segoe UI Historic" w:hAnsi="Segoe UI Historic" w:eastAsia="Segoe UI Historic" w:cs="Segoe UI Historic"/>
        </w:rPr>
        <w:t>ܕܡܨܪܝܢ</w:t>
      </w:r>
      <w:r>
        <w:rPr>
          <w:rFonts w:ascii="Times New Roman" w:hAnsi="Times New Roman" w:eastAsia="Times New Roman" w:cs="Times New Roman"/>
        </w:rPr>
        <w:t xml:space="preserve">، </w:t>
      </w:r>
      <w:r>
        <w:rPr>
          <w:rFonts w:ascii="Segoe UI Historic" w:hAnsi="Segoe UI Historic" w:eastAsia="Segoe UI Historic" w:cs="Segoe UI Historic"/>
        </w:rPr>
        <w:t>ܬܢܝܢܐ</w:t>
      </w:r>
      <w:r>
        <w:rPr>
          <w:rFonts w:ascii="Times New Roman" w:hAnsi="Times New Roman" w:eastAsia="Times New Roman" w:cs="Times New Roman"/>
        </w:rPr>
        <w:t xml:space="preserve"> </w:t>
      </w:r>
      <w:r>
        <w:rPr>
          <w:rFonts w:ascii="Segoe UI Historic" w:hAnsi="Segoe UI Historic" w:eastAsia="Segoe UI Historic" w:cs="Segoe UI Historic"/>
        </w:rPr>
        <w:t>ܕܪܡܐ</w:t>
      </w:r>
      <w:r>
        <w:rPr>
          <w:rFonts w:ascii="Times New Roman" w:hAnsi="Times New Roman" w:eastAsia="Times New Roman" w:cs="Times New Roman"/>
        </w:rPr>
        <w:t xml:space="preserve"> </w:t>
      </w:r>
      <w:r>
        <w:rPr>
          <w:rFonts w:ascii="Segoe UI Historic" w:hAnsi="Segoe UI Historic" w:eastAsia="Segoe UI Historic" w:cs="Segoe UI Historic"/>
        </w:rPr>
        <w:t>ܒܝܡܐ</w:t>
      </w:r>
      <w:r>
        <w:rPr>
          <w:rFonts w:ascii="Times New Roman" w:hAnsi="Times New Roman" w:eastAsia="Times New Roman" w:cs="Times New Roman"/>
        </w:rPr>
        <w:t xml:space="preserve">، </w:t>
      </w:r>
      <w:r>
        <w:rPr>
          <w:rFonts w:ascii="Segoe UI Historic" w:hAnsi="Segoe UI Historic" w:eastAsia="Segoe UI Historic" w:cs="Segoe UI Historic"/>
        </w:rPr>
        <w:t>ܬܦܥܠ</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ܘܒܗܿܝ</w:t>
      </w:r>
      <w:r>
        <w:rPr>
          <w:rFonts w:ascii="Times New Roman" w:hAnsi="Times New Roman" w:eastAsia="Times New Roman" w:cs="Times New Roman"/>
        </w:rPr>
        <w:t xml:space="preserve"> </w:t>
      </w:r>
      <w:r>
        <w:rPr>
          <w:rFonts w:ascii="Segoe UI Historic" w:hAnsi="Segoe UI Historic" w:eastAsia="Segoe UI Historic" w:cs="Segoe UI Historic"/>
        </w:rPr>
        <w:t>ܐܘܠܨܢܐ</w:t>
      </w:r>
      <w:r>
        <w:rPr>
          <w:rFonts w:ascii="Times New Roman" w:hAnsi="Times New Roman" w:eastAsia="Times New Roman" w:cs="Times New Roman"/>
        </w:rPr>
        <w:t xml:space="preserve"> </w:t>
      </w:r>
      <w:r>
        <w:rPr>
          <w:rFonts w:ascii="Segoe UI Historic" w:hAnsi="Segoe UI Historic" w:eastAsia="Segoe UI Historic" w:cs="Segoe UI Historic"/>
        </w:rPr>
        <w:t>ܟܢܫ</w:t>
      </w:r>
      <w:r>
        <w:rPr>
          <w:rFonts w:ascii="Times New Roman" w:hAnsi="Times New Roman" w:eastAsia="Times New Roman" w:cs="Times New Roman"/>
        </w:rPr>
        <w:t xml:space="preserve"> </w:t>
      </w:r>
      <w:r>
        <w:rPr>
          <w:rFonts w:ascii="Segoe UI Historic" w:hAnsi="Segoe UI Historic" w:eastAsia="Segoe UI Historic" w:cs="Segoe UI Historic"/>
        </w:rPr>
        <w:t>ܝܘܣܦ</w:t>
      </w:r>
      <w:r>
        <w:rPr>
          <w:rFonts w:ascii="Times New Roman" w:hAnsi="Times New Roman" w:eastAsia="Times New Roman" w:cs="Times New Roman"/>
        </w:rPr>
        <w:t xml:space="preserve"> </w:t>
      </w:r>
      <w:r>
        <w:rPr>
          <w:rFonts w:ascii="Segoe UI Historic" w:hAnsi="Segoe UI Historic" w:eastAsia="Segoe UI Historic" w:cs="Segoe UI Historic"/>
        </w:rPr>
        <w:t>ܡܐܟܘܠܬܐ</w:t>
      </w:r>
      <w:r>
        <w:rPr>
          <w:rFonts w:ascii="Times New Roman" w:hAnsi="Times New Roman" w:eastAsia="Times New Roman" w:cs="Times New Roman"/>
        </w:rPr>
        <w:t xml:space="preserve"> </w:t>
      </w:r>
      <w:r>
        <w:rPr>
          <w:rFonts w:ascii="Segoe UI Historic" w:hAnsi="Segoe UI Historic" w:eastAsia="Segoe UI Historic" w:cs="Segoe UI Historic"/>
        </w:rPr>
        <w:t>ܠܒܝܬ</w:t>
      </w:r>
      <w:r>
        <w:rPr>
          <w:rFonts w:ascii="Times New Roman" w:hAnsi="Times New Roman" w:eastAsia="Times New Roman" w:cs="Times New Roman"/>
        </w:rPr>
        <w:t xml:space="preserve"> </w:t>
      </w:r>
      <w:r>
        <w:rPr>
          <w:rFonts w:ascii="Segoe UI Historic" w:hAnsi="Segoe UI Historic" w:eastAsia="Segoe UI Historic" w:cs="Segoe UI Historic"/>
        </w:rPr>
        <w:t>ܓܙܐ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julio 2023, wa bɔɔ nne wɔ sare so, na afei Yuda abusuakuw mu Gyata no fii ase yii Anadwo Su no nkrasɛm no ano. Wɔ 2024 mu no, mfitiaseɛ akyi alpha sɔhwɛ no tetew akuw abien mu, na ano-yiyi no kɔɔ so. Afei de, wɔ 2026 mu no, asɔredan no mu omega sɔhwɛ a ɛbɛsan bio atetew akuw abien mu no adu.</w:t>
      </w:r>
    </w:p>
    <w:p>
      <w:pPr>
        <w:pStyle w:val="ArticleBody"/>
        <w:jc w:val="left"/>
      </w:pPr>
      <w:r>
        <w:rPr>
          <w:rFonts w:ascii="Times New Roman" w:hAnsi="Times New Roman" w:eastAsia="Times New Roman" w:cs="Times New Roman"/>
        </w:rPr>
        <w:t>Minggu suci ketika Kristus, sebagai Utusan Perjanjian, meneguhkan perjanjian dengan banyak orang adalah pelataran dan Tempat Kudus. Sejak 22 Oktober 1844 hingga Mikhael berdiri bangkit (sebagaimana Ia lakukan pada akhir minggu suci itu ketika Stefanus dirajam) adalah Tempat Mahakudus. Hari-hari raya musim semi digenapi dalam minggu suci itu, dan merupakan alfa dari hari-hari raya itu; dan hari-hari raya musim gugur, yaitu hari raya sangkakala pada hari pertama, Hari Pendamaian pada hari kesepuluh, dan kemudian hari raya pondok daun dari hari kelima belas sampai hari kedua puluh dua, adalah omega dari hari-hari raya itu.</w:t>
      </w:r>
    </w:p>
    <w:p>
      <w:pPr>
        <w:pStyle w:val="ArticleScripture"/>
        <w:jc w:val="left"/>
      </w:pPr>
      <w:r>
        <w:rPr>
          <w:rFonts w:ascii="Times New Roman" w:hAnsi="Times New Roman" w:eastAsia="Times New Roman" w:cs="Times New Roman"/>
        </w:rPr>
        <w:t>“Ukanxa ñanwa, payïr jutäwimp chikt’at kasta uñacht’äwinakax uñacht’ayata pachaparuw phuqhasipxañapa. Mosaicon saräwipanxa, santuario q’umachañaxa, jan ukax jach’a Juchanak Pampachañ Uruxa, judíonakan paqallqöri phaxsin tunkïri urupana lurasiñänwa (Levítico 16:29–34), ukkhaw jilïr sacerdotexa taqpach Israel markatak pampachäwi lurxasina, ukhamat jupanakan juchanakap santuariota apanukusina, mistusin jaqinakar bendicisïna. Ukhamarakiw creyisipxäna Cristox, jiwasan Jach’a Jilïr Sacerdotesax, oraq q’umachiri mistunini, juchampiru jucharar jaqinakampiru tukjäwimpi, ukat suyt’at markaparux wiñay jakañampi bendicisxani. Paqallqöri phaxsin tunkïri urupa, Jach’a Juchanak Pampachañ Uru, santuario q’umachañ pacha, ukax 1844 maran octubre phaxsin pä tunka payan uruparuw purïna, Tatitun jutañap pachat uñjatäna. Akax nayraqata uñacht’ayata pruebanakampix mä amuyt’äwiruw chikanchasïna, 2300 urunakax otoño pachan tukusiñapawa sasina, ukat uka tukuyäwix janiw jark’añjamäkänti.”</w:t>
      </w:r>
    </w:p>
    <w:p>
      <w:pPr>
        <w:pStyle w:val="ArticleScripture"/>
        <w:jc w:val="left"/>
      </w:pPr>
      <w:r>
        <w:rPr>
          <w:rFonts w:ascii="Times New Roman" w:hAnsi="Times New Roman" w:eastAsia="Times New Roman" w:cs="Times New Roman"/>
        </w:rPr>
        <w:t>«En la parábola de Mateo 25, al tiempo de espera y de sueño le sigue la venida del esposo. Esto estaba en armonía con los argumentos que acababan de presentarse, tanto de la profecía como de los tipos. Llevaban una fuerte convicción de su veracidad; y el “clamor de medianoche” fue proclamado por miles de creyentes.</w:t>
      </w:r>
    </w:p>
    <w:p>
      <w:pPr>
        <w:pStyle w:val="ArticleScripture"/>
        <w:jc w:val="left"/>
      </w:pPr>
      <w:r>
        <w:rPr>
          <w:rFonts w:ascii="Times New Roman" w:hAnsi="Times New Roman" w:eastAsia="Times New Roman" w:cs="Times New Roman"/>
        </w:rPr>
        <w:t>«دەریا شەپۆلێکی گەورە وەک خۆی، ئەو بزووتنەوەیە بەسەر خاکەکەدا تێپەڕی. لە شارەوە بۆ شار، لە گوندەوە بۆ گوند، و بۆ شوێنە دوورەکانی ناوچەی دەشتایییش گەیشت، هەتا ئەوەی گەلی چاوەڕوانی خودا بە تەواوی هەستاندران. شێتایەتی لەبەردەم ئەم ڕاگەیاندنەدا وەک بەهاری پێش هەڵهاتنی خۆر ون بوو. باوەڕداران بینیان کە گومان و سەرلێشێواویان لێ دوورخرایەوە، و هیوە و ئازایەتی دڵەکانیانیان بە ژیان هێنا. ئەو کارە بەدواچەوەی ئەو لاواز و توندڕەویانە نەبوو کە هەمیشە دەردەکەون کاتێک هەستە مرۆییەکان هەبن بەبێ کاریگەریی ڕێکخەر و دەسەڵاتداری وشە و ڕۆحی خودا. لە خاسیەتدا هاوشێوەی ئەو وەرزانەی شکانەوەی دڵ و گەڕانەوە بۆ لای پەروەردگار بوو کە لەنێو ئیسرائیلی کۆندا دوای پەیامەکانی سەرزەنشت لەلایەن خزمەتکارانییەوە ڕوویدەدا. ئەوە ئەو تایبەتمەندیانەی هەبوو کە کاری خودا لە هەموو سەردەمێکدا نیشانی دەدەن. شادییەکی سەرخۆشانە زۆر کەم بوو، بەڵکو زۆرتر پشکنینی قووڵی دڵ، دانپێدانانی گوناه، و وازهێنان لە جیهان هەبوو. ئامادەبوون بۆ پێشوازی لە پەروەردگار بارگرانیی ڕۆحە پڕ لە ئازارەکان بوو. نوێژکردنی بەردەوام و تەرخانکردنی بێ سنووری خۆ بۆ خودا هەبوو.» The Great Controversy, 400.</w:t>
      </w:r>
    </w:p>
    <w:p>
      <w:pPr>
        <w:pStyle w:val="ArticleBody"/>
        <w:jc w:val="left"/>
      </w:pPr>
      <w:r>
        <w:rPr>
          <w:rFonts w:ascii="Times New Roman" w:hAnsi="Times New Roman" w:eastAsia="Times New Roman" w:cs="Times New Roman"/>
        </w:rPr>
        <w:t>Amanew asadu feasts kye wɔde wɔn ho hyɛɛ mu wɔ dapɛn kronkron no mu, na wɔhwiee osutɔ a edi kan anaa alpha no guu so wɔ Pentekoste mu; enti eyi yɛɛ sɛnkyerɛnne ma osutɔ a etwa to, latter rain no, a wɔbɛhwie agu wɔ ahuhudeɛ feasts no mu. Wɔde amanew asadu feasts no too gua wɔ Leviticus 23, nkyekyɛm 1 kosi 22 mu. Ahuhudeɛ feasts no wɔ nkyekyɛm 23 kosi 44 mu. Mfe 2300 de wo kɔ 1844. Nkyekyɛm aduonu abien ma amanew asadu feasts no, na nkyekyɛm aduonu abien nso ma ahuhudeɛ feasts no. Nnwuma mmienu a emu biara yɛ aduonu abien wɔ ti 23 no mu.</w:t>
      </w:r>
    </w:p>
    <w:p>
      <w:pPr>
        <w:pStyle w:val="ArticleBody"/>
        <w:jc w:val="left"/>
      </w:pPr>
      <w:r>
        <w:rPr>
          <w:rFonts w:ascii="Times New Roman" w:hAnsi="Times New Roman" w:eastAsia="Times New Roman" w:cs="Times New Roman"/>
        </w:rPr>
        <w:t>Pistaʼ trumpetaani mantta gumaaqqiinsi kudhan guyyaa keessatti akka dhufu akeekkachiisa ture; pistaʼ daasiwwanii immoo cubbuun Guyyaa Araaraatti dhiifameef gammachuu kabajuu ture. Sanbanni fi guyyaan saddeettaffaan ayyaanicha boodaa boqonnaa Sanbata waggaa kuma tokkoo lafa irraa bakka buʼu.</w:t>
      </w:r>
    </w:p>
    <w:p>
      <w:pPr>
        <w:pStyle w:val="ArticleScripture"/>
        <w:jc w:val="left"/>
      </w:pP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ወዳጆች</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እንዳትረሱ፤</w:t>
      </w:r>
      <w:r>
        <w:rPr>
          <w:rFonts w:ascii="Times New Roman" w:hAnsi="Times New Roman" w:eastAsia="Times New Roman" w:cs="Times New Roman"/>
        </w:rPr>
        <w:t xml:space="preserve"> </w:t>
      </w:r>
      <w:r>
        <w:rPr>
          <w:rFonts w:ascii="Ebrima" w:hAnsi="Ebrima" w:eastAsia="Ebrima" w:cs="Ebrima"/>
        </w:rPr>
        <w:t>ከጌታ</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ዓመትም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2 </w:t>
      </w:r>
      <w:r>
        <w:rPr>
          <w:rFonts w:ascii="Ebrima" w:hAnsi="Ebrima" w:eastAsia="Ebrima" w:cs="Ebrima"/>
        </w:rPr>
        <w:t>ጴጥሮስ</w:t>
      </w:r>
      <w:r>
        <w:rPr>
          <w:rFonts w:ascii="Times New Roman" w:hAnsi="Times New Roman" w:eastAsia="Times New Roman" w:cs="Times New Roman"/>
        </w:rPr>
        <w:t xml:space="preserve"> 3</w:t>
      </w:r>
      <w:r>
        <w:rPr>
          <w:rFonts w:ascii="Ebrima" w:hAnsi="Ebrima" w:eastAsia="Ebrima" w:cs="Ebrima"/>
        </w:rPr>
        <w:t>፥</w:t>
      </w:r>
      <w:r>
        <w:rPr>
          <w:rFonts w:ascii="Times New Roman" w:hAnsi="Times New Roman" w:eastAsia="Times New Roman" w:cs="Times New Roman"/>
        </w:rPr>
        <w:t>8</w:t>
      </w:r>
    </w:p>
    <w:p>
      <w:pPr>
        <w:pStyle w:val="ArticleBody"/>
        <w:jc w:val="left"/>
      </w:pPr>
      <w:r>
        <w:rPr>
          <w:rFonts w:ascii="Gadugi" w:hAnsi="Gadugi" w:eastAsia="Gadugi" w:cs="Gadugi"/>
        </w:rPr>
        <w:t>ᎤᏓᏲᎴ</w:t>
      </w:r>
      <w:r>
        <w:rPr>
          <w:rFonts w:ascii="Times New Roman" w:hAnsi="Times New Roman" w:eastAsia="Times New Roman" w:cs="Times New Roman"/>
        </w:rPr>
        <w:t xml:space="preserve"> </w:t>
      </w:r>
      <w:r>
        <w:rPr>
          <w:rFonts w:ascii="Gadugi" w:hAnsi="Gadugi" w:eastAsia="Gadugi" w:cs="Gadugi"/>
        </w:rPr>
        <w:t>ᎠᏂᏟᎶᏍᏔᏅ</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ᎤᏓᎴᎲ</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ᎠᏂᏍᎪᎸᏙᏗ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1798,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ᏕᏂᏲᎵ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ᏗᏤᎳᏍᏗ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August 11, 1840, 1798 </w:t>
      </w:r>
      <w:r>
        <w:rPr>
          <w:rFonts w:ascii="Gadugi" w:hAnsi="Gadugi" w:eastAsia="Gadugi" w:cs="Gadugi"/>
        </w:rPr>
        <w:t>ᎤᎬᏩᎶᏒ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ᎠᏓᏴᎵᏨ</w:t>
      </w:r>
      <w:r>
        <w:rPr>
          <w:rFonts w:ascii="Times New Roman" w:hAnsi="Times New Roman" w:eastAsia="Times New Roman" w:cs="Times New Roman"/>
        </w:rPr>
        <w:t xml:space="preserve"> </w:t>
      </w:r>
      <w:r>
        <w:rPr>
          <w:rFonts w:ascii="Gadugi" w:hAnsi="Gadugi" w:eastAsia="Gadugi" w:cs="Gadugi"/>
        </w:rPr>
        <w:t>ᎠᏂᏟᎶᏍᏔᏅ</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ᎠᏍᎪᎯᏁᎢ</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ᎠᏓᏑᏰᏗ</w:t>
      </w:r>
      <w:r>
        <w:rPr>
          <w:rFonts w:ascii="Times New Roman" w:hAnsi="Times New Roman" w:eastAsia="Times New Roman" w:cs="Times New Roman"/>
        </w:rPr>
        <w:t xml:space="preserve"> </w:t>
      </w:r>
      <w:r>
        <w:rPr>
          <w:rFonts w:ascii="Gadugi" w:hAnsi="Gadugi" w:eastAsia="Gadugi" w:cs="Gadugi"/>
        </w:rPr>
        <w:t>ᎤᎵᏍᏔᏂᏙᎯ</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ᏗᏤᎳᏍᏗ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ᏥᎦᏃᎮᎭ</w:t>
      </w:r>
      <w:r>
        <w:rPr>
          <w:rFonts w:ascii="Times New Roman" w:hAnsi="Times New Roman" w:eastAsia="Times New Roman" w:cs="Times New Roman"/>
        </w:rPr>
        <w:t xml:space="preserve">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ᎠᏂᏍᎪᎸᏙᏗ</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គ្រប់អ្នកដែលស្ម័គ្រចិត្តមើលឃើញ</w:t>
      </w:r>
      <w:r>
        <w:rPr>
          <w:rFonts w:ascii="Times New Roman" w:hAnsi="Times New Roman" w:eastAsia="Times New Roman" w:cs="Times New Roman"/>
        </w:rPr>
        <w:t xml:space="preserve"> </w:t>
      </w:r>
      <w:r>
        <w:rPr>
          <w:rFonts w:ascii="Leelawadee UI" w:hAnsi="Leelawadee UI" w:eastAsia="Leelawadee UI" w:cs="Leelawadee UI"/>
        </w:rPr>
        <w:t>ពិធីបុណ្យរដូវស្លឹកឈើជ្រុះ</w:t>
      </w:r>
      <w:r>
        <w:rPr>
          <w:rFonts w:ascii="Times New Roman" w:hAnsi="Times New Roman" w:eastAsia="Times New Roman" w:cs="Times New Roman"/>
        </w:rPr>
        <w:t xml:space="preserve"> </w:t>
      </w:r>
      <w:r>
        <w:rPr>
          <w:rFonts w:ascii="Leelawadee UI" w:hAnsi="Leelawadee UI" w:eastAsia="Leelawadee UI" w:cs="Leelawadee UI"/>
        </w:rPr>
        <w:t>គឺពិធីត្រែ</w:t>
      </w:r>
      <w:r>
        <w:rPr>
          <w:rFonts w:ascii="Times New Roman" w:hAnsi="Times New Roman" w:eastAsia="Times New Roman" w:cs="Times New Roman"/>
        </w:rPr>
        <w:t xml:space="preserve"> </w:t>
      </w:r>
      <w:r>
        <w:rPr>
          <w:rFonts w:ascii="Leelawadee UI" w:hAnsi="Leelawadee UI" w:eastAsia="Leelawadee UI" w:cs="Leelawadee UI"/>
        </w:rPr>
        <w:t>និងពិធីបុណ្យត្រសាល</w:t>
      </w:r>
      <w:r>
        <w:rPr>
          <w:rFonts w:ascii="Times New Roman" w:hAnsi="Times New Roman" w:eastAsia="Times New Roman" w:cs="Times New Roman"/>
        </w:rPr>
        <w:t xml:space="preserve"> </w:t>
      </w:r>
      <w:r>
        <w:rPr>
          <w:rFonts w:ascii="Leelawadee UI" w:hAnsi="Leelawadee UI" w:eastAsia="Leelawadee UI" w:cs="Leelawadee UI"/>
        </w:rPr>
        <w:t>តំណាងឲ្យពិធីបុណ្យអាល់ហ្វា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ដោយមានការជំនុំជម្រះនៅកណ្ដាល។</w:t>
      </w:r>
      <w:r>
        <w:rPr>
          <w:rFonts w:ascii="Times New Roman" w:hAnsi="Times New Roman" w:eastAsia="Times New Roman" w:cs="Times New Roman"/>
        </w:rPr>
        <w:t xml:space="preserve"> </w:t>
      </w:r>
      <w:r>
        <w:rPr>
          <w:rFonts w:ascii="Leelawadee UI" w:hAnsi="Leelawadee UI" w:eastAsia="Leelawadee UI" w:cs="Leelawadee UI"/>
        </w:rPr>
        <w:t>មិនមែនជាការចៃដន្យទេ</w:t>
      </w:r>
      <w:r>
        <w:rPr>
          <w:rFonts w:ascii="Times New Roman" w:hAnsi="Times New Roman" w:eastAsia="Times New Roman" w:cs="Times New Roman"/>
        </w:rPr>
        <w:t xml:space="preserve"> </w:t>
      </w:r>
      <w:r>
        <w:rPr>
          <w:rFonts w:ascii="Leelawadee UI" w:hAnsi="Leelawadee UI" w:eastAsia="Leelawadee UI" w:cs="Leelawadee UI"/>
        </w:rPr>
        <w:t>ដែលពិធីបុណ្យទាំងនេះត្រូវបានកំណត់សម្គាល់នៅក្នុង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ជំពូកម្ភៃបី។</w:t>
      </w:r>
      <w:r>
        <w:rPr>
          <w:rFonts w:ascii="Times New Roman" w:hAnsi="Times New Roman" w:eastAsia="Times New Roman" w:cs="Times New Roman"/>
        </w:rPr>
        <w:t xml:space="preserve"> </w:t>
      </w:r>
      <w:r>
        <w:rPr>
          <w:rFonts w:ascii="Leelawadee UI" w:hAnsi="Leelawadee UI" w:eastAsia="Leelawadee UI" w:cs="Leelawadee UI"/>
        </w:rPr>
        <w:t>លេខម្ភៃបី</w:t>
      </w:r>
      <w:r>
        <w:rPr>
          <w:rFonts w:ascii="Times New Roman" w:hAnsi="Times New Roman" w:eastAsia="Times New Roman" w:cs="Times New Roman"/>
        </w:rPr>
        <w:t xml:space="preserve"> </w:t>
      </w:r>
      <w:r>
        <w:rPr>
          <w:rFonts w:ascii="Leelawadee UI" w:hAnsi="Leelawadee UI" w:eastAsia="Leelawadee UI" w:cs="Leelawadee UI"/>
        </w:rPr>
        <w:t>គឺជានិមិត្តសញ្ញានៃការស្ដារជាដើមវិញ។</w:t>
      </w:r>
      <w:r>
        <w:rPr>
          <w:rFonts w:ascii="Times New Roman" w:hAnsi="Times New Roman" w:eastAsia="Times New Roman" w:cs="Times New Roman"/>
        </w:rPr>
        <w:t xml:space="preserve"> </w:t>
      </w:r>
      <w:r>
        <w:rPr>
          <w:rFonts w:ascii="Leelawadee UI" w:hAnsi="Leelawadee UI" w:eastAsia="Leelawadee UI" w:cs="Leelawadee UI"/>
        </w:rPr>
        <w:t>មិនមែនជាការចៃដន្យទេ</w:t>
      </w:r>
      <w:r>
        <w:rPr>
          <w:rFonts w:ascii="Times New Roman" w:hAnsi="Times New Roman" w:eastAsia="Times New Roman" w:cs="Times New Roman"/>
        </w:rPr>
        <w:t xml:space="preserve"> </w:t>
      </w:r>
      <w:r>
        <w:rPr>
          <w:rFonts w:ascii="Leelawadee UI" w:hAnsi="Leelawadee UI" w:eastAsia="Leelawadee UI" w:cs="Leelawadee UI"/>
        </w:rPr>
        <w:t>ដែលពិធីបុណ្យដំបូងស្ថិតនៅថ្ងៃទីមួយ</w:t>
      </w:r>
      <w:r>
        <w:rPr>
          <w:rFonts w:ascii="Times New Roman" w:hAnsi="Times New Roman" w:eastAsia="Times New Roman" w:cs="Times New Roman"/>
        </w:rPr>
        <w:t xml:space="preserve"> </w:t>
      </w:r>
      <w:r>
        <w:rPr>
          <w:rFonts w:ascii="Leelawadee UI" w:hAnsi="Leelawadee UI" w:eastAsia="Leelawadee UI" w:cs="Leelawadee UI"/>
        </w:rPr>
        <w:t>នៃខែទីប្រាំពីរ</w:t>
      </w:r>
      <w:r>
        <w:rPr>
          <w:rFonts w:ascii="Times New Roman" w:hAnsi="Times New Roman" w:eastAsia="Times New Roman" w:cs="Times New Roman"/>
        </w:rPr>
        <w:t xml:space="preserve"> </w:t>
      </w:r>
      <w:r>
        <w:rPr>
          <w:rFonts w:ascii="Leelawadee UI" w:hAnsi="Leelawadee UI" w:eastAsia="Leelawadee UI" w:cs="Leelawadee UI"/>
        </w:rPr>
        <w:t>ហើយពិធីបុណ្យចុងក្រោយបញ្ចប់នៅថ្ងៃទីម្ភៃពីរ។</w:t>
      </w:r>
      <w:r>
        <w:rPr>
          <w:rFonts w:ascii="Times New Roman" w:hAnsi="Times New Roman" w:eastAsia="Times New Roman" w:cs="Times New Roman"/>
        </w:rPr>
        <w:t xml:space="preserve"> </w:t>
      </w:r>
      <w:r>
        <w:rPr>
          <w:rFonts w:ascii="Leelawadee UI" w:hAnsi="Leelawadee UI" w:eastAsia="Leelawadee UI" w:cs="Leelawadee UI"/>
        </w:rPr>
        <w:t>ពិធីបុណ្យត្រែ</w:t>
      </w:r>
      <w:r>
        <w:rPr>
          <w:rFonts w:ascii="Times New Roman" w:hAnsi="Times New Roman" w:eastAsia="Times New Roman" w:cs="Times New Roman"/>
        </w:rPr>
        <w:t xml:space="preserve"> </w:t>
      </w:r>
      <w:r>
        <w:rPr>
          <w:rFonts w:ascii="Leelawadee UI" w:hAnsi="Leelawadee UI" w:eastAsia="Leelawadee UI" w:cs="Leelawadee UI"/>
        </w:rPr>
        <w:t>គឺជាអក្សរទីមួយនៃអក្ខរក្រមហេប្រឺ</w:t>
      </w:r>
      <w:r>
        <w:rPr>
          <w:rFonts w:ascii="Times New Roman" w:hAnsi="Times New Roman" w:eastAsia="Times New Roman" w:cs="Times New Roman"/>
        </w:rPr>
        <w:t xml:space="preserve"> </w:t>
      </w:r>
      <w:r>
        <w:rPr>
          <w:rFonts w:ascii="Leelawadee UI" w:hAnsi="Leelawadee UI" w:eastAsia="Leelawadee UI" w:cs="Leelawadee UI"/>
        </w:rPr>
        <w:t>ថ្ងៃនៃការស្ដារជាដើមវិញ</w:t>
      </w:r>
      <w:r>
        <w:rPr>
          <w:rFonts w:ascii="Times New Roman" w:hAnsi="Times New Roman" w:eastAsia="Times New Roman" w:cs="Times New Roman"/>
        </w:rPr>
        <w:t xml:space="preserve"> </w:t>
      </w:r>
      <w:r>
        <w:rPr>
          <w:rFonts w:ascii="Leelawadee UI" w:hAnsi="Leelawadee UI" w:eastAsia="Leelawadee UI" w:cs="Leelawadee UI"/>
        </w:rPr>
        <w:t>គឺជាអក្សរកណ្ដាល</w:t>
      </w:r>
      <w:r>
        <w:rPr>
          <w:rFonts w:ascii="Times New Roman" w:hAnsi="Times New Roman" w:eastAsia="Times New Roman" w:cs="Times New Roman"/>
        </w:rPr>
        <w:t xml:space="preserve"> </w:t>
      </w:r>
      <w:r>
        <w:rPr>
          <w:rFonts w:ascii="Leelawadee UI" w:hAnsi="Leelawadee UI" w:eastAsia="Leelawadee UI" w:cs="Leelawadee UI"/>
        </w:rPr>
        <w:t>ហើយពិធីបុណ្យត្រសាល</w:t>
      </w:r>
      <w:r>
        <w:rPr>
          <w:rFonts w:ascii="Times New Roman" w:hAnsi="Times New Roman" w:eastAsia="Times New Roman" w:cs="Times New Roman"/>
        </w:rPr>
        <w:t xml:space="preserve"> </w:t>
      </w:r>
      <w:r>
        <w:rPr>
          <w:rFonts w:ascii="Leelawadee UI" w:hAnsi="Leelawadee UI" w:eastAsia="Leelawadee UI" w:cs="Leelawadee UI"/>
        </w:rPr>
        <w:t>គឺជាអក្សរទីម្ភៃពីរ</w:t>
      </w:r>
      <w:r>
        <w:rPr>
          <w:rFonts w:ascii="Times New Roman" w:hAnsi="Times New Roman" w:eastAsia="Times New Roman" w:cs="Times New Roman"/>
        </w:rPr>
        <w:t xml:space="preserve"> </w:t>
      </w:r>
      <w:r>
        <w:rPr>
          <w:rFonts w:ascii="Leelawadee UI" w:hAnsi="Leelawadee UI" w:eastAsia="Leelawadee UI" w:cs="Leelawadee UI"/>
        </w:rPr>
        <w:t>នៃអក្ខរក្រមហេប្រឺ។</w:t>
      </w:r>
    </w:p>
    <w:p>
      <w:pPr>
        <w:pStyle w:val="ArticleBody"/>
        <w:jc w:val="left"/>
      </w:pPr>
      <w:r>
        <w:rPr>
          <w:rFonts w:ascii="Times New Roman" w:hAnsi="Times New Roman" w:eastAsia="Times New Roman" w:cs="Times New Roman"/>
        </w:rPr>
        <w:t>Kapítulo beynte y trés, bersíkulo 23 asta 44 de Levitiko son beynte i dos bersíkulos puéstos endientro del “marko de la berdad”. El dezmo día en el meyo endika una pruéba, porke diez es símbolo de pruéba, i el día de la Expiación es onde la rebelión de los perdidos es registrada i resolbida, i esta rebelión es representada por la dezentresena letra del alfabeto ebreo. La letra de en medio de la palabra ebraika para berdad es la dezentresena, i se alínea kon el dezmo día del séptimo mez, i komo mojón, posee los atributtos profétikos del alfabeto ebreo i del día espesífiko. Diez más treze son beynte i trés. Setenta es la suma de 10 por 7, i el dezmo día del séptimo mez tanbién ekibale a setenta, lo kual es un símbolo del fin del tiempo de grácia.</w:t>
      </w:r>
    </w:p>
    <w:p>
      <w:pPr>
        <w:pStyle w:val="ArticleScripture"/>
        <w:jc w:val="left"/>
      </w:pPr>
      <w:r>
        <w:rPr>
          <w:rFonts w:ascii="Myanmar Text" w:hAnsi="Myanmar Text" w:eastAsia="Myanmar Text" w:cs="Myanmar Text"/>
        </w:rPr>
        <w:t>အဲဒီအခါ</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ကိုယ်တော်ထံသို့လာ၍၊</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ငါ့ညီအစ်ကိုသည်</w:t>
      </w:r>
      <w:r>
        <w:rPr>
          <w:rFonts w:ascii="Times New Roman" w:hAnsi="Times New Roman" w:eastAsia="Times New Roman" w:cs="Times New Roman"/>
        </w:rPr>
        <w:t xml:space="preserve"> </w:t>
      </w:r>
      <w:r>
        <w:rPr>
          <w:rFonts w:ascii="Myanmar Text" w:hAnsi="Myanmar Text" w:eastAsia="Myanmar Text" w:cs="Myanmar Text"/>
        </w:rPr>
        <w:t>ငါ့ကိုပြစ်မှားလျှင်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အကြိမ်မည်မျှ</w:t>
      </w:r>
      <w:r>
        <w:rPr>
          <w:rFonts w:ascii="Times New Roman" w:hAnsi="Times New Roman" w:eastAsia="Times New Roman" w:cs="Times New Roman"/>
        </w:rPr>
        <w:t xml:space="preserve"> </w:t>
      </w:r>
      <w:r>
        <w:rPr>
          <w:rFonts w:ascii="Myanmar Text" w:hAnsi="Myanmar Text" w:eastAsia="Myanmar Text" w:cs="Myanmar Text"/>
        </w:rPr>
        <w:t>ခွင့်လွှတ်ရမည်နည်း။</w:t>
      </w:r>
      <w:r>
        <w:rPr>
          <w:rFonts w:ascii="Times New Roman" w:hAnsi="Times New Roman" w:eastAsia="Times New Roman" w:cs="Times New Roman"/>
        </w:rPr>
        <w:t xml:space="preserve"> </w:t>
      </w:r>
      <w:r>
        <w:rPr>
          <w:rFonts w:ascii="Myanmar Text" w:hAnsi="Myanmar Text" w:eastAsia="Myanmar Text" w:cs="Myanmar Text"/>
        </w:rPr>
        <w:t>ခုနစ်ကြိမ်တိုင်အောင်လော</w:t>
      </w:r>
      <w:r>
        <w:rPr>
          <w:rFonts w:ascii="Times New Roman" w:hAnsi="Times New Roman" w:eastAsia="Times New Roman" w:cs="Times New Roman"/>
        </w:rPr>
        <w:t xml:space="preserve">” </w:t>
      </w:r>
      <w:r>
        <w:rPr>
          <w:rFonts w:ascii="Myanmar Text" w:hAnsi="Myanmar Text" w:eastAsia="Myanmar Text" w:cs="Myanmar Text"/>
        </w:rPr>
        <w:t>ဟုလျှောက်၏။</w:t>
      </w:r>
      <w:r>
        <w:rPr>
          <w:rFonts w:ascii="Times New Roman" w:hAnsi="Times New Roman" w:eastAsia="Times New Roman" w:cs="Times New Roman"/>
        </w:rPr>
        <w:t xml:space="preserve"> </w:t>
      </w:r>
      <w:r>
        <w:rPr>
          <w:rFonts w:ascii="Myanmar Text" w:hAnsi="Myanmar Text" w:eastAsia="Myanmar Text" w:cs="Myanmar Text"/>
        </w:rPr>
        <w:t>ယေရှုကလည်း၊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ခုနစ်ကြိမ်တိုင်အောင်ဟု</w:t>
      </w:r>
      <w:r>
        <w:rPr>
          <w:rFonts w:ascii="Times New Roman" w:hAnsi="Times New Roman" w:eastAsia="Times New Roman" w:cs="Times New Roman"/>
        </w:rPr>
        <w:t xml:space="preserve"> </w:t>
      </w:r>
      <w:r>
        <w:rPr>
          <w:rFonts w:ascii="Myanmar Text" w:hAnsi="Myanmar Text" w:eastAsia="Myanmar Text" w:cs="Myanmar Text"/>
        </w:rPr>
        <w:t>မဆို။</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ခုနစ်ဆယ်မြှောက်၍</w:t>
      </w:r>
      <w:r>
        <w:rPr>
          <w:rFonts w:ascii="Times New Roman" w:hAnsi="Times New Roman" w:eastAsia="Times New Roman" w:cs="Times New Roman"/>
        </w:rPr>
        <w:t xml:space="preserve"> </w:t>
      </w:r>
      <w:r>
        <w:rPr>
          <w:rFonts w:ascii="Myanmar Text" w:hAnsi="Myanmar Text" w:eastAsia="Myanmar Text" w:cs="Myanmar Text"/>
        </w:rPr>
        <w:t>ခုနစ်ကြိမ်တိုင်အောင်ဟူ၍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ဟုမိန့်တော်မူ၏။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18:21, 22.</w:t>
      </w:r>
    </w:p>
    <w:p>
      <w:pPr>
        <w:pStyle w:val="ArticleBody"/>
        <w:jc w:val="left"/>
      </w:pPr>
      <w:r>
        <w:rPr>
          <w:rFonts w:ascii="Times New Roman" w:hAnsi="Times New Roman" w:eastAsia="Times New Roman" w:cs="Times New Roman"/>
        </w:rPr>
        <w:t>Төрт жүз тоқсан жыл ежелгі Исраил үшін кесіліп белгіленді. Бұл жылдар екі мың үш жүз жылдан кесіліп алынды және жетпіс апта ретінде бейнеленді; осылайша Иса сынақ мерзімінің шегі төрт жүз тоқсан жыл екенін, оның Даниялдың тоғызыншы тарауында «жетпіс» апта арқылы көрсетілгенін айқындады.</w:t>
      </w:r>
    </w:p>
    <w:p>
      <w:pPr>
        <w:pStyle w:val="ArticleScripture"/>
        <w:jc w:val="left"/>
      </w:pPr>
      <w:r>
        <w:rPr>
          <w:rFonts w:ascii="Myanmar Text" w:hAnsi="Myanmar Text" w:eastAsia="Myanmar Text" w:cs="Myanmar Text"/>
        </w:rPr>
        <w:t>ဧကန်ပင်</w:t>
      </w:r>
      <w:r>
        <w:rPr>
          <w:rFonts w:ascii="Times New Roman" w:hAnsi="Times New Roman" w:eastAsia="Times New Roman" w:cs="Times New Roman"/>
        </w:rPr>
        <w:t xml:space="preserve"> </w:t>
      </w:r>
      <w:r>
        <w:rPr>
          <w:rFonts w:ascii="Myanmar Text" w:hAnsi="Myanmar Text" w:eastAsia="Myanmar Text" w:cs="Myanmar Text"/>
        </w:rPr>
        <w:t>သင်၏လူမျိုးနှင့်</w:t>
      </w:r>
      <w:r>
        <w:rPr>
          <w:rFonts w:ascii="Times New Roman" w:hAnsi="Times New Roman" w:eastAsia="Times New Roman" w:cs="Times New Roman"/>
        </w:rPr>
        <w:t xml:space="preserve"> </w:t>
      </w:r>
      <w:r>
        <w:rPr>
          <w:rFonts w:ascii="Myanmar Text" w:hAnsi="Myanmar Text" w:eastAsia="Myanmar Text" w:cs="Myanmar Text"/>
        </w:rPr>
        <w:t>သင်၏သန့်ရှင်းသောမြို့အပေါ်၌</w:t>
      </w:r>
      <w:r>
        <w:rPr>
          <w:rFonts w:ascii="Times New Roman" w:hAnsi="Times New Roman" w:eastAsia="Times New Roman" w:cs="Times New Roman"/>
        </w:rPr>
        <w:t xml:space="preserve"> </w:t>
      </w:r>
      <w:r>
        <w:rPr>
          <w:rFonts w:ascii="Myanmar Text" w:hAnsi="Myanmar Text" w:eastAsia="Myanmar Text" w:cs="Myanmar Text"/>
        </w:rPr>
        <w:t>သီတင်းပတ်</w:t>
      </w:r>
      <w:r>
        <w:rPr>
          <w:rFonts w:ascii="Times New Roman" w:hAnsi="Times New Roman" w:eastAsia="Times New Roman" w:cs="Times New Roman"/>
        </w:rPr>
        <w:t xml:space="preserve"> </w:t>
      </w:r>
      <w:r>
        <w:rPr>
          <w:rFonts w:ascii="Myanmar Text" w:hAnsi="Myanmar Text" w:eastAsia="Myanmar Text" w:cs="Myanmar Text"/>
        </w:rPr>
        <w:t>ခုနစ်ဆယ်ကို</w:t>
      </w:r>
      <w:r>
        <w:rPr>
          <w:rFonts w:ascii="Times New Roman" w:hAnsi="Times New Roman" w:eastAsia="Times New Roman" w:cs="Times New Roman"/>
        </w:rPr>
        <w:t xml:space="preserve"> </w:t>
      </w:r>
      <w:r>
        <w:rPr>
          <w:rFonts w:ascii="Myanmar Text" w:hAnsi="Myanmar Text" w:eastAsia="Myanmar Text" w:cs="Myanmar Text"/>
        </w:rPr>
        <w:t>သတ်မှတ်ထား၏။</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လွန်ကျူးခြင်းကို</w:t>
      </w:r>
      <w:r>
        <w:rPr>
          <w:rFonts w:ascii="Times New Roman" w:hAnsi="Times New Roman" w:eastAsia="Times New Roman" w:cs="Times New Roman"/>
        </w:rPr>
        <w:t xml:space="preserve"> </w:t>
      </w:r>
      <w:r>
        <w:rPr>
          <w:rFonts w:ascii="Myanmar Text" w:hAnsi="Myanmar Text" w:eastAsia="Myanmar Text" w:cs="Myanmar Text"/>
        </w:rPr>
        <w:t>အဆုံးသတ်စေခြင်းငှာလည်းကောင်း၊</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ချုပ်ငြိမ်းစေခြင်းငှာလည်းကောင်း၊</w:t>
      </w:r>
      <w:r>
        <w:rPr>
          <w:rFonts w:ascii="Times New Roman" w:hAnsi="Times New Roman" w:eastAsia="Times New Roman" w:cs="Times New Roman"/>
        </w:rPr>
        <w:t xml:space="preserve"> </w:t>
      </w:r>
      <w:r>
        <w:rPr>
          <w:rFonts w:ascii="Myanmar Text" w:hAnsi="Myanmar Text" w:eastAsia="Myanmar Text" w:cs="Myanmar Text"/>
        </w:rPr>
        <w:t>ဒုစရိုက်အပြစ်အတွက်</w:t>
      </w:r>
      <w:r>
        <w:rPr>
          <w:rFonts w:ascii="Times New Roman" w:hAnsi="Times New Roman" w:eastAsia="Times New Roman" w:cs="Times New Roman"/>
        </w:rPr>
        <w:t xml:space="preserve"> </w:t>
      </w:r>
      <w:r>
        <w:rPr>
          <w:rFonts w:ascii="Myanmar Text" w:hAnsi="Myanmar Text" w:eastAsia="Myanmar Text" w:cs="Myanmar Text"/>
        </w:rPr>
        <w:t>ပြေလည်ခြင်းကို</w:t>
      </w:r>
      <w:r>
        <w:rPr>
          <w:rFonts w:ascii="Times New Roman" w:hAnsi="Times New Roman" w:eastAsia="Times New Roman" w:cs="Times New Roman"/>
        </w:rPr>
        <w:t xml:space="preserve"> </w:t>
      </w:r>
      <w:r>
        <w:rPr>
          <w:rFonts w:ascii="Myanmar Text" w:hAnsi="Myanmar Text" w:eastAsia="Myanmar Text" w:cs="Myanmar Text"/>
        </w:rPr>
        <w:t>ပြုစေခြင်းငှာလည်းကောင်း၊</w:t>
      </w:r>
      <w:r>
        <w:rPr>
          <w:rFonts w:ascii="Times New Roman" w:hAnsi="Times New Roman" w:eastAsia="Times New Roman" w:cs="Times New Roman"/>
        </w:rPr>
        <w:t xml:space="preserve"> </w:t>
      </w:r>
      <w:r>
        <w:rPr>
          <w:rFonts w:ascii="Myanmar Text" w:hAnsi="Myanmar Text" w:eastAsia="Myanmar Text" w:cs="Myanmar Text"/>
        </w:rPr>
        <w:t>ထာဝရဖြောင့်မတ်ခြင်းကို</w:t>
      </w:r>
      <w:r>
        <w:rPr>
          <w:rFonts w:ascii="Times New Roman" w:hAnsi="Times New Roman" w:eastAsia="Times New Roman" w:cs="Times New Roman"/>
        </w:rPr>
        <w:t xml:space="preserve"> </w:t>
      </w:r>
      <w:r>
        <w:rPr>
          <w:rFonts w:ascii="Myanmar Text" w:hAnsi="Myanmar Text" w:eastAsia="Myanmar Text" w:cs="Myanmar Text"/>
        </w:rPr>
        <w:t>ဆောင်ကြဉ်းစေခြင်းငှာလည်းကောင်း၊</w:t>
      </w:r>
      <w:r>
        <w:rPr>
          <w:rFonts w:ascii="Times New Roman" w:hAnsi="Times New Roman" w:eastAsia="Times New Roman" w:cs="Times New Roman"/>
        </w:rPr>
        <w:t xml:space="preserve"> </w:t>
      </w:r>
      <w:r>
        <w:rPr>
          <w:rFonts w:ascii="Myanmar Text" w:hAnsi="Myanmar Text" w:eastAsia="Myanmar Text" w:cs="Myanmar Text"/>
        </w:rPr>
        <w:t>ရူပါရုံနှင့်</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တံဆိပ်ခတ်စေခြင်းငှာလည်းကောင်း၊</w:t>
      </w:r>
      <w:r>
        <w:rPr>
          <w:rFonts w:ascii="Times New Roman" w:hAnsi="Times New Roman" w:eastAsia="Times New Roman" w:cs="Times New Roman"/>
        </w:rPr>
        <w:t xml:space="preserve"> </w:t>
      </w:r>
      <w:r>
        <w:rPr>
          <w:rFonts w:ascii="Myanmar Text" w:hAnsi="Myanmar Text" w:eastAsia="Myanmar Text" w:cs="Myanmar Text"/>
        </w:rPr>
        <w:t>အလွန်သန့်ရှင်းတော်မူသောအရာကို</w:t>
      </w:r>
      <w:r>
        <w:rPr>
          <w:rFonts w:ascii="Times New Roman" w:hAnsi="Times New Roman" w:eastAsia="Times New Roman" w:cs="Times New Roman"/>
        </w:rPr>
        <w:t xml:space="preserve"> </w:t>
      </w:r>
      <w:r>
        <w:rPr>
          <w:rFonts w:ascii="Myanmar Text" w:hAnsi="Myanmar Text" w:eastAsia="Myanmar Text" w:cs="Myanmar Text"/>
        </w:rPr>
        <w:t>ဘိသိက်ပေးစေခြင်းငှာလည်းကောင်း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करारमा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आज्ञापित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सामान्यतया</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पन्ध्रमा</w:t>
      </w:r>
      <w:r>
        <w:rPr>
          <w:rFonts w:ascii="Times New Roman" w:hAnsi="Times New Roman" w:eastAsia="Times New Roman" w:cs="Times New Roman"/>
        </w:rPr>
        <w:t xml:space="preserve"> </w:t>
      </w:r>
      <w:r>
        <w:rPr>
          <w:rFonts w:ascii="Nirmala UI" w:hAnsi="Nirmala UI" w:eastAsia="Nirmala UI" w:cs="Nirmala UI"/>
        </w:rPr>
        <w:t>अब्रामले</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चरणमा</w:t>
      </w:r>
      <w:r>
        <w:rPr>
          <w:rFonts w:ascii="Times New Roman" w:hAnsi="Times New Roman" w:eastAsia="Times New Roman" w:cs="Times New Roman"/>
        </w:rPr>
        <w:t xml:space="preserve"> </w:t>
      </w:r>
      <w:r>
        <w:rPr>
          <w:rFonts w:ascii="Nirmala UI" w:hAnsi="Nirmala UI" w:eastAsia="Nirmala UI" w:cs="Nirmala UI"/>
        </w:rPr>
        <w:t>भेटीहरू</w:t>
      </w:r>
      <w:r>
        <w:rPr>
          <w:rFonts w:ascii="Times New Roman" w:hAnsi="Times New Roman" w:eastAsia="Times New Roman" w:cs="Times New Roman"/>
        </w:rPr>
        <w:t xml:space="preserve"> </w:t>
      </w:r>
      <w:r>
        <w:rPr>
          <w:rFonts w:ascii="Nirmala UI" w:hAnsi="Nirmala UI" w:eastAsia="Nirmala UI" w:cs="Nirmala UI"/>
        </w:rPr>
        <w:t>काटेको</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शब्दभन्दा</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हुनबाट</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आज्ञापित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संख्याद्वारा</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संख्याबाट</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दाखमद्य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मुखबाट</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सत्तरीले</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समाप्तिलाई</w:t>
      </w:r>
      <w:r>
        <w:rPr>
          <w:rFonts w:ascii="Times New Roman" w:hAnsi="Times New Roman" w:eastAsia="Times New Roman" w:cs="Times New Roman"/>
        </w:rPr>
        <w:t xml:space="preserve"> </w:t>
      </w:r>
      <w:r>
        <w:rPr>
          <w:rFonts w:ascii="Nirmala UI" w:hAnsi="Nirmala UI" w:eastAsia="Nirmala UI" w:cs="Nirmala UI"/>
        </w:rPr>
        <w:t>जनाउँछ।</w:t>
      </w:r>
    </w:p>
    <w:p>
      <w:pPr>
        <w:pStyle w:val="ArticleBody"/>
        <w:jc w:val="left"/>
      </w:pPr>
      <w:r>
        <w:rPr>
          <w:rFonts w:ascii="Ebrima" w:hAnsi="Ebrima" w:eastAsia="Ebrima" w:cs="Ebrima"/>
        </w:rPr>
        <w:t>የመከር</w:t>
      </w:r>
      <w:r>
        <w:rPr>
          <w:rFonts w:ascii="Times New Roman" w:hAnsi="Times New Roman" w:eastAsia="Times New Roman" w:cs="Times New Roman"/>
        </w:rPr>
        <w:t xml:space="preserve"> </w:t>
      </w:r>
      <w:r>
        <w:rPr>
          <w:rFonts w:ascii="Ebrima" w:hAnsi="Ebrima" w:eastAsia="Ebrima" w:cs="Ebrima"/>
        </w:rPr>
        <w:t>በዓላት</w:t>
      </w:r>
      <w:r>
        <w:rPr>
          <w:rFonts w:ascii="Times New Roman" w:hAnsi="Times New Roman" w:eastAsia="Times New Roman" w:cs="Times New Roman"/>
        </w:rPr>
        <w:t xml:space="preserve"> </w:t>
      </w:r>
      <w:r>
        <w:rPr>
          <w:rFonts w:ascii="Ebrima" w:hAnsi="Ebrima" w:eastAsia="Ebrima" w:cs="Ebrima"/>
        </w:rPr>
        <w:t>የዕብራይስጡ</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ሦስቱን</w:t>
      </w:r>
      <w:r>
        <w:rPr>
          <w:rFonts w:ascii="Times New Roman" w:hAnsi="Times New Roman" w:eastAsia="Times New Roman" w:cs="Times New Roman"/>
        </w:rPr>
        <w:t xml:space="preserve"> </w:t>
      </w:r>
      <w:r>
        <w:rPr>
          <w:rFonts w:ascii="Ebrima" w:hAnsi="Ebrima" w:eastAsia="Ebrima" w:cs="Ebrima"/>
        </w:rPr>
        <w:t>ደረጃዎች</w:t>
      </w:r>
      <w:r>
        <w:rPr>
          <w:rFonts w:ascii="Times New Roman" w:hAnsi="Times New Roman" w:eastAsia="Times New Roman" w:cs="Times New Roman"/>
        </w:rPr>
        <w:t xml:space="preserve"> </w:t>
      </w:r>
      <w:r>
        <w:rPr>
          <w:rFonts w:ascii="Ebrima" w:hAnsi="Ebrima" w:eastAsia="Ebrima" w:cs="Ebrima"/>
        </w:rPr>
        <w:t>ይይዛሉ።</w:t>
      </w:r>
      <w:r>
        <w:rPr>
          <w:rFonts w:ascii="Times New Roman" w:hAnsi="Times New Roman" w:eastAsia="Times New Roman" w:cs="Times New Roman"/>
        </w:rPr>
        <w:t xml:space="preserve"> </w:t>
      </w:r>
      <w:r>
        <w:rPr>
          <w:rFonts w:ascii="Ebrima" w:hAnsi="Ebrima" w:eastAsia="Ebrima" w:cs="Ebrima"/>
        </w:rPr>
        <w:t>የመከር</w:t>
      </w:r>
      <w:r>
        <w:rPr>
          <w:rFonts w:ascii="Times New Roman" w:hAnsi="Times New Roman" w:eastAsia="Times New Roman" w:cs="Times New Roman"/>
        </w:rPr>
        <w:t xml:space="preserve"> </w:t>
      </w:r>
      <w:r>
        <w:rPr>
          <w:rFonts w:ascii="Ebrima" w:hAnsi="Ebrima" w:eastAsia="Ebrima" w:cs="Ebrima"/>
        </w:rPr>
        <w:t>በዓላት</w:t>
      </w:r>
      <w:r>
        <w:rPr>
          <w:rFonts w:ascii="Times New Roman" w:hAnsi="Times New Roman" w:eastAsia="Times New Roman" w:cs="Times New Roman"/>
        </w:rPr>
        <w:t xml:space="preserve"> </w:t>
      </w:r>
      <w:r>
        <w:rPr>
          <w:rFonts w:ascii="Ebrima" w:hAnsi="Ebrima" w:eastAsia="Ebrima" w:cs="Ebrima"/>
        </w:rPr>
        <w:t>በዘሌዋውያን</w:t>
      </w:r>
      <w:r>
        <w:rPr>
          <w:rFonts w:ascii="Times New Roman" w:hAnsi="Times New Roman" w:eastAsia="Times New Roman" w:cs="Times New Roman"/>
        </w:rPr>
        <w:t xml:space="preserve"> 23:23 </w:t>
      </w:r>
      <w:r>
        <w:rPr>
          <w:rFonts w:ascii="Ebrima" w:hAnsi="Ebrima" w:eastAsia="Ebrima" w:cs="Ebrima"/>
        </w:rPr>
        <w:t>ይጀምራሉ፤</w:t>
      </w:r>
      <w:r>
        <w:rPr>
          <w:rFonts w:ascii="Times New Roman" w:hAnsi="Times New Roman" w:eastAsia="Times New Roman" w:cs="Times New Roman"/>
        </w:rPr>
        <w:t xml:space="preserve"> </w:t>
      </w:r>
      <w:r>
        <w:rPr>
          <w:rFonts w:ascii="Ebrima" w:hAnsi="Ebrima" w:eastAsia="Ebrima" w:cs="Ebrima"/>
        </w:rPr>
        <w:t>የስርየት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መካከለኛው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አሥረኛው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ፊደል</w:t>
      </w:r>
      <w:r>
        <w:rPr>
          <w:rFonts w:ascii="Times New Roman" w:hAnsi="Times New Roman" w:eastAsia="Times New Roman" w:cs="Times New Roman"/>
        </w:rPr>
        <w:t xml:space="preserve"> </w:t>
      </w:r>
      <w:r>
        <w:rPr>
          <w:rFonts w:ascii="Ebrima" w:hAnsi="Ebrima" w:eastAsia="Ebrima" w:cs="Ebrima"/>
        </w:rPr>
        <w:t>ሲሆኑ፣</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23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ይመጣጠናል፤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የዳስ</w:t>
      </w:r>
      <w:r>
        <w:rPr>
          <w:rFonts w:ascii="Times New Roman" w:hAnsi="Times New Roman" w:eastAsia="Times New Roman" w:cs="Times New Roman"/>
        </w:rPr>
        <w:t xml:space="preserve"> </w:t>
      </w:r>
      <w:r>
        <w:rPr>
          <w:rFonts w:ascii="Ebrima" w:hAnsi="Ebrima" w:eastAsia="Ebrima" w:cs="Ebrima"/>
        </w:rPr>
        <w:t>በዓል</w:t>
      </w:r>
      <w:r>
        <w:rPr>
          <w:rFonts w:ascii="Times New Roman" w:hAnsi="Times New Roman" w:eastAsia="Times New Roman" w:cs="Times New Roman"/>
        </w:rPr>
        <w:t xml:space="preserve"> </w:t>
      </w:r>
      <w:r>
        <w:rPr>
          <w:rFonts w:ascii="Ebrima" w:hAnsi="Ebrima" w:eastAsia="Ebrima" w:cs="Ebrima"/>
        </w:rPr>
        <w:t>በሀያ</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በዓሉን</w:t>
      </w:r>
      <w:r>
        <w:rPr>
          <w:rFonts w:ascii="Times New Roman" w:hAnsi="Times New Roman" w:eastAsia="Times New Roman" w:cs="Times New Roman"/>
        </w:rPr>
        <w:t xml:space="preserve"> </w:t>
      </w:r>
      <w:r>
        <w:rPr>
          <w:rFonts w:ascii="Ebrima" w:hAnsi="Ebrima" w:eastAsia="Ebrima" w:cs="Ebrima"/>
        </w:rPr>
        <w:t>የሚከተል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ክፍሉም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23:44 </w:t>
      </w:r>
      <w:r>
        <w:rPr>
          <w:rFonts w:ascii="Ebrima" w:hAnsi="Ebrima" w:eastAsia="Ebrima" w:cs="Ebrima"/>
        </w:rPr>
        <w:t>ይያበቃል።</w:t>
      </w:r>
    </w:p>
    <w:p>
      <w:pPr>
        <w:pStyle w:val="ArticleBody"/>
        <w:jc w:val="left"/>
      </w:pPr>
      <w:r>
        <w:rPr>
          <w:rFonts w:ascii="Nirmala UI" w:hAnsi="Nirmala UI" w:eastAsia="Nirmala UI" w:cs="Nirmala UI"/>
        </w:rPr>
        <w:t>विलयिकसको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पूजाहारीत्व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वसन्तका</w:t>
      </w:r>
      <w:r>
        <w:rPr>
          <w:rFonts w:ascii="Times New Roman" w:hAnsi="Times New Roman" w:eastAsia="Times New Roman" w:cs="Times New Roman"/>
        </w:rPr>
        <w:t xml:space="preserve"> </w:t>
      </w:r>
      <w:r>
        <w:rPr>
          <w:rFonts w:ascii="Nirmala UI" w:hAnsi="Nirmala UI" w:eastAsia="Nirmala UI" w:cs="Nirmala UI"/>
        </w:rPr>
        <w:t>चाडहरू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शरद्का</w:t>
      </w:r>
      <w:r>
        <w:rPr>
          <w:rFonts w:ascii="Times New Roman" w:hAnsi="Times New Roman" w:eastAsia="Times New Roman" w:cs="Times New Roman"/>
        </w:rPr>
        <w:t xml:space="preserve"> </w:t>
      </w:r>
      <w:r>
        <w:rPr>
          <w:rFonts w:ascii="Nirmala UI" w:hAnsi="Nirmala UI" w:eastAsia="Nirmala UI" w:cs="Nirmala UI"/>
        </w:rPr>
        <w:t>चाडहरू</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w:t>
      </w:r>
      <w:r>
        <w:rPr>
          <w:rFonts w:ascii="Nirmala UI" w:hAnsi="Nirmala UI" w:eastAsia="Nirmala UI" w:cs="Nirmala UI"/>
        </w:rPr>
        <w:t>२३</w:t>
      </w:r>
      <w:r>
        <w:rPr>
          <w:rFonts w:ascii="Times New Roman" w:hAnsi="Times New Roman" w:eastAsia="Times New Roman" w:cs="Times New Roman"/>
        </w:rPr>
        <w:t>–</w:t>
      </w:r>
      <w:r>
        <w:rPr>
          <w:rFonts w:ascii="Nirmala UI" w:hAnsi="Nirmala UI" w:eastAsia="Nirmala UI" w:cs="Nirmala UI"/>
        </w:rPr>
        <w:t>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वसन्तका</w:t>
      </w:r>
      <w:r>
        <w:rPr>
          <w:rFonts w:ascii="Times New Roman" w:hAnsi="Times New Roman" w:eastAsia="Times New Roman" w:cs="Times New Roman"/>
        </w:rPr>
        <w:t xml:space="preserve"> </w:t>
      </w:r>
      <w:r>
        <w:rPr>
          <w:rFonts w:ascii="Nirmala UI" w:hAnsi="Nirmala UI" w:eastAsia="Nirmala UI" w:cs="Nirmala UI"/>
        </w:rPr>
        <w:t>चाडहरू</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पदहरूद्वारा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वर्णमालामा</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शरद्का</w:t>
      </w:r>
      <w:r>
        <w:rPr>
          <w:rFonts w:ascii="Times New Roman" w:hAnsi="Times New Roman" w:eastAsia="Times New Roman" w:cs="Times New Roman"/>
        </w:rPr>
        <w:t xml:space="preserve"> </w:t>
      </w:r>
      <w:r>
        <w:rPr>
          <w:rFonts w:ascii="Nirmala UI" w:hAnsi="Nirmala UI" w:eastAsia="Nirmala UI" w:cs="Nirmala UI"/>
        </w:rPr>
        <w:t>चाडहरू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चाडले</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वासस्थानहरूको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दिनहरूमध्ये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विधिपूर्वकको</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चाडपछिको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सातभित्रको</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बनाउँछन्।</w:t>
      </w:r>
    </w:p>
    <w:p>
      <w:pPr>
        <w:pStyle w:val="ArticleScripture"/>
        <w:jc w:val="left"/>
      </w:pPr>
      <w:r>
        <w:rPr>
          <w:rFonts w:ascii="Times New Roman" w:hAnsi="Times New Roman" w:eastAsia="Times New Roman" w:cs="Times New Roman"/>
        </w:rPr>
        <w:t>Deiteka Israyelpa wamrankunaman, nir: Kay qanchis kaq killapa chunka phisqa p’unchawninpi Señorpaq Qarpakunapa Raymin kanqa qanchis p’unchaykama. Ñawpaq kaq p’unchawpi ch’uya tantanakuy kanqa: ama ima sirviy llamk’aytapas ruwaychischu chaypi. Qanchis p’unchaykunantinpi ninawan haywarisqa qurbanata Señorpaq haywankichis: pusqaq kaq p’unchawpitaq qankunapaq ch’uya tantanakuy kanqa; hinaspa ninawan haywarisqa qurbanata Señorpaq haywankichis: chayqa ancha solemneta huñunakuy kan; ama ima sirviy llamk’aytapas ruwaychischu chaypi. … Hinallataq qanchis kaq killapa chunka phisqa p’unchawninpi, allp’amanta rurunkunata tantachisqaykichis qhipaman, qanchis p’unchay Señorpaq raymita rurankichis: ñawpaq kaq p’unchawqa samana p’unchaw kanqa, pusqaq kaq p’unchawpas samana p’unchaw kanqa. Levítico 23:34–36, 39.</w:t>
      </w:r>
    </w:p>
    <w:p>
      <w:pPr>
        <w:pStyle w:val="ArticleBody"/>
        <w:jc w:val="left"/>
      </w:pP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ദിവസത്തിലുള്ള</w:t>
      </w:r>
      <w:r>
        <w:rPr>
          <w:rFonts w:ascii="Times New Roman" w:hAnsi="Times New Roman" w:eastAsia="Times New Roman" w:cs="Times New Roman"/>
        </w:rPr>
        <w:t xml:space="preserve"> </w:t>
      </w:r>
      <w:r>
        <w:rPr>
          <w:rFonts w:ascii="Nirmala UI" w:hAnsi="Nirmala UI" w:eastAsia="Nirmala UI" w:cs="Nirmala UI"/>
        </w:rPr>
        <w:t>ആചാരപരമായ</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കൂടാരപ്പെരുന്നാളിനെ</w:t>
      </w:r>
      <w:r>
        <w:rPr>
          <w:rFonts w:ascii="Times New Roman" w:hAnsi="Times New Roman" w:eastAsia="Times New Roman" w:cs="Times New Roman"/>
        </w:rPr>
        <w:t xml:space="preserve"> </w:t>
      </w:r>
      <w:r>
        <w:rPr>
          <w:rFonts w:ascii="Nirmala UI" w:hAnsi="Nirmala UI" w:eastAsia="Nirmala UI" w:cs="Nirmala UI"/>
        </w:rPr>
        <w:t>അനുഗമിക്കുന്ന</w:t>
      </w:r>
      <w:r>
        <w:rPr>
          <w:rFonts w:ascii="Times New Roman" w:hAnsi="Times New Roman" w:eastAsia="Times New Roman" w:cs="Times New Roman"/>
        </w:rPr>
        <w:t xml:space="preserve"> </w:t>
      </w:r>
      <w:r>
        <w:rPr>
          <w:rFonts w:ascii="Nirmala UI" w:hAnsi="Nirmala UI" w:eastAsia="Nirmala UI" w:cs="Nirmala UI"/>
        </w:rPr>
        <w:t>സഹസ്രാബ്ദത്തിന്റെ</w:t>
      </w:r>
      <w:r>
        <w:rPr>
          <w:rFonts w:ascii="Times New Roman" w:hAnsi="Times New Roman" w:eastAsia="Times New Roman" w:cs="Times New Roman"/>
        </w:rPr>
        <w:t xml:space="preserve"> </w:t>
      </w:r>
      <w:r>
        <w:rPr>
          <w:rFonts w:ascii="Nirmala UI" w:hAnsi="Nirmala UI" w:eastAsia="Nirmala UI" w:cs="Nirmala UI"/>
        </w:rPr>
        <w:t>ശബ്ബത്തിനെ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ഇസ്രായേൽ</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മരുഭൂമിയിൽ</w:t>
      </w:r>
      <w:r>
        <w:rPr>
          <w:rFonts w:ascii="Times New Roman" w:hAnsi="Times New Roman" w:eastAsia="Times New Roman" w:cs="Times New Roman"/>
        </w:rPr>
        <w:t xml:space="preserve"> </w:t>
      </w:r>
      <w:r>
        <w:rPr>
          <w:rFonts w:ascii="Nirmala UI" w:hAnsi="Nirmala UI" w:eastAsia="Nirmala UI" w:cs="Nirmala UI"/>
        </w:rPr>
        <w:t>സഞ്ചരിച്ചിരുന്നതിനെ</w:t>
      </w:r>
      <w:r>
        <w:rPr>
          <w:rFonts w:ascii="Times New Roman" w:hAnsi="Times New Roman" w:eastAsia="Times New Roman" w:cs="Times New Roman"/>
        </w:rPr>
        <w:t xml:space="preserve"> </w:t>
      </w:r>
      <w:r>
        <w:rPr>
          <w:rFonts w:ascii="Nirmala UI" w:hAnsi="Nirmala UI" w:eastAsia="Nirmala UI" w:cs="Nirmala UI"/>
        </w:rPr>
        <w:t>കൂടാരപ്പെരുന്നാളിന്റെ</w:t>
      </w:r>
      <w:r>
        <w:rPr>
          <w:rFonts w:ascii="Times New Roman" w:hAnsi="Times New Roman" w:eastAsia="Times New Roman" w:cs="Times New Roman"/>
        </w:rPr>
        <w:t xml:space="preserve"> </w:t>
      </w:r>
      <w:r>
        <w:rPr>
          <w:rFonts w:ascii="Nirmala UI" w:hAnsi="Nirmala UI" w:eastAsia="Nirmala UI" w:cs="Nirmala UI"/>
        </w:rPr>
        <w:t>ദിവസങ്ങളിൽ</w:t>
      </w:r>
      <w:r>
        <w:rPr>
          <w:rFonts w:ascii="Times New Roman" w:hAnsi="Times New Roman" w:eastAsia="Times New Roman" w:cs="Times New Roman"/>
        </w:rPr>
        <w:t xml:space="preserve"> </w:t>
      </w:r>
      <w:r>
        <w:rPr>
          <w:rFonts w:ascii="Nirmala UI" w:hAnsi="Nirmala UI" w:eastAsia="Nirmala UI" w:cs="Nirmala UI"/>
        </w:rPr>
        <w:t>കൂടാരങ്ങളിൽ</w:t>
      </w:r>
      <w:r>
        <w:rPr>
          <w:rFonts w:ascii="Times New Roman" w:hAnsi="Times New Roman" w:eastAsia="Times New Roman" w:cs="Times New Roman"/>
        </w:rPr>
        <w:t xml:space="preserve"> </w:t>
      </w:r>
      <w:r>
        <w:rPr>
          <w:rFonts w:ascii="Nirmala UI" w:hAnsi="Nirmala UI" w:eastAsia="Nirmala UI" w:cs="Nirmala UI"/>
        </w:rPr>
        <w:t>പാർക്കുന്നതിലൂടെ</w:t>
      </w:r>
      <w:r>
        <w:rPr>
          <w:rFonts w:ascii="Times New Roman" w:hAnsi="Times New Roman" w:eastAsia="Times New Roman" w:cs="Times New Roman"/>
        </w:rPr>
        <w:t xml:space="preserve"> </w:t>
      </w:r>
      <w:r>
        <w:rPr>
          <w:rFonts w:ascii="Nirmala UI" w:hAnsi="Nirmala UI" w:eastAsia="Nirmala UI" w:cs="Nirmala UI"/>
        </w:rPr>
        <w:t>സ്മരിക്കുന്നു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പിന്നാമ്പുറമഴയുടെ</w:t>
      </w:r>
      <w:r>
        <w:rPr>
          <w:rFonts w:ascii="Times New Roman" w:hAnsi="Times New Roman" w:eastAsia="Times New Roman" w:cs="Times New Roman"/>
        </w:rPr>
        <w:t xml:space="preserve"> </w:t>
      </w:r>
      <w:r>
        <w:rPr>
          <w:rFonts w:ascii="Nirmala UI" w:hAnsi="Nirmala UI" w:eastAsia="Nirmala UI" w:cs="Nirmala UI"/>
        </w:rPr>
        <w:t>പകർച്ചയെ</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യാക്കോബിന്റെ</w:t>
      </w:r>
      <w:r>
        <w:rPr>
          <w:rFonts w:ascii="Times New Roman" w:hAnsi="Times New Roman" w:eastAsia="Times New Roman" w:cs="Times New Roman"/>
        </w:rPr>
        <w:t xml:space="preserve"> </w:t>
      </w:r>
      <w:r>
        <w:rPr>
          <w:rFonts w:ascii="Nirmala UI" w:hAnsi="Nirmala UI" w:eastAsia="Nirmala UI" w:cs="Nirmala UI"/>
        </w:rPr>
        <w:t>കഷ്ടകാലത്തെയും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അന്നപ്പോൾ</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വിശ്വസ്തരെ</w:t>
      </w:r>
      <w:r>
        <w:rPr>
          <w:rFonts w:ascii="Times New Roman" w:hAnsi="Times New Roman" w:eastAsia="Times New Roman" w:cs="Times New Roman"/>
        </w:rPr>
        <w:t xml:space="preserve"> </w:t>
      </w:r>
      <w:r>
        <w:rPr>
          <w:rFonts w:ascii="Nirmala UI" w:hAnsi="Nirmala UI" w:eastAsia="Nirmala UI" w:cs="Nirmala UI"/>
        </w:rPr>
        <w:t>സംരക്ഷണത്തിനായി</w:t>
      </w:r>
      <w:r>
        <w:rPr>
          <w:rFonts w:ascii="Times New Roman" w:hAnsi="Times New Roman" w:eastAsia="Times New Roman" w:cs="Times New Roman"/>
        </w:rPr>
        <w:t xml:space="preserve"> </w:t>
      </w:r>
      <w:r>
        <w:rPr>
          <w:rFonts w:ascii="Nirmala UI" w:hAnsi="Nirmala UI" w:eastAsia="Nirmala UI" w:cs="Nirmala UI"/>
        </w:rPr>
        <w:t>ദൂതന്മാർ</w:t>
      </w:r>
      <w:r>
        <w:rPr>
          <w:rFonts w:ascii="Times New Roman" w:hAnsi="Times New Roman" w:eastAsia="Times New Roman" w:cs="Times New Roman"/>
        </w:rPr>
        <w:t xml:space="preserve"> </w:t>
      </w:r>
      <w:r>
        <w:rPr>
          <w:rFonts w:ascii="Nirmala UI" w:hAnsi="Nirmala UI" w:eastAsia="Nirmala UI" w:cs="Nirmala UI"/>
        </w:rPr>
        <w:t>കുന്നുകളിലേക്കും</w:t>
      </w:r>
      <w:r>
        <w:rPr>
          <w:rFonts w:ascii="Times New Roman" w:hAnsi="Times New Roman" w:eastAsia="Times New Roman" w:cs="Times New Roman"/>
        </w:rPr>
        <w:t xml:space="preserve"> </w:t>
      </w:r>
      <w:r>
        <w:rPr>
          <w:rFonts w:ascii="Nirmala UI" w:hAnsi="Nirmala UI" w:eastAsia="Nirmala UI" w:cs="Nirmala UI"/>
        </w:rPr>
        <w:t>പർവ്വതങ്ങളിലേക്കും</w:t>
      </w:r>
      <w:r>
        <w:rPr>
          <w:rFonts w:ascii="Times New Roman" w:hAnsi="Times New Roman" w:eastAsia="Times New Roman" w:cs="Times New Roman"/>
        </w:rPr>
        <w:t xml:space="preserve"> </w:t>
      </w:r>
      <w:r>
        <w:rPr>
          <w:rFonts w:ascii="Nirmala UI" w:hAnsi="Nirmala UI" w:eastAsia="Nirmala UI" w:cs="Nirmala UI"/>
        </w:rPr>
        <w:t>നയിച്ചിരിക്കുന്നു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«Աղէտի ժամանակը մենք ամէնքս փախանք քաղաքներէն ու գիւղերէն, բայց ամբարիշտներուն կողմէ հալածուեցանք, որոնք սուրբերուն տուները սուրով մտան։ Անոնք սուրը բարձրացուցին մեզ սպաննելու համար, բայց ան կոտրեցաւ ու ինկաւ՝ ծղոտի մը պէս անզօր։ Այն ատեն մենք ամէնքս ցերեկ ու գիշեր աղաղակեցինք փրկութեան համար, եւ աղաղակը բարձրացաւ Աստուծոյ առաջ։ Արեւը ծագեց, եւ լուսինը կանգ առաւ։ Վտակները դադրեցան հոսելէ։ Մութ, ծանր ամպեր ելան եւ իրարու դէմ բախեցան։ Բայց կար մէկ յստակ տեղ՝ հաստատեալ փառքի, ուրկէ Աստուծոյ ձայնը եկաւ շատ ջուրերու ձայնի պէս, որ շարժեց երկինքն ու երկիրը։ Երկինքը բացուեցաւ ու փակուեցաւ եւ խռովքի մէջ էր։ Լեռները դողացին ինչպէս եղեգը հովին մէջ, եւ շուրջանակի պատառոտուած վէմեր դուրս նետեցին։ Ծովը կաթսայի պէս եռաց, եւ քարեր նետեց ցամաքի վրայ։ Եւ երբ Աստուած խօսեցաւ Յիսուսի գալստեան օրը եւ ժամը, եւ Իր ժողովուրդին յանձնեց յաւիտենական ուխտը, մէկ նախադասութիւն ըսաւ, ապա դադար առաւ, մինչ բառերը երկրով մէկ գլորուելով կ՛անցնէին։ Աստուծոյ Իսրայէլը կանգնած էր՝ աչքերը վեր բարձրացուցած, ունկնդրելով այն խօսքերը, որպէսզի անոնք Եհովայի բերանէն ելլելով երկրով մէկ գլորուէին՝ ամենաբարձր որոտներու դղրդիւններու պէս։ Ահաւորապէս հանդիսաւոր էր։ Իւրաքանչիւր նախադասութեան վերջաւորութեան սուրբերը կ՛աղաղակէին. «Փա՜ռք։ Ալէլուիա՜»։ Անոնց դէմքերը լուսաւորուած էին Աստուծոյ փառքով, եւ կը շողային այդ փառքով, ինչպէս Մովսէսի դէմքը, երբ Սինայէն վար իջաւ։ Ամբարիշտները չէին կրնար անոնց նայիլ՝ փառքին պատճառով։ Եւ երբ այն անվերջանալի օրհնութիւնը հռչակուեցաւ անոնց վրայ, որոնք Աստուած պատուած էին՝ Իր Շաբաթը սուրբ պահելով, հզօր յաղթական աղաղակ բարձրացաւ Գազանին եւ անոր Պատկերին վրայ»։</w:t>
      </w:r>
    </w:p>
    <w:p>
      <w:pPr>
        <w:pStyle w:val="ArticleScripture"/>
        <w:jc w:val="left"/>
      </w:pPr>
      <w:r>
        <w:rPr>
          <w:rFonts w:ascii="Times New Roman" w:hAnsi="Times New Roman" w:eastAsia="Times New Roman" w:cs="Times New Roman"/>
        </w:rPr>
        <w:t>“</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Review and Herald, July 21, 1851.</w:t>
      </w:r>
    </w:p>
    <w:p>
      <w:pPr>
        <w:pStyle w:val="ArticleBody"/>
        <w:jc w:val="left"/>
      </w:pPr>
      <w:r>
        <w:rPr>
          <w:rFonts w:ascii="Times New Roman" w:hAnsi="Times New Roman" w:eastAsia="Times New Roman" w:cs="Times New Roman"/>
        </w:rPr>
        <w:t>Yisuus deebi’a, laftis waggaa kuma tokkoof boqotta; kunis akka boqonnaa waggaa torbaffaa lafaa fi Iyyoobeelii dursee agarsiisaniitti. Keessa lakkoofsa sadii, Seera Lewwota boqonnaa digdamii sadii keessatti, boqonnaan guyyaa torbaffaa namaaf kennamu akka seensa boqonnaa sanaatti ibsameera; boqonnaan sunis isa saddeettaffaadhaan xumurama; innis kan torban keessaa ta’ee boqonnaa waggaa torbaffaa lafni itti boqotu bakka bu’a.</w:t>
      </w:r>
    </w:p>
    <w:p>
      <w:pPr>
        <w:pStyle w:val="ArticleScripture"/>
        <w:jc w:val="left"/>
      </w:pPr>
      <w:r>
        <w:rPr>
          <w:rFonts w:ascii="Times New Roman" w:hAnsi="Times New Roman" w:eastAsia="Times New Roman" w:cs="Times New Roman"/>
        </w:rPr>
        <w:t>Futhi iNkosi yakhuluma kuMose, yathi, Khuluma kubantwana bako-Israyeli, uthi kubo: Mayelana nemikhosi yeNkosi eniyakuyimemezela ibe yimihlangano engcwele, yona lena iyimikhosi yami. Izinsuku eziyisithupha kuyakwenziwa umsebenzi; kepha usuku lwesikhombisa luyisabatha lokuphumula, umhlangano ongcwele; aniyikwenza msebenzi kulo; luyisabatha leNkosi kuzo zonke izindawo zenu zokuhlala. Levitikusi 23:1–3.</w:t>
      </w:r>
    </w:p>
    <w:p>
      <w:pPr>
        <w:pStyle w:val="ArticleBody"/>
        <w:jc w:val="left"/>
      </w:pPr>
      <w:r>
        <w:rPr>
          <w:rFonts w:ascii="Times New Roman" w:hAnsi="Times New Roman" w:eastAsia="Times New Roman" w:cs="Times New Roman"/>
        </w:rPr>
        <w:t>آلفای فصل بیست‌وسه، سَبَّتِ روز هفتم است، و اُمگای فصل، هزار سالِ خالی بودنِ زمین است که به‌واسطهٔ سَبَّتِ سال هفتم برای زمین و یوبیل، نمونه‌وار نشان داده شده است. آلفای فصل، عیدهای بهاری است که با سَبَّتِ روز هفتم آغاز می‌شود و در آیهٔ بیست‌ودو پایان می‌یابد؛ حال آنکه اُمگای فصل در روز بیست‌ودومِ ماه هفتم به پایان می‌رسد، و پس از آن، سَبَّتِ آیینیِ روز هشتم می‌آید که نمایانگر سَبَّتِ سال هفتمِ زمین است.</w:t>
      </w:r>
    </w:p>
    <w:p>
      <w:pPr>
        <w:pStyle w:val="ArticleBody"/>
        <w:jc w:val="left"/>
      </w:pPr>
      <w:r>
        <w:rPr>
          <w:rFonts w:ascii="Times New Roman" w:hAnsi="Times New Roman" w:eastAsia="Times New Roman" w:cs="Times New Roman"/>
        </w:rPr>
        <w:t>ۋەرسە بىر دە شەردەکەیە دە وەرسە بیست و دووەیە، مەسیح دەکەی کارەکەی وەک سەرکاهینی ئاسمانی لە شوێنی پیرۆز نیشان دەدەن؛ وەرسە بیست و سێیە تا چل و چوارەیەش کارەکەی ئەو لە پیرۆزترین شوێن نیشان دەدەن. لاویان نمونەیەکی کاهینانە، و خزمەتگوزاری سەرکاهینایەتی مەسیح نیشان دەدات. شەممەی ئەلفای ڕۆژی حەوتەم دەگەڕێتەوە بۆ دروستکردن، و شەممەی ئۆمێگای ساڵی حەوتەم دەگاتە زەویەکی نوێ کراوە. لاویان بیست و سێ لە ڕووی مێژووییەوە لە دروستکردنەوە تا دووبارە دروستکردنەوە پان دەبێتەوە.</w:t>
      </w:r>
    </w:p>
    <w:p>
      <w:pPr>
        <w:pStyle w:val="ArticleBody"/>
        <w:jc w:val="left"/>
      </w:pP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जालसाजी</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कथानकमा</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लाज</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छुटिरहन्छ।</w:t>
      </w:r>
      <w:r>
        <w:rPr>
          <w:rFonts w:ascii="Times New Roman" w:hAnsi="Times New Roman" w:eastAsia="Times New Roman" w:cs="Times New Roman"/>
        </w:rPr>
        <w:t xml:space="preserve"> </w:t>
      </w:r>
      <w:r>
        <w:rPr>
          <w:rFonts w:ascii="Nirmala UI" w:hAnsi="Nirmala UI" w:eastAsia="Nirmala UI" w:cs="Nirmala UI"/>
        </w:rPr>
        <w:t>जससँग</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बुँदालाई</w:t>
      </w:r>
      <w:r>
        <w:rPr>
          <w:rFonts w:ascii="Times New Roman" w:hAnsi="Times New Roman" w:eastAsia="Times New Roman" w:cs="Times New Roman"/>
        </w:rPr>
        <w:t xml:space="preserve"> </w:t>
      </w:r>
      <w:r>
        <w:rPr>
          <w:rFonts w:ascii="Nirmala UI" w:hAnsi="Nirmala UI" w:eastAsia="Nirmala UI" w:cs="Nirmala UI"/>
        </w:rPr>
        <w:t>छुटाउनेछैनन्।</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तिनीहरूद्वारा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पापहरू</w:t>
      </w:r>
      <w:r>
        <w:rPr>
          <w:rFonts w:ascii="Times New Roman" w:hAnsi="Times New Roman" w:eastAsia="Times New Roman" w:cs="Times New Roman"/>
        </w:rPr>
        <w:t xml:space="preserve"> </w:t>
      </w:r>
      <w:r>
        <w:rPr>
          <w:rFonts w:ascii="Nirmala UI" w:hAnsi="Nirmala UI" w:eastAsia="Nirmala UI" w:cs="Nirmala UI"/>
        </w:rPr>
        <w:t>हटाइएका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झुप्रावासको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मनाइरहेकाहरूले</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p>
    <w:p>
      <w:pPr>
        <w:pStyle w:val="ArticleScripture"/>
        <w:jc w:val="left"/>
      </w:pPr>
      <w:r>
        <w:rPr>
          <w:rFonts w:ascii="Times New Roman" w:hAnsi="Times New Roman" w:eastAsia="Times New Roman" w:cs="Times New Roman"/>
        </w:rPr>
        <w:t>Andi diFfumò karne, immabitò in mesu a nuàtri, (e nuàtri vidìmmu a sò glòria, a glòria comu di l’Unigènitu dû Patri,) chinu di gràzia e di virità. Giovanni 1:14.</w:t>
      </w:r>
    </w:p>
    <w:p>
      <w:pPr>
        <w:pStyle w:val="ArticleBody"/>
        <w:jc w:val="left"/>
      </w:pPr>
      <w:r>
        <w:rPr>
          <w:rFonts w:ascii="Times New Roman" w:hAnsi="Times New Roman" w:eastAsia="Times New Roman" w:cs="Times New Roman"/>
        </w:rPr>
        <w:t>Ўрожунан “яшады” дәп тәржимә қилинған грекчә сөзниң мәнаси “чедир тикмәк” дегәнни билдүриду. Әйса тәнгә кирип, биз билән чедир тикти. У бизниң инсаний тәбиитимизни, бизниң чедиримизни, бизниң палаткимизни, бизниң саявән-йопумизни, бизниң тән-бәднимизни алди. Петрус буни мундақ дәп ейтқан:</w:t>
      </w:r>
    </w:p>
    <w:p>
      <w:pPr>
        <w:pStyle w:val="ArticleScripture"/>
        <w:jc w:val="left"/>
      </w:pPr>
      <w:r>
        <w:rPr>
          <w:rFonts w:ascii="Times New Roman" w:hAnsi="Times New Roman" w:eastAsia="Times New Roman" w:cs="Times New Roman"/>
        </w:rPr>
        <w:t>Eĩ, che xepy’amandu’a porã ha’eha upeicha, aikove aja ko che ro’ópe, pomongyre’ỹ hag̃ua pene mandu’arã rupive; aikuaa hag̃ua pya’e amondotaha ko che ro’o, ñande Ruvicha Jesucristo ohechauka haguéicha chéve. 2 Pedro 1:13, 14.</w:t>
      </w:r>
    </w:p>
    <w:p>
      <w:pPr>
        <w:pStyle w:val="ArticleBody"/>
        <w:jc w:val="left"/>
      </w:pPr>
      <w:r>
        <w:rPr>
          <w:rFonts w:ascii="Times New Roman" w:hAnsi="Times New Roman" w:eastAsia="Times New Roman" w:cs="Times New Roman"/>
        </w:rPr>
        <w:t>Павел сказал это так:</w:t>
      </w:r>
    </w:p>
    <w:p>
      <w:pPr>
        <w:pStyle w:val="ArticleScripture"/>
        <w:jc w:val="left"/>
      </w:pPr>
      <w:r>
        <w:rPr>
          <w:rFonts w:ascii="Times New Roman" w:hAnsi="Times New Roman" w:eastAsia="Times New Roman" w:cs="Times New Roman"/>
        </w:rPr>
        <w:t>لە ئەمەدا دەزانین ئەگەر ماڵی زەویی ئەم چادەرەمان تێکبچێت، ئێمە بینایەکی لەلایەن خوداوە هەیە، ماڵێک کە بە دەست درووست نەکراوە، هەتاهەتایی لە ئاسمانەکاندا. چونکە لەمەدا دەناڵێنین، بە دڵسۆزییەوە ئارەزووی ئەوە دەکەین کە بەسەر ماڵەکەماندا بپۆشرێین کە لە ئاسمانەوەیە؛ ئەگەر بەراستی کاتێک پۆشراو بین، بێبەرگ نەدۆزرێینەوە. چونکە ئێمەی ئەوانەی لەم چادەرەداین دەناڵێنین، بارگران بووین؛ نە ئەوەی دابماڵدرێین، بەڵکو بەسەرماندا بپۆشرێت، تاکو مردنپەذیری لەلایەن ژیانەوە داپۆشرێت. ٢ کۆرنسۆس 5:1–4.</w:t>
      </w:r>
    </w:p>
    <w:p>
      <w:pPr>
        <w:pStyle w:val="ArticleBody"/>
        <w:jc w:val="left"/>
      </w:pPr>
      <w:r>
        <w:rPr>
          <w:rFonts w:ascii="Times New Roman" w:hAnsi="Times New Roman" w:eastAsia="Times New Roman" w:cs="Times New Roman"/>
        </w:rPr>
        <w:t>آیینیِ عیدِ خیمه‌ها نمادِ مهر شدنِ صد و چهل و چهار هزار است، که آن هنگام به انجام می‌رسد که روزنه‌های آسمان گشوده شوند. چون گناهانِ صد و چهل و چهار هزار برداشته شود، روح‌القدس بی‌پیمانه بر کلیسای ظافر فرو ریخته خواهد شد. داوری برای صد و چهل و چهار هزار به پایان رسیده است، و آنان که مُهر شده‌اند، تحت قدرتِ روح‌القدس، چنان‌که در عیدِ خیمه‌ها نمود یافته است، بیرون می‌روند تا فریادِ بلندِ فرشتهٔ سوم را اعلام کنند.</w:t>
      </w:r>
    </w:p>
    <w:p>
      <w:pPr>
        <w:pStyle w:val="ArticleBody"/>
        <w:jc w:val="left"/>
      </w:pPr>
      <w:r>
        <w:rPr>
          <w:rFonts w:ascii="Times New Roman" w:hAnsi="Times New Roman" w:eastAsia="Times New Roman" w:cs="Times New Roman"/>
        </w:rPr>
        <w:t>Син баз ар ғибадатхана, һәм чатыр, йәғни мөқәддәс чедирдур. Чедирлар һейтини тәбрикләш үчүн Йерусалимға жиғилғанлар, гуналириниң өчүрүлүп ташланғанлиғини тәбрикләватқан еди. Муса чөл-баяванда мөқәддәс чедирни тикләш үчүн ишлитилди, вә ахирида чедирлар һейти чөл-баяванда кәпиләрдә яшаш арқилиқ тәбрикләнәтти, чүнки Әйса һәр вақит ахирни башлиниш арқилиқ тәсвирләйду.</w:t>
      </w:r>
    </w:p>
    <w:p>
      <w:pPr>
        <w:pStyle w:val="ArticleScripture"/>
        <w:jc w:val="left"/>
      </w:pPr>
      <w:r>
        <w:rPr>
          <w:rFonts w:ascii="Times New Roman" w:hAnsi="Times New Roman" w:eastAsia="Times New Roman" w:cs="Times New Roman"/>
        </w:rPr>
        <w:t>Rəbbə məxsus qardaşlar, səmavi çağırışın şərikləri, etirafımızın Elçisi və Baş Kahini olan Məsih İsaya diqqətlə baxın; O, Özünü təyin edənə sadiq idi, necə ki Musa da Onun bütün evində sadiq idi. Çünki evi quranın evdən daha çox izzəti olduğu kimi, bu Şəxs də Musadan daha artıq izzətə layiq sayıldı. Zira hər bir ev kimsə tərəfindən tikilir; lakin hər şeyi tikən Allahdır. Musa da həqiqətən Onun bütün evində bir qul kimi sadiq idi, sonradan deyiləcək şeylərə şəhadət üçün; amma Məsih Öz evinin üzərində bir Oğul kimi. Əgər ümidin cəsarətini və fəxrini sona qədər möhkəm saxlayırıqsa, Onun evi bizik. İbranilərə 3:1–6.</w:t>
      </w:r>
    </w:p>
    <w:p>
      <w:pPr>
        <w:pStyle w:val="ArticleBody"/>
        <w:jc w:val="left"/>
      </w:pPr>
      <w:r>
        <w:rPr>
          <w:rFonts w:ascii="Times New Roman" w:hAnsi="Times New Roman" w:eastAsia="Times New Roman" w:cs="Times New Roman"/>
        </w:rPr>
        <w:t>Moisés fue el siervo fiel que Dios usó para erigir el templo del tabernáculo, pero Cristo, como Sumo Sacerdote y Apóstol, tiene más honra que el siervo Moisés. Toda casa, desde el templo del tabernáculo de Moisés, hasta el templo de Salomón, hasta el templo de Herodes remodelado durante cuarenta y seis años, el templo humano con sus 46 cromosomas y el templo millerita de 1798 hasta 1844, fueron todos edificados por Dios. En la línea profética de las diversas manifestaciones de templos, que comenzaría en el huerto de Edén, luego, después del pecado, a la puerta del huerto, y después del diluvio en los altares hasta Moisés, los tres principales hitos son Moisés, Cristo y los ciento cuarenta y cuatro mil.</w:t>
      </w:r>
    </w:p>
    <w:p>
      <w:pPr>
        <w:pStyle w:val="ArticleBody"/>
        <w:jc w:val="left"/>
      </w:pPr>
      <w:r>
        <w:rPr>
          <w:rFonts w:ascii="Times New Roman" w:hAnsi="Times New Roman" w:eastAsia="Times New Roman" w:cs="Times New Roman"/>
        </w:rPr>
        <w:t>موشه و مسیح نمایندۀ الف و اومگای اسرائیل باستان‌اند، و با هم نمایانگر امتزاج انسانیت و الوهیت هستند، که یک‌صد و چهل و چهار هزار نیز همین را تمثیل می‌کنند. به هنگام آمدن فرشتۀ سوم، در مکاشفه باب یازده، به یوحنا گفته می‌شود که هیکل را اندازه بگیرد، و در هنگام آمدن همان فرشته در 9/11، بار دیگر به یوحنا گفته می‌شود که هیکل را اندازه بگیرد. در هر دو مورد، به او گفته می‌شود که صحنِ 1,260 روزه را واگذارد. در 2023، همان فرشته آمد، و قوم خدا اکنون فراخوانده می‌شوند که هیکل را اندازه بگیرند. 1,260 روز، یا سه روز و نیم، در 2023 به پایان رسید، و از آن نقطه تا اندکی پیش از قانون یکشنبه، هیکل باید برپا گردد. 2024 زمان نهادن بنیادها را رقم زد، و طغیان را به‌صورت گروهی آشکار ساخت که «روز چیزهای کوچک را حقیر شمردند»، و بر ضد شناساییِ میلر از آن نمادی که رؤیا را برقرار می‌سازد، اعتراض کردند.</w:t>
      </w:r>
    </w:p>
    <w:p>
      <w:pPr>
        <w:pStyle w:val="ArticleScripture"/>
        <w:jc w:val="left"/>
      </w:pPr>
      <w:r>
        <w:rPr>
          <w:rFonts w:ascii="Times New Roman" w:hAnsi="Times New Roman" w:eastAsia="Times New Roman" w:cs="Times New Roman"/>
        </w:rPr>
        <w:t>Ademas, la palabra de Yahvé vino a me, dicendo: Las manos de Zorobabel an assentate le fundamento de iste casa; su manos anque la finira; e tu sapera que Yahvé del exercitos me ha inviate a vos. Perque qui ha dispreciate le die del cosas parve? Perque illes se allegra, e videra le plummet in le mano de Zorobabel con illes septe; illes es le oculos de Yahvé, que va de hic a illac per tote le terra. Zacharia 4:8–10.</w:t>
      </w:r>
    </w:p>
    <w:p>
      <w:pPr>
        <w:pStyle w:val="ArticleBody"/>
        <w:jc w:val="left"/>
      </w:pPr>
      <w:r>
        <w:rPr>
          <w:rFonts w:ascii="Times New Roman" w:hAnsi="Times New Roman" w:eastAsia="Times New Roman" w:cs="Times New Roman"/>
        </w:rPr>
        <w:t>به‌نەوە دژایەتی داکۆکیی میلەر بکەیت کە ڕۆم ئەوەیە بینینەکە دادەمەزرێنێت، ئەوە بریتییە لە ڕەتکردنەوەی بنەماکان، وە ئەوەش «سووک‌سەیرکردنی ڕۆژی شتە بچووکەکان»ە. بزووتنەوەی میلەریتی بزووتنەوەی ئەلفای فرشتەی یەکەم و دووەم بوو، و بزووتنەوەی سەد و چل و چوار هەزارەکە بزووتنەوەی ئۆمێگای فرشتەی سێیەمە. ئەوە بیست و دوو جار بەهێزترە لە ئەلفا. لەم مانای پێشبینیکردنەدا، بنەماکانی بزووتنەوەی میلەریتی «ڕۆژی شتە بچووکەکان»ە. سووک‌سەیرکردنی هەر ڕاستییەکی بنەڕەتی کە لەسەر دوو خشتەی حەبەقوق نیشان دراوە، واتە مردن؛ چونکە ئەو بینینەی لە ئایەتی چواردەی دانیال یازدەدا دادەمەزرێت، هەمان ئەو بینینەیە کە سلێمان ناساندی.</w:t>
      </w:r>
    </w:p>
    <w:p>
      <w:pPr>
        <w:pStyle w:val="ArticleScripture"/>
        <w:jc w:val="left"/>
      </w:pPr>
      <w:r>
        <w:rPr>
          <w:rFonts w:ascii="Times New Roman" w:hAnsi="Times New Roman" w:eastAsia="Times New Roman" w:cs="Times New Roman"/>
        </w:rPr>
        <w:t>Pejan vision yoc, uñisirinacajj tucusipjjewa; ucampis qhititejj leyjja phokki ucajja, cusisitawa. Proverbios 29:18.</w:t>
      </w:r>
    </w:p>
    <w:p>
      <w:pPr>
        <w:pStyle w:val="ArticleBody"/>
        <w:jc w:val="left"/>
      </w:pPr>
      <w:r>
        <w:rPr>
          <w:rFonts w:ascii="Times New Roman" w:hAnsi="Times New Roman" w:eastAsia="Times New Roman" w:cs="Times New Roman"/>
        </w:rPr>
        <w:t>قڵلەبینینیەکە سەرسوڕهێنەرە، چونکە دیاری دەکات کە بنەڕەتی زاویەیی هەمان قڵلەبینەکەیە، بەڵام بە بیست و دوو جار زیاتر لە هێز. تاقیکردنەوەی بنەڕەتیی ئەلفای ساڵی 2024 پەیامی مۆرکردنی دەرەکیی هزریی بوو، و تاقیکردنەوەی ئۆمێگای پەرستگای ساڵی 2026 پەیامی مۆرکردنی ناوەکیی ڕۆحییە. یەکێکیان وێنە و نیشانی ئاژەڵەکە دیاری دەکات، و ئەوی دیکەیان وێنە و نیشانی خودا. ئەو تاقیکردنەوەی ناوەکیی ئۆمێگا بە دوو هێمای خەونی میلەر نواندەکرێت کە دەبێت لە چوارچێوەی ڕووداوەکانی ڕۆژانی دوایی‌دا پێناسە بکرێن. ئەمبار چییە؟ و گۆشت چییە؟</w:t>
      </w:r>
    </w:p>
    <w:p>
      <w:pPr>
        <w:pStyle w:val="ArticleBody"/>
        <w:jc w:val="left"/>
      </w:pPr>
      <w:r>
        <w:rPr>
          <w:rFonts w:ascii="Times New Roman" w:hAnsi="Times New Roman" w:eastAsia="Times New Roman" w:cs="Times New Roman"/>
        </w:rPr>
        <w:t>Yeyehi bini môͅho tsitsika ɖe nu siawo dzi le agbalẽ bubu si gbɔna la me.</w:t>
      </w:r>
    </w:p>
    <w:p>
      <w:pPr>
        <w:pStyle w:val="ArticleBody"/>
        <w:jc w:val="left"/>
      </w:pPr>
      <w:r>
        <w:rPr>
          <w:rFonts w:ascii="Times New Roman" w:hAnsi="Times New Roman" w:eastAsia="Times New Roman" w:cs="Times New Roman"/>
        </w:rPr>
        <w:t>Inundune y’Abayuda mu gihe ca Yesu yagenda mu byiciro bitatu nyamukuru, kenshi bikamara amezi menshi canke umwaka. Intambwe ya mbere yari ukwubakana kwemewe n’amategeko, kwitwa ugusabirana, aho ico gihe urubano rw’abubakanye rwaba rumaze gushingwa n’amategeko, ariko umugeni n’umukwe bakaguma batandukanye, mu gihe umukwe yasubira mu nzu ya se gutegurira umugeni wiwe ikibanza. Ni co gituma Mariya, umugore wa Yosefu, yitwa umugore wiwe n’imbere y’uko babana. Ukutizigama muri ico gihe kwafatwa nk’ubusambanyi.</w:t>
      </w:r>
    </w:p>
    <w:p>
      <w:pPr>
        <w:pStyle w:val="ArticleBody"/>
        <w:jc w:val="left"/>
      </w:pPr>
      <w:r>
        <w:rPr>
          <w:rFonts w:ascii="Times New Roman" w:hAnsi="Times New Roman" w:eastAsia="Times New Roman" w:cs="Times New Roman"/>
        </w:rPr>
        <w:t>Тæссаг фæдылдзинад нæ бафæлварын кодта, æмæ уыд хъуамæ уыд бонты, къуыриты æви мæйты фæстæ. Нæ бафæлварындзинад у æмбисонты радзырды сæйраг æууæнк. Фыд æмбæлдæй бакæсын кæнынмæ фæуæзын кодта æдæппæт азы онг, чызджы сыгъдæгдзинад æххæст кæнынмæ гæсгæ. Усгур нæ зæгъыдта йæ фæстæмæ цæуы бон æмæ сахат, уымæн æмæ уый уыд йæ фыды унаффæ, кæд уæдæ фæстæмæ цæуын кæд æмæ куы, уый бафæлварын. Афтæмæй чызг зоныд, æмæ чындзхаст цæудзæн, фæлæ нæ зоныд, куы. Ахæм нæ бафæлварындзинад уыд намереннейæ, æмæ фыд кæцæй усгуры барæ дæттынмæ йæ чызджы æрбахæссын кæны, уæдмæ бæрæгæй баст æппæт дæр фæхъæуыд.</w:t>
      </w:r>
    </w:p>
    <w:p>
      <w:pPr>
        <w:pStyle w:val="ArticleBody"/>
        <w:jc w:val="left"/>
      </w:pPr>
      <w:r>
        <w:rPr>
          <w:rFonts w:ascii="Times New Roman" w:hAnsi="Times New Roman" w:eastAsia="Times New Roman" w:cs="Times New Roman"/>
        </w:rPr>
        <w:t>Àwọngbà tí bàbá náà bá ní, “lọ mú ìyàwó rẹ wá,” ọkọ ìyàwó náà yóò máa dé ní òru, pẹ̀lú àwọn ọ̀rẹ́ rẹ̀, ní ìkéde ńlá àti ní fífọn ipè. Ní gbogbo ìgbà, ó máa ń ṣẹlẹ̀ ní òru láti yẹra fún ìrìn àjò jìnnà nínú ooru ọ̀sán, èyí tí ó lè jẹ́ líle gan-an ní ilẹ̀ Ísírẹ́lì. Àwọn òrùka iná àti òróró ni a nílò, nítorí kò sí ìmọ́lẹ̀ òpópónà, àti pé ìrìn àjò ìpẹ̀yà náà lè gba ọ̀pọ̀ wákàtí. Gbólóhùn àṣà gidi nínú àwọn ìgbéyàwó Heberu àtijọ́ tí a máa ń kéde nígbà àwọn ìrìn àjò náà ni pé, “Wò ó, ọkọ ìyàwó ń bọ̀!”</w:t>
      </w:r>
    </w:p>
    <w:p>
      <w:pPr>
        <w:pStyle w:val="ArticleBody"/>
        <w:jc w:val="left"/>
      </w:pPr>
      <w:r>
        <w:rPr>
          <w:rFonts w:ascii="MV Boli" w:hAnsi="MV Boli" w:eastAsia="MV Boli" w:cs="MV Boli"/>
        </w:rPr>
        <w:t>މިސާލުގައި</w:t>
      </w:r>
      <w:r>
        <w:rPr>
          <w:rFonts w:ascii="Times New Roman" w:hAnsi="Times New Roman" w:eastAsia="Times New Roman" w:cs="Times New Roman"/>
        </w:rPr>
        <w:t xml:space="preserve"> </w:t>
      </w:r>
      <w:r>
        <w:rPr>
          <w:rFonts w:ascii="MV Boli" w:hAnsi="MV Boli" w:eastAsia="MV Boli" w:cs="MV Boli"/>
        </w:rPr>
        <w:t>މިންނާތައް</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ޚާދިމުން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ފަހުމެއް</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އަންހެނުން</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ކާވެނިވެރިޔާގެ</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ޚާދިމުން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އޭނާއާއެކު</w:t>
      </w:r>
      <w:r>
        <w:rPr>
          <w:rFonts w:ascii="Times New Roman" w:hAnsi="Times New Roman" w:eastAsia="Times New Roman" w:cs="Times New Roman"/>
        </w:rPr>
        <w:t xml:space="preserve"> </w:t>
      </w:r>
      <w:r>
        <w:rPr>
          <w:rFonts w:ascii="MV Boli" w:hAnsi="MV Boli" w:eastAsia="MV Boli" w:cs="MV Boli"/>
        </w:rPr>
        <w:t>ބަލައިހުރި</w:t>
      </w:r>
      <w:r>
        <w:rPr>
          <w:rFonts w:ascii="Times New Roman" w:hAnsi="Times New Roman" w:eastAsia="Times New Roman" w:cs="Times New Roman"/>
        </w:rPr>
        <w:t xml:space="preserve">، </w:t>
      </w:r>
      <w:r>
        <w:rPr>
          <w:rFonts w:ascii="MV Boli" w:hAnsi="MV Boli" w:eastAsia="MV Boli" w:cs="MV Boli"/>
        </w:rPr>
        <w:t>ސަފަރުގައި</w:t>
      </w:r>
      <w:r>
        <w:rPr>
          <w:rFonts w:ascii="Times New Roman" w:hAnsi="Times New Roman" w:eastAsia="Times New Roman" w:cs="Times New Roman"/>
        </w:rPr>
        <w:t xml:space="preserve"> </w:t>
      </w:r>
      <w:r>
        <w:rPr>
          <w:rFonts w:ascii="MV Boli" w:hAnsi="MV Boli" w:eastAsia="MV Boli" w:cs="MV Boli"/>
        </w:rPr>
        <w:t>ގުޅޭން</w:t>
      </w:r>
      <w:r>
        <w:rPr>
          <w:rFonts w:ascii="Times New Roman" w:hAnsi="Times New Roman" w:eastAsia="Times New Roman" w:cs="Times New Roman"/>
        </w:rPr>
        <w:t xml:space="preserve"> </w:t>
      </w:r>
      <w:r>
        <w:rPr>
          <w:rFonts w:ascii="MV Boli" w:hAnsi="MV Boli" w:eastAsia="MV Boli" w:cs="MV Boli"/>
        </w:rPr>
        <w:t>އުންމީދުކުރެވޭ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ގަޑިއެއްގައިވެސް</w:t>
      </w:r>
      <w:r>
        <w:rPr>
          <w:rFonts w:ascii="Times New Roman" w:hAnsi="Times New Roman" w:eastAsia="Times New Roman" w:cs="Times New Roman"/>
        </w:rPr>
        <w:t xml:space="preserve"> </w:t>
      </w:r>
      <w:r>
        <w:rPr>
          <w:rFonts w:ascii="MV Boli" w:hAnsi="MV Boli" w:eastAsia="MV Boli" w:cs="MV Boli"/>
        </w:rPr>
        <w:t>ތައްޔާރުވެ</w:t>
      </w:r>
      <w:r>
        <w:rPr>
          <w:rFonts w:ascii="Times New Roman" w:hAnsi="Times New Roman" w:eastAsia="Times New Roman" w:cs="Times New Roman"/>
        </w:rPr>
        <w:t xml:space="preserve"> </w:t>
      </w:r>
      <w:r>
        <w:rPr>
          <w:rFonts w:ascii="MV Boli" w:hAnsi="MV Boli" w:eastAsia="MV Boli" w:cs="MV Boli"/>
        </w:rPr>
        <w:t>ހުންނަން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މަގު</w:t>
      </w:r>
      <w:r>
        <w:rPr>
          <w:rFonts w:ascii="Times New Roman" w:hAnsi="Times New Roman" w:eastAsia="Times New Roman" w:cs="Times New Roman"/>
        </w:rPr>
        <w:t xml:space="preserve"> </w:t>
      </w:r>
      <w:r>
        <w:rPr>
          <w:rFonts w:ascii="MV Boli" w:hAnsi="MV Boli" w:eastAsia="MV Boli" w:cs="MV Boli"/>
        </w:rPr>
        <w:t>ކާވެނިވެރިޔާގެ</w:t>
      </w:r>
      <w:r>
        <w:rPr>
          <w:rFonts w:ascii="Times New Roman" w:hAnsi="Times New Roman" w:eastAsia="Times New Roman" w:cs="Times New Roman"/>
        </w:rPr>
        <w:t xml:space="preserve"> </w:t>
      </w:r>
      <w:r>
        <w:rPr>
          <w:rFonts w:ascii="MV Boli" w:hAnsi="MV Boli" w:eastAsia="MV Boli" w:cs="MV Boli"/>
        </w:rPr>
        <w:t>ގެއަށް</w:t>
      </w:r>
      <w:r>
        <w:rPr>
          <w:rFonts w:ascii="Times New Roman" w:hAnsi="Times New Roman" w:eastAsia="Times New Roman" w:cs="Times New Roman"/>
        </w:rPr>
        <w:t xml:space="preserve"> </w:t>
      </w:r>
      <w:r>
        <w:rPr>
          <w:rFonts w:ascii="MV Boli" w:hAnsi="MV Boli" w:eastAsia="MV Boli" w:cs="MV Boli"/>
        </w:rPr>
        <w:t>އަލިކުރުމަށް</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ޒާތީ</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ގެންގުޅުން</w:t>
      </w:r>
      <w:r>
        <w:rPr>
          <w:rFonts w:ascii="Times New Roman" w:hAnsi="Times New Roman" w:eastAsia="Times New Roman" w:cs="Times New Roman"/>
        </w:rPr>
        <w:t xml:space="preserve"> </w:t>
      </w:r>
      <w:r>
        <w:rPr>
          <w:rFonts w:ascii="MV Boli" w:hAnsi="MV Boli" w:eastAsia="MV Boli" w:cs="MV Boli"/>
        </w:rPr>
        <w:t>މަސްއޫލުވެ</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މަޝާލުތައް</w:t>
      </w:r>
      <w:r>
        <w:rPr>
          <w:rFonts w:ascii="Times New Roman" w:hAnsi="Times New Roman" w:eastAsia="Times New Roman" w:cs="Times New Roman"/>
        </w:rPr>
        <w:t xml:space="preserve"> </w:t>
      </w:r>
      <w:r>
        <w:rPr>
          <w:rFonts w:ascii="MV Boli" w:hAnsi="MV Boli" w:eastAsia="MV Boli" w:cs="MV Boli"/>
        </w:rPr>
        <w:t>އަނދާވަރުން</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އަވަސްކަމާއެކު</w:t>
      </w:r>
      <w:r>
        <w:rPr>
          <w:rFonts w:ascii="Times New Roman" w:hAnsi="Times New Roman" w:eastAsia="Times New Roman" w:cs="Times New Roman"/>
        </w:rPr>
        <w:t xml:space="preserve"> </w:t>
      </w:r>
      <w:r>
        <w:rPr>
          <w:rFonts w:ascii="MV Boli" w:hAnsi="MV Boli" w:eastAsia="MV Boli" w:cs="MV Boli"/>
        </w:rPr>
        <w:t>އަނދަނީ</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w:t>
      </w:r>
      <w:r>
        <w:rPr>
          <w:rFonts w:ascii="MV Boli" w:hAnsi="MV Boli" w:eastAsia="MV Boli" w:cs="MV Boli"/>
        </w:rPr>
        <w:t>ދިގު</w:t>
      </w:r>
      <w:r>
        <w:rPr>
          <w:rFonts w:ascii="Times New Roman" w:hAnsi="Times New Roman" w:eastAsia="Times New Roman" w:cs="Times New Roman"/>
        </w:rPr>
        <w:t xml:space="preserve"> </w:t>
      </w:r>
      <w:r>
        <w:rPr>
          <w:rFonts w:ascii="MV Boli" w:hAnsi="MV Boli" w:eastAsia="MV Boli" w:cs="MV Boli"/>
        </w:rPr>
        <w:t>ދަތުރެއް</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ނަމަ</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ގެންދިޔުން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ޒަރޫރީ</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އެކުގައި</w:t>
      </w:r>
      <w:r>
        <w:rPr>
          <w:rFonts w:ascii="Times New Roman" w:hAnsi="Times New Roman" w:eastAsia="Times New Roman" w:cs="Times New Roman"/>
        </w:rPr>
        <w:t xml:space="preserve"> </w:t>
      </w:r>
      <w:r>
        <w:rPr>
          <w:rFonts w:ascii="MV Boli" w:hAnsi="MV Boli" w:eastAsia="MV Boli" w:cs="MV Boli"/>
        </w:rPr>
        <w:t>ބައިވެރިކޮށް</w:t>
      </w:r>
      <w:r>
        <w:rPr>
          <w:rFonts w:ascii="Times New Roman" w:hAnsi="Times New Roman" w:eastAsia="Times New Roman" w:cs="Times New Roman"/>
        </w:rPr>
        <w:t xml:space="preserve"> </w:t>
      </w:r>
      <w:r>
        <w:rPr>
          <w:rFonts w:ascii="MV Boli" w:hAnsi="MV Boli" w:eastAsia="MV Boli" w:cs="MV Boli"/>
        </w:rPr>
        <w:t>ބެހެއްޓުމެއް</w:t>
      </w:r>
      <w:r>
        <w:rPr>
          <w:rFonts w:ascii="Times New Roman" w:hAnsi="Times New Roman" w:eastAsia="Times New Roman" w:cs="Times New Roman"/>
        </w:rPr>
        <w:t xml:space="preserve"> </w:t>
      </w:r>
      <w:r>
        <w:rPr>
          <w:rFonts w:ascii="MV Boli" w:hAnsi="MV Boli" w:eastAsia="MV Boli" w:cs="MV Boli"/>
        </w:rPr>
        <w:t>ނެތެވެ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Uginay ukak nay kinalaingan idi sinaunang prosesyon ken panagkasar ket saan a problema iti kultura. Maipalubos dagiti pannakataktakder, ken ti makaturog ket kasla laeng a naurnos. Ti pannakaiduma ket saan a adda iti pannakaturog, no di ket iti panagsagana, saan a iti panagriing. Dagiti maag a birhen saan da a nagplano para iti pannakataktakder a kas iti inaramid dagiti masirib. Amin ket matmaturog agsipud ta ti panawen manipud iti legal a pannakaikattulag agingga iti pannakakompleto ti panagkasar ket mabalin a agdurar iti maysa a tawen.</w:t>
      </w:r>
    </w:p>
    <w:p>
      <w:pPr>
        <w:pStyle w:val="ArticleBody"/>
        <w:jc w:val="left"/>
      </w:pPr>
      <w:r>
        <w:rPr>
          <w:rFonts w:ascii="Times New Roman" w:hAnsi="Times New Roman" w:eastAsia="Times New Roman" w:cs="Times New Roman"/>
        </w:rPr>
        <w:t>Lëgəza duuma minč’aanii mana geessinan boo, cidha afaanii jalqabame, balballis guutumaan guutuutti cufame; warri booddee dhufan immoo keessa hin seensifamne. Kun gara-jabeenya hin turre—duudhaa ture; namni balballi cufamee booddee dhufee rukutu kamiyyuu hiriira sana keessaa akka hin taane agarsiisa ture.</w:t>
      </w:r>
    </w:p>
    <w:p>
      <w:pPr>
        <w:pStyle w:val="ArticleBody"/>
        <w:jc w:val="left"/>
      </w:pPr>
      <w:r>
        <w:rPr>
          <w:rFonts w:ascii="Times New Roman" w:hAnsi="Times New Roman" w:eastAsia="Times New Roman" w:cs="Times New Roman"/>
        </w:rPr>
        <w:t>Jesus no estaba inventando imágenes, y no dio ninguna explicación de esta parábola como solía hacer a menudo. No necesitaba dar explicación, pues todos estos detalles culturales eran plenamente comprendidos por Su audiencia. Jesus estaba identificando un matrimonio oriental literal, no una abstracción.</w:t>
      </w:r>
    </w:p>
    <w:p>
      <w:pPr>
        <w:pStyle w:val="ArticleBody"/>
        <w:jc w:val="left"/>
      </w:pPr>
      <w:r>
        <w:rPr>
          <w:rFonts w:ascii="Times New Roman" w:hAnsi="Times New Roman" w:eastAsia="Times New Roman" w:cs="Times New Roman"/>
        </w:rPr>
        <w:t>Los pormenores quedan plenamente confirmados tanto por el testimonio hebreo como por los historiadores de los períodos romano y griego.</w:t>
      </w:r>
    </w:p>
    <w:p>
      <w:pPr>
        <w:pStyle w:val="ArticleBody"/>
        <w:jc w:val="left"/>
      </w:pPr>
      <w:r>
        <w:rPr>
          <w:rFonts w:ascii="Times New Roman" w:hAnsi="Times New Roman" w:eastAsia="Times New Roman" w:cs="Times New Roman"/>
        </w:rPr>
        <w:t>המִשְׁנָה (המאה ה־2 לספירה, אך משמרת מנהגי תקופת המקדש שלפני שנת 70 לספירה)</w:t>
      </w:r>
    </w:p>
    <w:p>
      <w:pPr>
        <w:pStyle w:val="ArticleBody"/>
        <w:jc w:val="left"/>
      </w:pPr>
      <w:r>
        <w:rPr>
          <w:rFonts w:ascii="Times New Roman" w:hAnsi="Times New Roman" w:eastAsia="Times New Roman" w:cs="Times New Roman"/>
        </w:rPr>
        <w:t>Талмуд (составлен позднее, но приводит более раннюю практику)</w:t>
      </w:r>
    </w:p>
    <w:p>
      <w:pPr>
        <w:pStyle w:val="ArticleBody"/>
        <w:jc w:val="left"/>
      </w:pPr>
      <w:r>
        <w:rPr>
          <w:rFonts w:ascii="Times New Roman" w:hAnsi="Times New Roman" w:eastAsia="Times New Roman" w:cs="Times New Roman"/>
        </w:rPr>
        <w:t>ژوزیفۆس (مێژووناسی جولەکەی سەدەی یەکەم)</w:t>
      </w:r>
    </w:p>
    <w:p>
      <w:pPr>
        <w:pStyle w:val="ArticleBody"/>
        <w:jc w:val="left"/>
      </w:pPr>
      <w:r>
        <w:rPr>
          <w:rFonts w:ascii="Times New Roman" w:hAnsi="Times New Roman" w:eastAsia="Times New Roman" w:cs="Times New Roman"/>
        </w:rPr>
        <w:t>Liturgya ya cưöth Rabbinic ku kɔc yïic lögöc</w:t>
      </w:r>
    </w:p>
    <w:p>
      <w:pPr>
        <w:pStyle w:val="ArticleBody"/>
        <w:jc w:val="left"/>
      </w:pPr>
      <w:r>
        <w:rPr>
          <w:rFonts w:ascii="Times New Roman" w:hAnsi="Times New Roman" w:eastAsia="Times New Roman" w:cs="Times New Roman"/>
        </w:rPr>
        <w:t>«جۇدىيەگە قارىتا گىرېك-رومالىق كۆزەتكۈچىلەر»</w:t>
      </w:r>
    </w:p>
    <w:p>
      <w:pPr>
        <w:pStyle w:val="ArticleBody"/>
        <w:jc w:val="left"/>
      </w:pPr>
      <w:r>
        <w:rPr>
          <w:rFonts w:ascii="Times New Roman" w:hAnsi="Times New Roman" w:eastAsia="Times New Roman" w:cs="Times New Roman"/>
        </w:rPr>
        <w:t>Жозефус «тӯй қўлланмаси»ни тартибли шаклда тақдим этмайди, аммо у назарда тутган ҳуқуқий ва маданий тафсилотлар Мишна/Талмуд тавсифлари билан мутлақо мувофиқ келади. Асосий манба — Мишнадир.</w:t>
      </w:r>
    </w:p>
    <w:p>
      <w:pPr>
        <w:pStyle w:val="ArticleBody"/>
        <w:jc w:val="left"/>
      </w:pPr>
      <w:r>
        <w:rPr>
          <w:rFonts w:ascii="Nirmala UI" w:hAnsi="Nirmala UI" w:eastAsia="Nirmala UI" w:cs="Nirmala UI"/>
        </w:rPr>
        <w:t>समझौनियेले</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शताब्दीका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श्रोतामाथि</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बत्तीहरू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वस्तुहरू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वैधानिक</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जुलुसबीचको</w:t>
      </w:r>
      <w:r>
        <w:rPr>
          <w:rFonts w:ascii="Times New Roman" w:hAnsi="Times New Roman" w:eastAsia="Times New Roman" w:cs="Times New Roman"/>
        </w:rPr>
        <w:t xml:space="preserve"> </w:t>
      </w:r>
      <w:r>
        <w:rPr>
          <w:rFonts w:ascii="Nirmala UI" w:hAnsi="Nirmala UI" w:eastAsia="Nirmala UI" w:cs="Nirmala UI"/>
        </w:rPr>
        <w:t>ढिलाइ</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विधिअनुसारकै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बहिष्कृत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कुँवारीहरू</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श्रोताका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कुँवारीहरूको</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w:t>
      </w:r>
      <w:r>
        <w:rPr>
          <w:rFonts w:ascii="Nirmala UI" w:hAnsi="Nirmala UI" w:eastAsia="Nirmala UI" w:cs="Nirmala UI"/>
        </w:rPr>
        <w:t>विधानलाई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श्रोताहरूलाई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कुँवारीहरूप्रति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सहानुभूति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जुलुसमा</w:t>
      </w:r>
      <w:r>
        <w:rPr>
          <w:rFonts w:ascii="Times New Roman" w:hAnsi="Times New Roman" w:eastAsia="Times New Roman" w:cs="Times New Roman"/>
        </w:rPr>
        <w:t xml:space="preserve"> </w:t>
      </w:r>
      <w:r>
        <w:rPr>
          <w:rFonts w:ascii="Nirmala UI" w:hAnsi="Nirmala UI" w:eastAsia="Nirmala UI" w:cs="Nirmala UI"/>
        </w:rPr>
        <w:t>सहभागी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बोलाइएकी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कुँवारीका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एकदमै</w:t>
      </w:r>
      <w:r>
        <w:rPr>
          <w:rFonts w:ascii="Times New Roman" w:hAnsi="Times New Roman" w:eastAsia="Times New Roman" w:cs="Times New Roman"/>
        </w:rPr>
        <w:t xml:space="preserve"> </w:t>
      </w:r>
      <w:r>
        <w:rPr>
          <w:rFonts w:ascii="Nirmala UI" w:hAnsi="Nirmala UI" w:eastAsia="Nirmala UI" w:cs="Nirmala UI"/>
        </w:rPr>
        <w:t>अनिवार्य</w:t>
      </w:r>
      <w:r>
        <w:rPr>
          <w:rFonts w:ascii="Times New Roman" w:hAnsi="Times New Roman" w:eastAsia="Times New Roman" w:cs="Times New Roman"/>
        </w:rPr>
        <w:t xml:space="preserve"> </w:t>
      </w:r>
      <w:r>
        <w:rPr>
          <w:rFonts w:ascii="Nirmala UI" w:hAnsi="Nirmala UI" w:eastAsia="Nirmala UI" w:cs="Nirmala UI"/>
        </w:rPr>
        <w:t>जिम्मेवारी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सबैलाई</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श्रोताका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समझौनिको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لائودیکیه‌ای - شمارۀ سی‌ونهم</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