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یۆئیل و کڵێسای ئەدوێنتیستی حەوت ڕۆژی لاودیکیا - ژمارە چل</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رقم أربعين</w:t>
      </w:r>
    </w:p>
    <w:p>
      <w:pPr>
        <w:pStyle w:val="ArticleBody"/>
        <w:jc w:val="left"/>
      </w:pPr>
      <w:r>
        <w:rPr>
          <w:rFonts w:ascii="Times New Roman" w:hAnsi="Times New Roman" w:eastAsia="Times New Roman" w:cs="Times New Roman"/>
        </w:rPr>
        <w:t>پېترس په سمبولیک ډول د قیصریه فلیپي په ښار کې، په درېیم ساعت کې، قیصریه ماریټیما او نهم ساعت ته د خپل سفر پر لاره و. د متی او مرقس په وینا، شپږ ورځې وروسته، پېترس، یعقوب او یوحنا د تجلي په غره کې وو. لوقا اته ورځې یادوي، د پانیوم او غره ترمنځ. د دوزخ له دروازو څخه، په قیصریه فلیپي کې، د صلیب تر مرګه پورې، او په دې لاره کې د تجلي په غره کې له یوه تمځای سره. له پانیوم څخه تر یکشنبې قانون پورې درې ګامه. قیصریه په پیل کې، غر په منځ کې، او قیصریه په پای کې. دوزخ په پیل کې، مرګ په پای کې، او په منځ کې د خدای جلال. یو الفا بغاوت چې د دوزخ د دروازو له خوا تمثیل شوی، او یو اومېګا بغاوت چې د خدای د زوی د مرګ له خوا تمثیل شوی.</w:t>
      </w:r>
    </w:p>
    <w:p>
      <w:pPr>
        <w:pStyle w:val="ArticleBody"/>
        <w:jc w:val="left"/>
      </w:pPr>
      <w:r>
        <w:rPr>
          <w:rFonts w:ascii="Times New Roman" w:hAnsi="Times New Roman" w:eastAsia="Times New Roman" w:cs="Times New Roman"/>
        </w:rPr>
        <w:t>Կեսարիա Փիլիպպէն հիմքն է, որովհետև այնտեղ Քրիստոսը ցույց տուաւ այն Վէմը, որի վրա Նա պիտի շինէր Իր եկեղեցին։ Պայծառակերպութեան լեռը երկրորդ քայլն է, ուր տաճարը աւարտւում է և գագաթաքարը դրւում է։ Այնուհետև եկաւ դատաստանի երրորդ քայլը՝ խաչի վրա։</w:t>
      </w:r>
    </w:p>
    <w:p>
      <w:pPr>
        <w:pStyle w:val="ArticleScripture"/>
        <w:jc w:val="left"/>
      </w:pPr>
      <w:r>
        <w:rPr>
          <w:rFonts w:ascii="Times New Roman" w:hAnsi="Times New Roman" w:eastAsia="Times New Roman" w:cs="Times New Roman"/>
        </w:rPr>
        <w:t>И ул сиҭан: Ажәаа гәырҩада ишәсҳәоит шәара, ара игылоу рыбжьара иҟоуп урҭ руаӡәкқәа, урҭ аԥсра знымбацт, Анцәа Иаҳра амч ала иаауеит ҳәа ианырбаанӡа. Ашьҭахь фымш анҵы, Иисус Иԥаҩ зцу Пиотр, Иаков, Иоанн, нас урҭ рымацара иаарган дыҩхалан ҳараккьа аԥыҭҟа; уа урҭ рҿаԥхьа Иԥсабара иԥсахын. Уи ишәҵасқәагьы еилашарахеит, асы еиԥш иԥшьӡаӡахеит; адгьыл үстәи аӡәгьы, ахламҳәаҩгьы, урҭ убас иԥшьызжәлом. Нас урҭ ирбеит Ильиа Моисеи дицны; урҭ Иисус иҿцәажәон.</w:t>
      </w:r>
    </w:p>
    <w:p>
      <w:pPr>
        <w:pStyle w:val="ArticleScripture"/>
        <w:jc w:val="left"/>
      </w:pPr>
      <w:r>
        <w:rPr>
          <w:rFonts w:ascii="Times New Roman" w:hAnsi="Times New Roman" w:eastAsia="Times New Roman" w:cs="Times New Roman"/>
        </w:rPr>
        <w:t>اَ پطرس جواب دیس اَ عیسیٰ سُن اَکھت، اُستاد، یتھ اسہِ ہون گژھُن چُھ بَہ چھُس؛ تہ آو، اسہِ ترٛے خیمہ بنٲو: اَکھ تُہندس خاطر، اَکھ موسیٰس خاطر، تہ اَکھ ایلیاسس خاطر۔</w:t>
      </w:r>
    </w:p>
    <w:p>
      <w:pPr>
        <w:pStyle w:val="ArticleScripture"/>
        <w:jc w:val="left"/>
      </w:pPr>
      <w:r>
        <w:rPr>
          <w:rFonts w:ascii="Times New Roman" w:hAnsi="Times New Roman" w:eastAsia="Times New Roman" w:cs="Times New Roman"/>
        </w:rPr>
        <w:t>چۈنكى ئۇ نېمە دېيىشنى بىلمىدى؛ چۈنكى ئۇلار قاتتىق قورققان ئىدى. شۇ چاغدا ئۇلارنى سايە قىلغان بىر بۇلۇت پەيدا بولدى؛ ۋە بۇلۇت ئىچىدىن بىر ئاۋاز چىقىپ: «بۇ مېنىڭ سۆيۈملۈك ئوغلۇمدۇر؛ ئۇنىڭغا قۇلاق سېلىڭلار» دېدى. ۋە تۇيۇقسىز، ئەتراپىغا قارىغانلىرىدا، ئەمدى ئۆزلىرى بىلەن بىللە يالغۇز ئەيسادىن باشقا ھېچكىمنى كۆرمىدىلەر. ئۇلار تاغدىن چۈشۈپ كېلىۋاتقاندا، ئۇ كۆرىگەنلىرىنى ئىنسانئوغلى ئۆلۈكلەر ئارىسىدىن تىرىلىپ چىققىچە ھېچكىمگە ئېيتماسلىقىنى ئۇلارغا بۇيرۇدى. ئۇلار بۇ سۆزنى ئۆز ئارىلىرىدا ساقلاپ، «ئۆلۈكلەر ئارىسىدىن تىرىلىش» نىڭ نېمىنى بىلدۈرىدىغانلىقى توغرىسىدا بىر-بىرى بىلەن مۇزاكىرە قىلىشتى. ماركۇس 9:1–10.</w:t>
      </w:r>
    </w:p>
    <w:p>
      <w:pPr>
        <w:pStyle w:val="ArticleBody"/>
        <w:jc w:val="left"/>
      </w:pPr>
      <w:r>
        <w:rPr>
          <w:rFonts w:ascii="Times New Roman" w:hAnsi="Times New Roman" w:eastAsia="Times New Roman" w:cs="Times New Roman"/>
        </w:rPr>
        <w:t>ئەو لەسەر شاخەکە، پەیتەر پێشنیار دەکات چادرییەک بۆ موسا، مەسیح و ئیلیاس دروست بکات.</w:t>
      </w:r>
    </w:p>
    <w:p>
      <w:pPr>
        <w:pStyle w:val="ArticleScripture"/>
        <w:jc w:val="left"/>
      </w:pPr>
      <w:r>
        <w:rPr>
          <w:rFonts w:ascii="Times New Roman" w:hAnsi="Times New Roman" w:eastAsia="Times New Roman" w:cs="Times New Roman"/>
        </w:rPr>
        <w:t>«Մովսեսը անցավ մահվան միջով, բայց Միքայելը իջավ և նրան կյանք տվեց, նախքան նրա մարմինը ապականություն տեսներ։ Սատանան փորձեց պահել մարմինը՝ այն իրենը համարելով, բայց Միքայելը հարություն տվեց Մովսեսին և նրան տարավ երկինք։ Սատանան դառնությամբ բորբոքված անարգանքով խոսեց Աստծու դեմ՝ Նրան անարդար կոչելով այն բանի համար, որ թույլ տվեց իր որսը իրենից վերցվի, բայց Քրիստոսը չհանդիմանեց Իր հակառակորդին, թեև հենց նրա փորձության պատճառով էր, որ Աստծու ծառան ընկել էր։ Նա հեզությամբ նրան հանձնեց Իր Հորը՝ ասելով. «Տերը քեզ սաստի»։</w:t>
      </w:r>
    </w:p>
    <w:p>
      <w:pPr>
        <w:pStyle w:val="ArticleScripture"/>
        <w:jc w:val="left"/>
      </w:pPr>
      <w:r>
        <w:rPr>
          <w:rFonts w:ascii="Times New Roman" w:hAnsi="Times New Roman" w:eastAsia="Times New Roman" w:cs="Times New Roman"/>
        </w:rPr>
        <w:t>«Jesus شاگردنِ خوده گفته بود که بعضی از آنانی که با او ایستاده‌اند، طعم مرگ را نخواهند چشید تا آن‌که پادشاهی خدا را ببینند که با قدرت می‌آید. در تجلی، این وعده به انجام رسید. سیمای Jesus در آن‌جا دگرگون شد و مانند آفتاب درخشید. جامه‌اش سفید و تابناک بود. Moses حاضر بود تا نمایندهٔ کسانی باشد که در ظهور دوم Jesus از مردگان برانگیخته خواهند شد. و Elijah، که بدون دیدن مرگ منتقل شد، نمایندهٔ کسانی بود که در آمدن دوم Christ به جاودانگی دگرگون خواهند شد و بدون دیدن مرگ به آسمان منتقل خواهند گردید. شاگردان با شگفتی و بیم، جلالِ والا و باشکوه Jesus و ابری را که بر آنان سایه افکنده بود مشاهده کردند، و آواز خدا را در هیبتِ هولناک شنیدند که می‌گفت: «این است پسرِ حبیبِ من؛ او را بشنوید.»» Early Writings, 164.</w:t>
      </w:r>
    </w:p>
    <w:p>
      <w:pPr>
        <w:pStyle w:val="ArticleBody"/>
        <w:jc w:val="left"/>
      </w:pPr>
      <w:r>
        <w:rPr>
          <w:rFonts w:ascii="Times New Roman" w:hAnsi="Times New Roman" w:eastAsia="Times New Roman" w:cs="Times New Roman"/>
        </w:rPr>
        <w:t>Дэгдэхүүн Уул нь гурван асрыг тодорхойлж байна. Эртний Израилийн эхэн үе дэх Мосегийн асар, Христийн бие махбодтой болсон байдлаар нь төлөөлөгдөх Христийн асар, мөн Елиагаар төлөөлөгдөх нэг зуун дөчин дөрвөн мянга болох асар юм. Нэг зуун дөчин дөрвөн мянга гэдэг нь Христийн Хоёр дахь Ирэлтийг үзэх хүртлээ үхлийг амсдаггүй хүмүүс юм. Тэр Уул нь лац нэг зуун дөчин дөрвөн мянган дээр дарагдан тавигдах мөчийг зааж байна.</w:t>
      </w:r>
    </w:p>
    <w:p>
      <w:pPr>
        <w:pStyle w:val="ArticleBody"/>
        <w:jc w:val="left"/>
      </w:pPr>
      <w:r>
        <w:rPr>
          <w:rFonts w:ascii="Times New Roman" w:hAnsi="Times New Roman" w:eastAsia="Times New Roman" w:cs="Times New Roman"/>
        </w:rPr>
        <w:t>١٤٤٬٠٠٠ عەبادەتگاھى تەبىئىي مەنىسىدىكى چادرلار ھەيتىدە تۇرغۇزۇلىدۇ. تاغ ئۆلۈمنى تاتمايدىغانلارنى ئايرىپ كۆرسىتىدۇ ۋە ئۇلار تاغدا خۇدانىڭ شان-شەرىپىنى كۆرگەندە، بۇنىڭ تەبىئىي مەنىسىدىكى چادرلار ھەيتى ئىكەنلىكىگە ئۈچ گۇۋاھنى ئوتتۇرىغا قويىدۇ.</w:t>
      </w:r>
    </w:p>
    <w:p>
      <w:pPr>
        <w:pStyle w:val="ArticleBody"/>
        <w:jc w:val="left"/>
      </w:pPr>
      <w:r>
        <w:rPr>
          <w:rFonts w:ascii="Times New Roman" w:hAnsi="Times New Roman" w:eastAsia="Times New Roman" w:cs="Times New Roman"/>
        </w:rPr>
        <w:t>Iwo ni a gbé dìde gẹ́gẹ́ bí àgọ́ Elijah, tí a bẹ̀rẹ̀ sí í tún dìde ní ọdún 2023, nígbà tí a jí Moses àti Elijah dìde. Ní ìbẹ̀rẹ̀ a fi ìpìlẹ̀ lelẹ̀, èyí tí í ṣe ìpìlẹ̀ kan ṣoṣo tí a lè lélẹ̀, àti pé ìpìlẹ̀ náà ni Kristi, igun àti òkúta ìpìlẹ̀. Lẹ́yìn náà ni a fi òkúta àkẹ́yìn sí i, èyí tí ó dúró fún fífi èdìdì lé ẹgbẹ̀rún mẹ́rìnlélọ́gọ́rin [one hundred and forty-four thousand] gẹ́gẹ́ bí a ti ṣojú wọn ní Òkè Ìyípadà. Lórí Òkè náà Peter, James àti John dúró fún àwọn tí kì í tọ́ ikú wò ní tòótọ́. Peter sì kọ sílẹ̀ lẹ́yìn náà pé ìjọba àwọn àlùfáà ni àwọn tí wọ́n ti tọ́ wò pé Olúwa dára, àti àwọn tí wọ́n jẹ́ ilé ẹ̀mí. Wọ́n tọ́ ìyè wò, nítorí náà wọn kì í tọ́ ikú wò.</w:t>
      </w:r>
    </w:p>
    <w:p>
      <w:pPr>
        <w:pStyle w:val="ArticleScripture"/>
        <w:jc w:val="left"/>
      </w:pPr>
      <w:r>
        <w:rPr>
          <w:rFonts w:ascii="Times New Roman" w:hAnsi="Times New Roman" w:eastAsia="Times New Roman" w:cs="Times New Roman"/>
        </w:rPr>
        <w:t>اگر واقعاً شما چشیده‌اید که خداوند کریم است. نزد او می‌آیید، همچون نزد سنگی زنده، که هرچند از سوی مردمان مردود شمرده شد، اما نزد خدا برگزیده و گرانبهاست؛ شما نیز، همچون سنگ‌های زنده، بنایی روحانی ساخته می‌شوید، کهانتِ مقدس، تا قربانی‌های روحانی را که به‌واسطۀ عیسی مسیح نزد خدا مقبول است، تقدیم کنید. ازاین‌رو در کتاب مقدس نیز آمده است: «اینک، در صهیون سنگ زاویۀ اصلی، برگزیده و گرانبها می‌نهم؛ و هر که به او ایمان آورد، هرگز سرافکنده نخواهد شد.» اول پطرس ۲:‏۳–۶.</w:t>
      </w:r>
    </w:p>
    <w:p>
      <w:pPr>
        <w:pStyle w:val="ArticleBody"/>
        <w:jc w:val="left"/>
      </w:pPr>
      <w:r>
        <w:rPr>
          <w:rFonts w:ascii="Times New Roman" w:hAnsi="Times New Roman" w:eastAsia="Times New Roman" w:cs="Times New Roman"/>
        </w:rPr>
        <w:t>Ang salitang isinalin bilang “naguluhan” ay nangangahulugang “mapahiya.” Ang nalabi ay kinakatawanan ni Pedro, at ang kanilang kagalakan ay inihahambing sa mga tumanggi sa mensahe ng huling ulan. Isang susi ng isandaan at apatnapu’t apat na libo, sapagkat kay Pedro ibinigay ang mga “susi” sa kaharian, ay ang “pangulong batong-panulok” na inilagay sa Sion. Ang batong iyon ay kagila-gilalas sa mga mata ng mga matuwid, at batong katitisuran sa mga lasing ng Efraim.</w:t>
      </w:r>
    </w:p>
    <w:p>
      <w:pPr>
        <w:pStyle w:val="ArticleScripture"/>
        <w:jc w:val="left"/>
      </w:pPr>
      <w:r>
        <w:rPr>
          <w:rFonts w:ascii="Times New Roman" w:hAnsi="Times New Roman" w:eastAsia="Times New Roman" w:cs="Times New Roman"/>
        </w:rPr>
        <w:t>بەردەکەی بیناسازان ڕەتیانکردەوە، بووە سەنگی سەرەکیی گۆشە. ئەمە کاری یەزدانە؛ لە چاوەکانماندا سەرسوڕهێنەرە. زەبوورەکان 118:22, 23.</w:t>
      </w:r>
    </w:p>
    <w:p>
      <w:pPr>
        <w:pStyle w:val="ArticleBody"/>
        <w:jc w:val="left"/>
      </w:pPr>
      <w:r>
        <w:rPr>
          <w:rFonts w:ascii="Gadugi" w:hAnsi="Gadugi" w:eastAsia="Gadugi" w:cs="Gadugi"/>
        </w:rPr>
        <w:t>ᎢᏥᏌ</w:t>
      </w:r>
      <w:r>
        <w:rPr>
          <w:rFonts w:ascii="Times New Roman" w:hAnsi="Times New Roman" w:eastAsia="Times New Roman" w:cs="Times New Roman"/>
        </w:rPr>
        <w:t xml:space="preserve"> </w:t>
      </w:r>
      <w:r>
        <w:rPr>
          <w:rFonts w:ascii="Gadugi" w:hAnsi="Gadugi" w:eastAsia="Gadugi" w:cs="Gadugi"/>
        </w:rPr>
        <w:t>ᎤᏬᏎᎴ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ᏗᏂᏪᏍᎬ</w:t>
      </w:r>
      <w:r>
        <w:rPr>
          <w:rFonts w:ascii="Times New Roman" w:hAnsi="Times New Roman" w:eastAsia="Times New Roman" w:cs="Times New Roman"/>
        </w:rPr>
        <w:t xml:space="preserve"> </w:t>
      </w:r>
      <w:r>
        <w:rPr>
          <w:rFonts w:ascii="Gadugi" w:hAnsi="Gadugi" w:eastAsia="Gadugi" w:cs="Gadugi"/>
        </w:rPr>
        <w:t>ᎤᏍᏆᎸᎲ</w:t>
      </w:r>
      <w:r>
        <w:rPr>
          <w:rFonts w:ascii="Times New Roman" w:hAnsi="Times New Roman" w:eastAsia="Times New Roman" w:cs="Times New Roman"/>
        </w:rPr>
        <w:t xml:space="preserve"> </w:t>
      </w:r>
      <w:r>
        <w:rPr>
          <w:rFonts w:ascii="Gadugi" w:hAnsi="Gadugi" w:eastAsia="Gadugi" w:cs="Gadugi"/>
        </w:rPr>
        <w:t>ᎠᏓᏟᎶᏍᏗ</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ᎠᏫᏒ</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ᎤᏤᎵᎦᏍᎩ</w:t>
      </w:r>
      <w:r>
        <w:rPr>
          <w:rFonts w:ascii="Times New Roman" w:hAnsi="Times New Roman" w:eastAsia="Times New Roman" w:cs="Times New Roman"/>
        </w:rPr>
        <w:t xml:space="preserve"> </w:t>
      </w:r>
      <w:r>
        <w:rPr>
          <w:rFonts w:ascii="Gadugi" w:hAnsi="Gadugi" w:eastAsia="Gadugi" w:cs="Gadugi"/>
        </w:rPr>
        <w:t>ᎠᏍᎦᏯᏗᏢᏅᏍᎬᎢ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ایسىٰ اُنہاں نوں آکھدے نیں، کیا تُسیں کدے کتاباں وچ ایہ نہیں پڑھیا، ’’جِس پتھر نوں معماراں نے ردّ کر دِتّا، اوہی کونے دا سِر دا پتھر بن گیا؛ ایہ خُداوند دا کِیتا ہویا ہے، تے ساڈیاں اکھّاں وچ عجب ہے‘‘؟ اِس لئی میں تُہانوں آکھدا ہاں، خُدا دی بادشاہی تُہاڈے کولوں لے لئی جاوے گی، تے اوہ اِک ایسی قوم نوں دِتّی جاوے گی جو اِس دے پھل لے کے آوے۔ تے جیہڑا کوئی اِس پتھر اُتے ڈِگّے گا اوہ ٹُٹ جاوے گا؛ پر جِس اُتے ایہ ڈِگّے گا، اوہنوں پِیس کے غبار بنا دےوے گا۔ تے جدوں سردار کاہناں تے فریسیاں نے اُس دیاں تمثیلاں سُنّیاں، تاں اوہ سمجھ گئے کہ اوہ اُناں ہی دے بارے آکھدا ہے۔ پر جدوں اوہ اُس اُتے ہتھ پاون لگّے، تاں اوہ بھیڑ توں ڈر گئے، کیونکہ اوہ اُس نوں نبی سمجھدی سی۔ متی 21:42–46۔</w:t>
      </w:r>
    </w:p>
    <w:p>
      <w:pPr>
        <w:pStyle w:val="ArticleBody"/>
        <w:jc w:val="left"/>
      </w:pPr>
      <w:r>
        <w:rPr>
          <w:rFonts w:ascii="Times New Roman" w:hAnsi="Times New Roman" w:eastAsia="Times New Roman" w:cs="Times New Roman"/>
        </w:rPr>
        <w:t>Кімде-кім іргелі хабарды қабылдаса, сол быт-шыт болады, өйткені Жартас — Мәсіх, ал Ізгі хабардың ісі — адамды топыраққа дейін кішірейту.</w:t>
      </w:r>
    </w:p>
    <w:p>
      <w:pPr>
        <w:pStyle w:val="ArticleScripture"/>
        <w:jc w:val="left"/>
      </w:pPr>
      <w:r>
        <w:rPr>
          <w:rFonts w:ascii="Times New Roman" w:hAnsi="Times New Roman" w:eastAsia="Times New Roman" w:cs="Times New Roman"/>
        </w:rPr>
        <w:t>“</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በኩል</w:t>
      </w:r>
      <w:r>
        <w:rPr>
          <w:rFonts w:ascii="Times New Roman" w:hAnsi="Times New Roman" w:eastAsia="Times New Roman" w:cs="Times New Roman"/>
        </w:rPr>
        <w:t xml:space="preserve"> </w:t>
      </w:r>
      <w:r>
        <w:rPr>
          <w:rFonts w:ascii="Ebrima" w:hAnsi="Ebrima" w:eastAsia="Ebrima" w:cs="Ebrima"/>
        </w:rPr>
        <w:t>መጽደቅ</w:t>
      </w:r>
      <w:r>
        <w:rPr>
          <w:rFonts w:ascii="Times New Roman" w:hAnsi="Times New Roman" w:eastAsia="Times New Roman" w:cs="Times New Roman"/>
        </w:rPr>
        <w:t xml:space="preserve"> </w:t>
      </w:r>
      <w:r>
        <w:rPr>
          <w:rFonts w:ascii="Ebrima" w:hAnsi="Ebrima" w:eastAsia="Ebrima" w:cs="Ebrima"/>
        </w:rPr>
        <w:t>ምንድር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የሰውን</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አፈር</w:t>
      </w:r>
      <w:r>
        <w:rPr>
          <w:rFonts w:ascii="Times New Roman" w:hAnsi="Times New Roman" w:eastAsia="Times New Roman" w:cs="Times New Roman"/>
        </w:rPr>
        <w:t xml:space="preserve"> </w:t>
      </w:r>
      <w:r>
        <w:rPr>
          <w:rFonts w:ascii="Ebrima" w:hAnsi="Ebrima" w:eastAsia="Ebrima" w:cs="Ebrima"/>
        </w:rPr>
        <w:t>በማውረድ፣</w:t>
      </w:r>
      <w:r>
        <w:rPr>
          <w:rFonts w:ascii="Times New Roman" w:hAnsi="Times New Roman" w:eastAsia="Times New Roman" w:cs="Times New Roman"/>
        </w:rPr>
        <w:t xml:space="preserve"> </w:t>
      </w:r>
      <w:r>
        <w:rPr>
          <w:rFonts w:ascii="Ebrima" w:hAnsi="Ebrima" w:eastAsia="Ebrima" w:cs="Ebrima"/>
        </w:rPr>
        <w:t>ሰውም</w:t>
      </w:r>
      <w:r>
        <w:rPr>
          <w:rFonts w:ascii="Times New Roman" w:hAnsi="Times New Roman" w:eastAsia="Times New Roman" w:cs="Times New Roman"/>
        </w:rPr>
        <w:t xml:space="preserve"> </w:t>
      </w:r>
      <w:r>
        <w:rPr>
          <w:rFonts w:ascii="Ebrima" w:hAnsi="Ebrima" w:eastAsia="Ebrima" w:cs="Ebrima"/>
        </w:rPr>
        <w:t>ለራሱ</w:t>
      </w:r>
      <w:r>
        <w:rPr>
          <w:rFonts w:ascii="Times New Roman" w:hAnsi="Times New Roman" w:eastAsia="Times New Roman" w:cs="Times New Roman"/>
        </w:rPr>
        <w:t xml:space="preserve"> </w:t>
      </w:r>
      <w:r>
        <w:rPr>
          <w:rFonts w:ascii="Ebrima" w:hAnsi="Ebrima" w:eastAsia="Ebrima" w:cs="Ebrima"/>
        </w:rPr>
        <w:t>ሊያደርገው</w:t>
      </w:r>
      <w:r>
        <w:rPr>
          <w:rFonts w:ascii="Times New Roman" w:hAnsi="Times New Roman" w:eastAsia="Times New Roman" w:cs="Times New Roman"/>
        </w:rPr>
        <w:t xml:space="preserve"> </w:t>
      </w:r>
      <w:r>
        <w:rPr>
          <w:rFonts w:ascii="Ebrima" w:hAnsi="Ebrima" w:eastAsia="Ebrima" w:cs="Ebrima"/>
        </w:rPr>
        <w:t>በኃይሉ</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ያልሆነውን</w:t>
      </w:r>
      <w:r>
        <w:rPr>
          <w:rFonts w:ascii="Times New Roman" w:hAnsi="Times New Roman" w:eastAsia="Times New Roman" w:cs="Times New Roman"/>
        </w:rPr>
        <w:t xml:space="preserve"> </w:t>
      </w:r>
      <w:r>
        <w:rPr>
          <w:rFonts w:ascii="Ebrima" w:hAnsi="Ebrima" w:eastAsia="Ebrima" w:cs="Ebrima"/>
        </w:rPr>
        <w:t>በእርሱ</w:t>
      </w:r>
      <w:r>
        <w:rPr>
          <w:rFonts w:ascii="Times New Roman" w:hAnsi="Times New Roman" w:eastAsia="Times New Roman" w:cs="Times New Roman"/>
        </w:rPr>
        <w:t xml:space="preserve"> </w:t>
      </w:r>
      <w:r>
        <w:rPr>
          <w:rFonts w:ascii="Ebrima" w:hAnsi="Ebrima" w:eastAsia="Ebrima" w:cs="Ebrima"/>
        </w:rPr>
        <w:t>ፈንታ</w:t>
      </w:r>
      <w:r>
        <w:rPr>
          <w:rFonts w:ascii="Times New Roman" w:hAnsi="Times New Roman" w:eastAsia="Times New Roman" w:cs="Times New Roman"/>
        </w:rPr>
        <w:t xml:space="preserve"> </w:t>
      </w:r>
      <w:r>
        <w:rPr>
          <w:rFonts w:ascii="Ebrima" w:hAnsi="Ebrima" w:eastAsia="Ebrima" w:cs="Ebrima"/>
        </w:rPr>
        <w:t>በማድረግ።</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የራሳቸውን</w:t>
      </w:r>
      <w:r>
        <w:rPr>
          <w:rFonts w:ascii="Times New Roman" w:hAnsi="Times New Roman" w:eastAsia="Times New Roman" w:cs="Times New Roman"/>
        </w:rPr>
        <w:t xml:space="preserve"> </w:t>
      </w:r>
      <w:r>
        <w:rPr>
          <w:rFonts w:ascii="Ebrima" w:hAnsi="Ebrima" w:eastAsia="Ebrima" w:cs="Ebrima"/>
        </w:rPr>
        <w:t>ከንቱነት</w:t>
      </w:r>
      <w:r>
        <w:rPr>
          <w:rFonts w:ascii="Times New Roman" w:hAnsi="Times New Roman" w:eastAsia="Times New Roman" w:cs="Times New Roman"/>
        </w:rPr>
        <w:t xml:space="preserve"> </w:t>
      </w:r>
      <w:r>
        <w:rPr>
          <w:rFonts w:ascii="Ebrima" w:hAnsi="Ebrima" w:eastAsia="Ebrima" w:cs="Ebrima"/>
        </w:rPr>
        <w:t>በሚያዩ</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የክርስቶስን</w:t>
      </w:r>
      <w:r>
        <w:rPr>
          <w:rFonts w:ascii="Times New Roman" w:hAnsi="Times New Roman" w:eastAsia="Times New Roman" w:cs="Times New Roman"/>
        </w:rPr>
        <w:t xml:space="preserve"> </w:t>
      </w:r>
      <w:r>
        <w:rPr>
          <w:rFonts w:ascii="Ebrima" w:hAnsi="Ebrima" w:eastAsia="Ebrima" w:cs="Ebrima"/>
        </w:rPr>
        <w:t>ጽድቅ</w:t>
      </w:r>
      <w:r>
        <w:rPr>
          <w:rFonts w:ascii="Times New Roman" w:hAnsi="Times New Roman" w:eastAsia="Times New Roman" w:cs="Times New Roman"/>
        </w:rPr>
        <w:t xml:space="preserve"> </w:t>
      </w:r>
      <w:r>
        <w:rPr>
          <w:rFonts w:ascii="Ebrima" w:hAnsi="Ebrima" w:eastAsia="Ebrima" w:cs="Ebrima"/>
        </w:rPr>
        <w:t>እንዲለብሱ</w:t>
      </w:r>
      <w:r>
        <w:rPr>
          <w:rFonts w:ascii="Times New Roman" w:hAnsi="Times New Roman" w:eastAsia="Times New Roman" w:cs="Times New Roman"/>
        </w:rPr>
        <w:t xml:space="preserve"> </w:t>
      </w:r>
      <w:r>
        <w:rPr>
          <w:rFonts w:ascii="Ebrima" w:hAnsi="Ebrima" w:eastAsia="Ebrima" w:cs="Ebrima"/>
        </w:rPr>
        <w:t>ይዘጋጃሉ።</w:t>
      </w:r>
      <w:r>
        <w:rPr>
          <w:rFonts w:ascii="Times New Roman" w:hAnsi="Times New Roman" w:eastAsia="Times New Roman" w:cs="Times New Roman"/>
        </w:rPr>
        <w:t xml:space="preserve"> </w:t>
      </w:r>
      <w:r>
        <w:rPr>
          <w:rFonts w:ascii="Ebrima" w:hAnsi="Ebrima" w:eastAsia="Ebrima" w:cs="Ebrima"/>
        </w:rPr>
        <w:t>ቀኑን</w:t>
      </w:r>
      <w:r>
        <w:rPr>
          <w:rFonts w:ascii="Times New Roman" w:hAnsi="Times New Roman" w:eastAsia="Times New Roman" w:cs="Times New Roman"/>
        </w:rPr>
        <w:t xml:space="preserve"> </w:t>
      </w:r>
      <w:r>
        <w:rPr>
          <w:rFonts w:ascii="Ebrima" w:hAnsi="Ebrima" w:eastAsia="Ebrima" w:cs="Ebrima"/>
        </w:rPr>
        <w:t>ሙሉ</w:t>
      </w:r>
      <w:r>
        <w:rPr>
          <w:rFonts w:ascii="Times New Roman" w:hAnsi="Times New Roman" w:eastAsia="Times New Roman" w:cs="Times New Roman"/>
        </w:rPr>
        <w:t xml:space="preserve"> </w:t>
      </w:r>
      <w:r>
        <w:rPr>
          <w:rFonts w:ascii="Ebrima" w:hAnsi="Ebrima" w:eastAsia="Ebrima" w:cs="Ebrima"/>
        </w:rPr>
        <w:t>እግዚአብሔርን</w:t>
      </w:r>
      <w:r>
        <w:rPr>
          <w:rFonts w:ascii="Times New Roman" w:hAnsi="Times New Roman" w:eastAsia="Times New Roman" w:cs="Times New Roman"/>
        </w:rPr>
        <w:t xml:space="preserve"> </w:t>
      </w:r>
      <w:r>
        <w:rPr>
          <w:rFonts w:ascii="Ebrima" w:hAnsi="Ebrima" w:eastAsia="Ebrima" w:cs="Ebrima"/>
        </w:rPr>
        <w:t>ማመስገንና</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ማድረግ</w:t>
      </w:r>
      <w:r>
        <w:rPr>
          <w:rFonts w:ascii="Times New Roman" w:hAnsi="Times New Roman" w:eastAsia="Times New Roman" w:cs="Times New Roman"/>
        </w:rPr>
        <w:t xml:space="preserve"> </w:t>
      </w:r>
      <w:r>
        <w:rPr>
          <w:rFonts w:ascii="Ebrima" w:hAnsi="Ebrima" w:eastAsia="Ebrima" w:cs="Ebrima"/>
        </w:rPr>
        <w:t>በሚጀምሩ</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በመመልከት</w:t>
      </w:r>
      <w:r>
        <w:rPr>
          <w:rFonts w:ascii="Times New Roman" w:hAnsi="Times New Roman" w:eastAsia="Times New Roman" w:cs="Times New Roman"/>
        </w:rPr>
        <w:t xml:space="preserve"> </w:t>
      </w:r>
      <w:r>
        <w:rPr>
          <w:rFonts w:ascii="Ebrima" w:hAnsi="Ebrima" w:eastAsia="Ebrima" w:cs="Ebrima"/>
        </w:rPr>
        <w:t>ወደዚያው</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እየተለወጡ</w:t>
      </w:r>
      <w:r>
        <w:rPr>
          <w:rFonts w:ascii="Times New Roman" w:hAnsi="Times New Roman" w:eastAsia="Times New Roman" w:cs="Times New Roman"/>
        </w:rPr>
        <w:t xml:space="preserve"> </w:t>
      </w:r>
      <w:r>
        <w:rPr>
          <w:rFonts w:ascii="Ebrima" w:hAnsi="Ebrima" w:eastAsia="Ebrima" w:cs="Ebrima"/>
        </w:rPr>
        <w:t>ይሄዳሉ።</w:t>
      </w:r>
      <w:r>
        <w:rPr>
          <w:rFonts w:ascii="Times New Roman" w:hAnsi="Times New Roman" w:eastAsia="Times New Roman" w:cs="Times New Roman"/>
        </w:rPr>
        <w:t xml:space="preserve"> </w:t>
      </w:r>
      <w:r>
        <w:rPr>
          <w:rFonts w:ascii="Ebrima" w:hAnsi="Ebrima" w:eastAsia="Ebrima" w:cs="Ebrima"/>
        </w:rPr>
        <w:t>ዳግመኛ</w:t>
      </w:r>
      <w:r>
        <w:rPr>
          <w:rFonts w:ascii="Times New Roman" w:hAnsi="Times New Roman" w:eastAsia="Times New Roman" w:cs="Times New Roman"/>
        </w:rPr>
        <w:t xml:space="preserve"> </w:t>
      </w:r>
      <w:r>
        <w:rPr>
          <w:rFonts w:ascii="Ebrima" w:hAnsi="Ebrima" w:eastAsia="Ebrima" w:cs="Ebrima"/>
        </w:rPr>
        <w:t>መወለድ</w:t>
      </w:r>
      <w:r>
        <w:rPr>
          <w:rFonts w:ascii="Times New Roman" w:hAnsi="Times New Roman" w:eastAsia="Times New Roman" w:cs="Times New Roman"/>
        </w:rPr>
        <w:t xml:space="preserve"> </w:t>
      </w:r>
      <w:r>
        <w:rPr>
          <w:rFonts w:ascii="Ebrima" w:hAnsi="Ebrima" w:eastAsia="Ebrima" w:cs="Ebrima"/>
        </w:rPr>
        <w:t>ምንድር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በራሱ</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ከንቱ</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እውነተኛ</w:t>
      </w:r>
      <w:r>
        <w:rPr>
          <w:rFonts w:ascii="Times New Roman" w:hAnsi="Times New Roman" w:eastAsia="Times New Roman" w:cs="Times New Roman"/>
        </w:rPr>
        <w:t xml:space="preserve"> </w:t>
      </w:r>
      <w:r>
        <w:rPr>
          <w:rFonts w:ascii="Ebrima" w:hAnsi="Ebrima" w:eastAsia="Ebrima" w:cs="Ebrima"/>
        </w:rPr>
        <w:t>የራሱ</w:t>
      </w:r>
      <w:r>
        <w:rPr>
          <w:rFonts w:ascii="Times New Roman" w:hAnsi="Times New Roman" w:eastAsia="Times New Roman" w:cs="Times New Roman"/>
        </w:rPr>
        <w:t xml:space="preserve"> </w:t>
      </w:r>
      <w:r>
        <w:rPr>
          <w:rFonts w:ascii="Ebrima" w:hAnsi="Ebrima" w:eastAsia="Ebrima" w:cs="Ebrima"/>
        </w:rPr>
        <w:t>ባሕርይ</w:t>
      </w:r>
      <w:r>
        <w:rPr>
          <w:rFonts w:ascii="Times New Roman" w:hAnsi="Times New Roman" w:eastAsia="Times New Roman" w:cs="Times New Roman"/>
        </w:rPr>
        <w:t xml:space="preserve"> </w:t>
      </w:r>
      <w:r>
        <w:rPr>
          <w:rFonts w:ascii="Ebrima" w:hAnsi="Ebrima" w:eastAsia="Ebrima" w:cs="Ebrima"/>
        </w:rPr>
        <w:t>ምን</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ለሰው</w:t>
      </w:r>
      <w:r>
        <w:rPr>
          <w:rFonts w:ascii="Times New Roman" w:hAnsi="Times New Roman" w:eastAsia="Times New Roman" w:cs="Times New Roman"/>
        </w:rPr>
        <w:t xml:space="preserve"> </w:t>
      </w:r>
      <w:r>
        <w:rPr>
          <w:rFonts w:ascii="Ebrima" w:hAnsi="Ebrima" w:eastAsia="Ebrima" w:cs="Ebrima"/>
        </w:rPr>
        <w:t>መግለጥ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Manuscript Releases, volume 20, 117.</w:t>
      </w:r>
    </w:p>
    <w:p>
      <w:pPr>
        <w:pStyle w:val="ArticleBody"/>
        <w:jc w:val="left"/>
      </w:pPr>
      <w:r>
        <w:rPr>
          <w:rFonts w:ascii="Times New Roman" w:hAnsi="Times New Roman" w:eastAsia="Times New Roman" w:cs="Times New Roman"/>
        </w:rPr>
        <w:t>Ana kimanı red eden, üzüm bağının meseli içün İsa’nın tətbiqinin yerinə yetməsində qədim İsrailin başına gəldiyi kimi, məhv olar. Yəhudilər Məsihi red etdilər; onlar Musa’nı da red etdilər; çünki əgər Musa’ya iman etmiş olsaydılar, Məsihə də iman edərdilər. Onlar Allah’ın qanununu red etdilər, insanların əmrlərini təlim deyə öyrədərək. Məsih, Musa və Qanun hamısı təməllərin rəmzləridir və qoyula biləcək yeganə təməl Məsihdir; lakin təməl olaraq Məsih bir çox rəmzlərlə təmsil olunur. Musa və Qanun bu həqiqətin hər ikisi bir təsviridir. Yeganə təməl Məsihdir, lakin bunun mənası yalnız budur ki, Onun peyğəmbərlik Kəlamındakı digər təməllər sadəcə Onun xarakterinin hansısa bir cəhətinin rəmzləridir.</w:t>
      </w:r>
    </w:p>
    <w:p>
      <w:pPr>
        <w:pStyle w:val="ArticleScripture"/>
        <w:jc w:val="left"/>
      </w:pPr>
      <w:r>
        <w:rPr>
          <w:rFonts w:ascii="Times New Roman" w:hAnsi="Times New Roman" w:eastAsia="Times New Roman" w:cs="Times New Roman"/>
        </w:rPr>
        <w:t>Ma suwi' to'ole' utia' nojo'one'wa foundation, maka jaisa de'ame; juna'a Jesucristo. 1 Corintios 3:11.</w:t>
      </w:r>
    </w:p>
    <w:p>
      <w:pPr>
        <w:pStyle w:val="ArticleBody"/>
        <w:jc w:val="left"/>
      </w:pPr>
      <w:r>
        <w:rPr>
          <w:rFonts w:ascii="Times New Roman" w:hAnsi="Times New Roman" w:eastAsia="Times New Roman" w:cs="Times New Roman"/>
        </w:rPr>
        <w:t>Jesus chu Ñe’ẽ, ha upévare umi tembiapoukapy oĩva Iñeʼẽme ohechauka chupe voi. Upévare Sister White ohai umi Diez Mandamiento haʼeha peteĩ transcripción Cristo rekoha. Haʼe hína pe Primero ha pe Último, ha oñerrepresentáramo péicha, ojekuaa upéva Cristo akóinte ohechaukaha peteĩ mbaʼe paha, peteĩ mbaʼe ñepyrũ ndive. Ñeʼẽramo, haʼe avei “Añetegua”, ha añetegua haʼe peteĩ marco profético. Haʼe pe León Judá ñemoñaregua omoĩ sello ha oipeʼa sello jave Iñeʼẽ rehe. Haʼe avei pe ita esquinapegua oikóva pe ita yvategua ramo. Pe ita esquinapegua haʼe mante peteĩ taʼanga hesegua fundamento ramo, térã pe peteĩha letra ñeʼẽ hebreo “añetegua” rehegua. Pe ita yvategua hína pe tembiapo oñemohuʼãva templo ári, ha oñembojoajúramo pe marco añetegua rehegua ndive, pe ita yvategua ipokatu mokõipa mokõi jey hetave pe ita esquinapegua rangue. Pe mbaʼe hechapyrãva umi ohechavaʼekuépe Ñandejára iporãha renondépe, haʼe mbaʼéichapa umi principio marco añetegua rehegua, oñembojoajúva pe ita esquinapegua ha pe ita yvategua ndive, ohechauka peteĩva umi llave profética oñemeʼẽvaʼekue Pedro-pe.</w:t>
      </w:r>
    </w:p>
    <w:p>
      <w:pPr>
        <w:pStyle w:val="ArticleBody"/>
        <w:jc w:val="left"/>
      </w:pPr>
      <w:r>
        <w:rPr>
          <w:rFonts w:ascii="Gadugi" w:hAnsi="Gadugi" w:eastAsia="Gadugi" w:cs="Gadugi"/>
        </w:rPr>
        <w:t>ᎠᎵᏉᎬ</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ᎣᎺᎦ</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ᏔᎵᏚ</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ᎻᎳ</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ᎠᎪᎵᏰᎥ</w:t>
      </w:r>
      <w:r>
        <w:rPr>
          <w:rFonts w:ascii="Times New Roman" w:hAnsi="Times New Roman" w:eastAsia="Times New Roman" w:cs="Times New Roman"/>
        </w:rPr>
        <w:t xml:space="preserve"> </w:t>
      </w:r>
      <w:r>
        <w:rPr>
          <w:rFonts w:ascii="Gadugi" w:hAnsi="Gadugi" w:eastAsia="Gadugi" w:cs="Gadugi"/>
        </w:rPr>
        <w:t>ᏅᏙ</w:t>
      </w:r>
      <w:r>
        <w:rPr>
          <w:rFonts w:ascii="Times New Roman" w:hAnsi="Times New Roman" w:eastAsia="Times New Roman" w:cs="Times New Roman"/>
        </w:rPr>
        <w:t xml:space="preserve"> </w:t>
      </w:r>
      <w:r>
        <w:rPr>
          <w:rFonts w:ascii="Gadugi" w:hAnsi="Gadugi" w:eastAsia="Gadugi" w:cs="Gadugi"/>
        </w:rPr>
        <w:t>ᎤᎬᏫᏳᎭ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ᎤᏔᎾ</w:t>
      </w:r>
      <w:r>
        <w:rPr>
          <w:rFonts w:ascii="Times New Roman" w:hAnsi="Times New Roman" w:eastAsia="Times New Roman" w:cs="Times New Roman"/>
        </w:rPr>
        <w:t xml:space="preserve"> </w:t>
      </w:r>
      <w:r>
        <w:rPr>
          <w:rFonts w:ascii="Gadugi" w:hAnsi="Gadugi" w:eastAsia="Gadugi" w:cs="Gadugi"/>
        </w:rPr>
        <w:t>ᎤᎵᏍᏈᏗᏍᎬᎢ</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ᎦᏓᎭ</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ᎠᎪᎵᏰᎥ</w:t>
      </w:r>
      <w:r>
        <w:rPr>
          <w:rFonts w:ascii="Times New Roman" w:hAnsi="Times New Roman" w:eastAsia="Times New Roman" w:cs="Times New Roman"/>
        </w:rPr>
        <w:t xml:space="preserve"> </w:t>
      </w:r>
      <w:r>
        <w:rPr>
          <w:rFonts w:ascii="Gadugi" w:hAnsi="Gadugi" w:eastAsia="Gadugi" w:cs="Gadugi"/>
        </w:rPr>
        <w:t>ᏚᏣᏤᎵᏙᎸ</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ᏍᎪᎯ</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ᎢᏯᎵᏍᏈᏗᏍᎨᎢ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ᎠᎦᏙᎥᎢ</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ᏧᏙᎴᎰᏒ</w:t>
      </w:r>
      <w:r>
        <w:rPr>
          <w:rFonts w:ascii="Times New Roman" w:hAnsi="Times New Roman" w:eastAsia="Times New Roman" w:cs="Times New Roman"/>
        </w:rPr>
        <w:t xml:space="preserve"> </w:t>
      </w:r>
      <w:r>
        <w:rPr>
          <w:rFonts w:ascii="Gadugi" w:hAnsi="Gadugi" w:eastAsia="Gadugi" w:cs="Gadugi"/>
        </w:rPr>
        <w:t>ᎪᎯᏳ</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ᎢᎬᏱᏱᎢ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ᎦᏚᎩ</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ᏥᎨᏥᏁᎸ</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ᏧᏓᎴᎰᏍᎩ</w:t>
      </w:r>
      <w:r>
        <w:rPr>
          <w:rFonts w:ascii="Times New Roman" w:hAnsi="Times New Roman" w:eastAsia="Times New Roman" w:cs="Times New Roman"/>
        </w:rPr>
        <w:t xml:space="preserve"> </w:t>
      </w:r>
      <w:r>
        <w:rPr>
          <w:rFonts w:ascii="Gadugi" w:hAnsi="Gadugi" w:eastAsia="Gadugi" w:cs="Gadugi"/>
        </w:rPr>
        <w:t>ᎠᏍᏚᎢᏍᏙᏗ</w:t>
      </w:r>
      <w:r>
        <w:rPr>
          <w:rFonts w:ascii="Times New Roman" w:hAnsi="Times New Roman" w:eastAsia="Times New Roman" w:cs="Times New Roman"/>
        </w:rPr>
        <w:t xml:space="preserve"> </w:t>
      </w:r>
      <w:r>
        <w:rPr>
          <w:rFonts w:ascii="Gadugi" w:hAnsi="Gadugi" w:eastAsia="Gadugi" w:cs="Gadugi"/>
        </w:rPr>
        <w:t>ᎠᏍᏍᎪᎸ</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ᏅᎦᎵᏍᎪᎯ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ᏅᎦᎵᏍᎪᎯ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t>
      </w:r>
      <w:r>
        <w:rPr>
          <w:rFonts w:ascii="Nirmala UI" w:hAnsi="Nirmala UI" w:eastAsia="Nirmala UI" w:cs="Nirmala UI"/>
        </w:rPr>
        <w:t>অয়</w:t>
      </w:r>
      <w:r>
        <w:rPr>
          <w:rFonts w:ascii="Times New Roman" w:hAnsi="Times New Roman" w:eastAsia="Times New Roman" w:cs="Times New Roman"/>
        </w:rPr>
        <w:t xml:space="preserve">” </w:t>
      </w:r>
      <w:r>
        <w:rPr>
          <w:rFonts w:ascii="Nirmala UI" w:hAnsi="Nirmala UI" w:eastAsia="Nirmala UI" w:cs="Nirmala UI"/>
        </w:rPr>
        <w:t>ভাষায়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স্বীকৃত</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সুস্পষ্ট</w:t>
      </w:r>
      <w:r>
        <w:rPr>
          <w:rFonts w:ascii="Times New Roman" w:hAnsi="Times New Roman" w:eastAsia="Times New Roman" w:cs="Times New Roman"/>
        </w:rPr>
        <w:t xml:space="preserve"> </w:t>
      </w:r>
      <w:r>
        <w:rPr>
          <w:rFonts w:ascii="Nirmala UI" w:hAnsi="Nirmala UI" w:eastAsia="Nirmala UI" w:cs="Nirmala UI"/>
        </w:rPr>
        <w:t>মানক</w:t>
      </w:r>
      <w:r>
        <w:rPr>
          <w:rFonts w:ascii="Times New Roman" w:hAnsi="Times New Roman" w:eastAsia="Times New Roman" w:cs="Times New Roman"/>
        </w:rPr>
        <w:t xml:space="preserve"> </w:t>
      </w:r>
      <w:r>
        <w:rPr>
          <w:rFonts w:ascii="Nirmala UI" w:hAnsi="Nirmala UI" w:eastAsia="Nirmala UI" w:cs="Nirmala UI"/>
        </w:rPr>
        <w:t>ভাষা</w:t>
      </w:r>
      <w:r>
        <w:rPr>
          <w:rFonts w:ascii="Times New Roman" w:hAnsi="Times New Roman" w:eastAsia="Times New Roman" w:cs="Times New Roman"/>
        </w:rPr>
        <w:t>-</w:t>
      </w:r>
      <w:r>
        <w:rPr>
          <w:rFonts w:ascii="Nirmala UI" w:hAnsi="Nirmala UI" w:eastAsia="Nirmala UI" w:cs="Nirmala UI"/>
        </w:rPr>
        <w:t>পরিচয়</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অনুগ্রহ</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লক্ষ্যভাষাটি</w:t>
      </w:r>
      <w:r>
        <w:rPr>
          <w:rFonts w:ascii="Times New Roman" w:hAnsi="Times New Roman" w:eastAsia="Times New Roman" w:cs="Times New Roman"/>
        </w:rPr>
        <w:t xml:space="preserve"> </w:t>
      </w:r>
      <w:r>
        <w:rPr>
          <w:rFonts w:ascii="Nirmala UI" w:hAnsi="Nirmala UI" w:eastAsia="Nirmala UI" w:cs="Nirmala UI"/>
        </w:rPr>
        <w:t>নির্দিষ্ট</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অসমীয়া</w:t>
      </w:r>
      <w:r>
        <w:rPr>
          <w:rFonts w:ascii="Times New Roman" w:hAnsi="Times New Roman" w:eastAsia="Times New Roman" w:cs="Times New Roman"/>
        </w:rPr>
        <w:t xml:space="preserve">, </w:t>
      </w:r>
      <w:r>
        <w:rPr>
          <w:rFonts w:ascii="Nirmala UI" w:hAnsi="Nirmala UI" w:eastAsia="Nirmala UI" w:cs="Nirmala UI"/>
        </w:rPr>
        <w:t>ওড়িয়া</w:t>
      </w:r>
      <w:r>
        <w:rPr>
          <w:rFonts w:ascii="Times New Roman" w:hAnsi="Times New Roman" w:eastAsia="Times New Roman" w:cs="Times New Roman"/>
        </w:rPr>
        <w:t xml:space="preserve">, </w:t>
      </w:r>
      <w:r>
        <w:rPr>
          <w:rFonts w:ascii="Nirmala UI" w:hAnsi="Nirmala UI" w:eastAsia="Nirmala UI" w:cs="Nirmala UI"/>
        </w:rPr>
        <w:t>ইত্যাদি</w:t>
      </w:r>
      <w:r>
        <w:rPr>
          <w:rFonts w:ascii="Times New Roman" w:hAnsi="Times New Roman" w:eastAsia="Times New Roman" w:cs="Times New Roman"/>
        </w:rPr>
        <w:t xml:space="preserve">), </w:t>
      </w:r>
      <w:r>
        <w:rPr>
          <w:rFonts w:ascii="Nirmala UI" w:hAnsi="Nirmala UI" w:eastAsia="Nirmala UI" w:cs="Nirmala UI"/>
        </w:rPr>
        <w:t>তাহলে</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অনুবাদ</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দেব।</w:t>
      </w:r>
    </w:p>
    <w:p>
      <w:pPr>
        <w:pStyle w:val="ArticleScripture"/>
        <w:jc w:val="left"/>
      </w:pPr>
      <w:r>
        <w:rPr>
          <w:rFonts w:ascii="Times New Roman" w:hAnsi="Times New Roman" w:eastAsia="Times New Roman" w:cs="Times New Roman"/>
        </w:rPr>
        <w:t>«Джуи ар халқь Ӏазиз Аллагьун къануназ гьарсса куццал ва халкъанна цӀийи хъарнилни дуьххай бавкьуллайни. Амма Эзраял ва Нехемиял асар заманаял къачан хьур цӀикӀкӀун, Раббисса тӀурун къайчӀан хьуьсса гӀемер адамар аннай. Нехемия Персияна вахъанай ивкӀунни. Иерусалимрай ийнуъсса вахтӀал, миллат бузар гьабизе хӀанжар буьсса яман ишар щи щибго гьурччуллайни. Бутпарастар шагьардан ичица тек гьуни батуллай эвкӀун гуреб, бәлки жуьезул хъузалул тӀайласан хьунсса гьудулсса макъамалра гьезул хьурчаца былгъардайни. Къавмарал къатнашивун вас кьун хьунсса сабабрай, оьрчӀал кӀанив Элиашиб ва Аммонви Товия — Исраилал къатӀа душман — гьезул арада дуствал пайда хьунни. Шунал натижада, бу низамсуз иттифакъал сабабрай, Элиашиб Товияз жуьезул хъузалул ял хьунсса, гьалаб халкъалул десятинар ва садакъабар сакълай буьсса кӀабатда чӀе бищун рес гьабунни.»</w:t>
      </w:r>
    </w:p>
    <w:p>
      <w:pPr>
        <w:pStyle w:val="ArticleScripture"/>
        <w:jc w:val="left"/>
      </w:pPr>
      <w:r>
        <w:rPr>
          <w:rFonts w:ascii="Times New Roman" w:hAnsi="Times New Roman" w:eastAsia="Times New Roman" w:cs="Times New Roman"/>
        </w:rPr>
        <w:t>“Sababta naxariis-darrada iyo khiyaanada reer Cammoon iyo reer Moo’aab ay kula kaceen Israa’iil, Ilaah wuxuu Muuse ku sii sheegay in iyaga weligood laga xiro shirka dadkiisa. Eeg Sharciga Kunoqoshadiisa 23:3–6. Isagoo ereygan ka hor imanaya, wadaadka sare wuxuu dibadda u saaray qurbaannadii lagu kaydiyey qolka guriga Ilaah, si uu meel ugu sameeyo wakiilkan qoom la mamnuucay. Ilaah laguma tusi karin quudhsasho ka weyn tan ah in nicmadan oo kale loo muujiyo cadowgan Ilaah iyo runtiisa.”</w:t>
      </w:r>
    </w:p>
    <w:p>
      <w:pPr>
        <w:pStyle w:val="ArticleScripture"/>
        <w:jc w:val="left"/>
      </w:pPr>
      <w:r>
        <w:rPr>
          <w:rFonts w:ascii="Times New Roman" w:hAnsi="Times New Roman" w:eastAsia="Times New Roman" w:cs="Times New Roman"/>
        </w:rPr>
        <w:t>«Фарсыæй сæрбадæгæй, Нехемиæ уыцы гъæздухт профанацийы тыхджынæй фæндыд, æмæ зæрдæмæ хъуыддаджы фæстæ сæххæст кодта, цæмæй æй фæхъус уа. „Мæнæн уый тынг фыдбылыз уыд,“ — зæгъы уый; „уымæ гæсгæ æз Товийæйы æппæт хæдзарæйы дзаумæттæ скъуыдтон уæд æмбарыæй. Уæдынмæ æз амыдтон, æмæ сæ æмбарæнтæ сыгъдæг кодтой; æмæ уырдыгæй та æрбахастон Хуыцауы хæдзары савæрæнтæ, хайæн хъæбул æмæ ладаны.»</w:t>
      </w:r>
    </w:p>
    <w:p>
      <w:pPr>
        <w:pStyle w:val="ArticleScripture"/>
        <w:jc w:val="left"/>
      </w:pPr>
      <w:r>
        <w:rPr>
          <w:rFonts w:ascii="Times New Roman" w:hAnsi="Times New Roman" w:eastAsia="Times New Roman" w:cs="Times New Roman"/>
        </w:rPr>
        <w:t>“Na maalu walaalu xani yàlla ju sell ji lañu ko sosaloon, waaye itam sarax ya dañu leen jëfandikoo ci anam yu baaxul. Loolu indi na woon ngir wàññi xolub nit ñi ci seen yërmande ak seen yéwén. Ñoom dañu ñàkkaloon seen cëru ak seen takku, te daan nañu bañ a fey seen dencukaay yu ñatteel. Dencukaay yi ci kërg Yàlla ga nekkoon nañu ci ñàkk; ñu bare ci way-woykat ya ak ñeneen ñi doon liggéey ci sarwiisu maalu Yàlla, ndaxte jotewuun nañu ndimbal lu doy, bàyyiwoon nañu liggéeyu Yàlla ngir dem liggéey feneen.”</w:t>
      </w:r>
    </w:p>
    <w:p>
      <w:pPr>
        <w:pStyle w:val="ArticleScripture"/>
        <w:jc w:val="left"/>
      </w:pPr>
      <w:r>
        <w:rPr>
          <w:rFonts w:ascii="Times New Roman" w:hAnsi="Times New Roman" w:eastAsia="Times New Roman" w:cs="Times New Roman"/>
        </w:rPr>
        <w:t>«Նեհեմիան գործի անցավ՝ ուղղելու այս չարաշահումները։ Նա հավաքեց նրանց, ովքեր թողել էին Տիրոջ տան ծառայությունը, «և նրանց կանգնեցրեց իրենց տեղում»։ Սա ժողովրդին վստահություն ներշնչեց, և ամբողջ Հուդան բերեց «հացահատիկի, նոր գինու և յուղի տասանորդը»։ Մարդիկ, որոնք «հավատարիմ էին համարվում», նշանակվեցին «գանձարանների վրա գանձապահներ», «և նրանց պաշտոնն էր բաժանել իրենց եղբայրներին»»։ Prophets and Kings, 669, 670.</w:t>
      </w:r>
    </w:p>
    <w:p>
      <w:pPr>
        <w:pStyle w:val="ArticleBody"/>
        <w:jc w:val="left"/>
      </w:pPr>
      <w:r>
        <w:rPr>
          <w:rFonts w:ascii="Times New Roman" w:hAnsi="Times New Roman" w:eastAsia="Times New Roman" w:cs="Times New Roman"/>
        </w:rPr>
        <w:t>Nehemiah «Τωβίαν ἐξέβαλε», երբ, նույն այդ տաճարից դրամափոխներին վտարող Քրիստոսին էր նախապատկերում։ Խոսքը պարզապես տաճարի մասին չէր, այլ հենց տաճարի այն սենյակի, ուր տասանորդներն էին պահվում։ Երբ փիլադելփացի Եղիակիմը փոխարինեց լաոդիկեցի Շեբնային, Շեբնան այն գանձապետն էր, որ նետվեց հեռավոր դաշտը։</w:t>
      </w:r>
    </w:p>
    <w:p>
      <w:pPr>
        <w:pStyle w:val="ArticleScripture"/>
        <w:jc w:val="left"/>
      </w:pPr>
      <w:r>
        <w:rPr>
          <w:rFonts w:ascii="Times New Roman" w:hAnsi="Times New Roman" w:eastAsia="Times New Roman" w:cs="Times New Roman"/>
        </w:rPr>
        <w:t>The Lord God of hosts says this: “Go, get thee unto this treasurer, unto Shebna, who is over the house, and say, ‘What hast thou here? and whom hast thou here, that thou hast hewed thee out a sepulchre here, like one who heweth out a sepulchre on high, and who graveth for himself a dwelling in the rock? Behold, the Lord will carry thee away with a mighty captivity, and will surely cover thee. He will surely violently turn and toss thee like a ball into a large country: there shalt thou die, and there the chariots of thy glory shall become the shame of thy lord’s house. And I will drive thee from thy station, and from thy state shall he pull thee down.’”</w:t>
      </w:r>
    </w:p>
    <w:p>
      <w:pPr>
        <w:pStyle w:val="ArticleScripture"/>
        <w:jc w:val="left"/>
      </w:pP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होएगा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हिलकियाह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एल्याकीम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बुलाऊँगो।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पहनाऊँगो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कमरबंद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सौंप</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निवासियन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होएगो।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दाऊद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मयँ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काँधे</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धरूँँगो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खोलेगो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खोलेगो।</w:t>
      </w:r>
    </w:p>
    <w:p>
      <w:pPr>
        <w:pStyle w:val="ArticleScripture"/>
        <w:jc w:val="left"/>
      </w:pPr>
      <w:r>
        <w:rPr>
          <w:rFonts w:ascii="Times New Roman" w:hAnsi="Times New Roman" w:eastAsia="Times New Roman" w:cs="Times New Roman"/>
        </w:rPr>
        <w:t>Y él lo afirmará como clavija en lugar firme; y será por trono de gloria a la casa de su padre. Y colgarán de él toda la gloria de la casa de su padre, los descendientes y la posteridad, todos los vasos de menor cuantía, desde las vasijas para copas hasta todos los vasos de cántaros. En aquel día, dice el Señor de los ejércitos, será quitada la clavija hincada en lugar firme, y será cortada y caerá; y la carga que estaba sobre ella será destruida, porque el Señor lo ha dicho. Isaías 22:15–22.</w:t>
      </w:r>
    </w:p>
    <w:p>
      <w:pPr>
        <w:pStyle w:val="ArticleBody"/>
        <w:jc w:val="left"/>
      </w:pPr>
      <w:r>
        <w:rPr>
          <w:rFonts w:ascii="Nirmala UI" w:hAnsi="Nirmala UI" w:eastAsia="Nirmala UI" w:cs="Nirmala UI"/>
        </w:rPr>
        <w:t>ମୂର୍ଖ</w:t>
      </w:r>
      <w:r>
        <w:rPr>
          <w:rFonts w:ascii="Times New Roman" w:hAnsi="Times New Roman" w:eastAsia="Times New Roman" w:cs="Times New Roman"/>
        </w:rPr>
        <w:t xml:space="preserve"> </w:t>
      </w:r>
      <w:r>
        <w:rPr>
          <w:rFonts w:ascii="Nirmala UI" w:hAnsi="Nirmala UI" w:eastAsia="Nirmala UI" w:cs="Nirmala UI"/>
        </w:rPr>
        <w:t>ଲାଓଦିକିୟ</w:t>
      </w:r>
      <w:r>
        <w:rPr>
          <w:rFonts w:ascii="Times New Roman" w:hAnsi="Times New Roman" w:eastAsia="Times New Roman" w:cs="Times New Roman"/>
        </w:rPr>
        <w:t xml:space="preserve"> </w:t>
      </w:r>
      <w:r>
        <w:rPr>
          <w:rFonts w:ascii="Nirmala UI" w:hAnsi="Nirmala UI" w:eastAsia="Nirmala UI" w:cs="Nirmala UI"/>
        </w:rPr>
        <w:t>ଶେବ୍ନା</w:t>
      </w:r>
      <w:r>
        <w:rPr>
          <w:rFonts w:ascii="Times New Roman" w:hAnsi="Times New Roman" w:eastAsia="Times New Roman" w:cs="Times New Roman"/>
        </w:rPr>
        <w:t xml:space="preserve"> </w:t>
      </w:r>
      <w:r>
        <w:rPr>
          <w:rFonts w:ascii="Nirmala UI" w:hAnsi="Nirmala UI" w:eastAsia="Nirmala UI" w:cs="Nirmala UI"/>
        </w:rPr>
        <w:t>ଯେଦିନ</w:t>
      </w:r>
      <w:r>
        <w:rPr>
          <w:rFonts w:ascii="Times New Roman" w:hAnsi="Times New Roman" w:eastAsia="Times New Roman" w:cs="Times New Roman"/>
        </w:rPr>
        <w:t xml:space="preserve"> </w:t>
      </w:r>
      <w:r>
        <w:rPr>
          <w:rFonts w:ascii="Nirmala UI" w:hAnsi="Nirmala UI" w:eastAsia="Nirmala UI" w:cs="Nirmala UI"/>
        </w:rPr>
        <w:t>ବାହାର</w:t>
      </w:r>
      <w:r>
        <w:rPr>
          <w:rFonts w:ascii="Times New Roman" w:hAnsi="Times New Roman" w:eastAsia="Times New Roman" w:cs="Times New Roman"/>
        </w:rPr>
        <w:t xml:space="preserve"> </w:t>
      </w:r>
      <w:r>
        <w:rPr>
          <w:rFonts w:ascii="Nirmala UI" w:hAnsi="Nirmala UI" w:eastAsia="Nirmala UI" w:cs="Nirmala UI"/>
        </w:rPr>
        <w:t>କରାଯାଏ</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ବିଜୟୀ</w:t>
      </w:r>
      <w:r>
        <w:rPr>
          <w:rFonts w:ascii="Times New Roman" w:hAnsi="Times New Roman" w:eastAsia="Times New Roman" w:cs="Times New Roman"/>
        </w:rPr>
        <w:t xml:space="preserve"> </w:t>
      </w:r>
      <w:r>
        <w:rPr>
          <w:rFonts w:ascii="Nirmala UI" w:hAnsi="Nirmala UI" w:eastAsia="Nirmala UI" w:cs="Nirmala UI"/>
        </w:rPr>
        <w:t>କଲିସିଆର</w:t>
      </w:r>
      <w:r>
        <w:rPr>
          <w:rFonts w:ascii="Times New Roman" w:hAnsi="Times New Roman" w:eastAsia="Times New Roman" w:cs="Times New Roman"/>
        </w:rPr>
        <w:t xml:space="preserve"> </w:t>
      </w:r>
      <w:r>
        <w:rPr>
          <w:rFonts w:ascii="Nirmala UI" w:hAnsi="Nirmala UI" w:eastAsia="Nirmala UI" w:cs="Nirmala UI"/>
        </w:rPr>
        <w:t>ଶାସନ</w:t>
      </w:r>
      <w:r>
        <w:rPr>
          <w:rFonts w:ascii="Times New Roman" w:hAnsi="Times New Roman" w:eastAsia="Times New Roman" w:cs="Times New Roman"/>
        </w:rPr>
        <w:t xml:space="preserve"> </w:t>
      </w:r>
      <w:r>
        <w:rPr>
          <w:rFonts w:ascii="Nirmala UI" w:hAnsi="Nirmala UI" w:eastAsia="Nirmala UI" w:cs="Nirmala UI"/>
        </w:rPr>
        <w:t>ଏଲିଆକୀମଙ୍କୁ</w:t>
      </w:r>
      <w:r>
        <w:rPr>
          <w:rFonts w:ascii="Times New Roman" w:hAnsi="Times New Roman" w:eastAsia="Times New Roman" w:cs="Times New Roman"/>
        </w:rPr>
        <w:t xml:space="preserve"> </w:t>
      </w:r>
      <w:r>
        <w:rPr>
          <w:rFonts w:ascii="Nirmala UI" w:hAnsi="Nirmala UI" w:eastAsia="Nirmala UI" w:cs="Nirmala UI"/>
        </w:rPr>
        <w:t>ଦିଆଯାଏ।</w:t>
      </w:r>
      <w:r>
        <w:rPr>
          <w:rFonts w:ascii="Times New Roman" w:hAnsi="Times New Roman" w:eastAsia="Times New Roman" w:cs="Times New Roman"/>
        </w:rPr>
        <w:t xml:space="preserve"> </w:t>
      </w:r>
      <w:r>
        <w:rPr>
          <w:rFonts w:ascii="Nirmala UI" w:hAnsi="Nirmala UI" w:eastAsia="Nirmala UI" w:cs="Nirmala UI"/>
        </w:rPr>
        <w:t>ଯେବେ</w:t>
      </w:r>
      <w:r>
        <w:rPr>
          <w:rFonts w:ascii="Times New Roman" w:hAnsi="Times New Roman" w:eastAsia="Times New Roman" w:cs="Times New Roman"/>
        </w:rPr>
        <w:t xml:space="preserve"> </w:t>
      </w:r>
      <w:r>
        <w:rPr>
          <w:rFonts w:ascii="Nirmala UI" w:hAnsi="Nirmala UI" w:eastAsia="Nirmala UI" w:cs="Nirmala UI"/>
        </w:rPr>
        <w:t>ଖ୍ରୀଷ୍ଟ</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ଶତ</w:t>
      </w:r>
      <w:r>
        <w:rPr>
          <w:rFonts w:ascii="Times New Roman" w:hAnsi="Times New Roman" w:eastAsia="Times New Roman" w:cs="Times New Roman"/>
        </w:rPr>
        <w:t xml:space="preserve"> </w:t>
      </w:r>
      <w:r>
        <w:rPr>
          <w:rFonts w:ascii="Nirmala UI" w:hAnsi="Nirmala UI" w:eastAsia="Nirmala UI" w:cs="Nirmala UI"/>
        </w:rPr>
        <w:t>ଚୁଆଳିଶ</w:t>
      </w:r>
      <w:r>
        <w:rPr>
          <w:rFonts w:ascii="Times New Roman" w:hAnsi="Times New Roman" w:eastAsia="Times New Roman" w:cs="Times New Roman"/>
        </w:rPr>
        <w:t xml:space="preserve"> </w:t>
      </w:r>
      <w:r>
        <w:rPr>
          <w:rFonts w:ascii="Nirmala UI" w:hAnsi="Nirmala UI" w:eastAsia="Nirmala UI" w:cs="Nirmala UI"/>
        </w:rPr>
        <w:t>ହଜାରଙ୍କ</w:t>
      </w:r>
      <w:r>
        <w:rPr>
          <w:rFonts w:ascii="Times New Roman" w:hAnsi="Times New Roman" w:eastAsia="Times New Roman" w:cs="Times New Roman"/>
        </w:rPr>
        <w:t xml:space="preserve"> </w:t>
      </w:r>
      <w:r>
        <w:rPr>
          <w:rFonts w:ascii="Nirmala UI" w:hAnsi="Nirmala UI" w:eastAsia="Nirmala UI" w:cs="Nirmala UI"/>
        </w:rPr>
        <w:t>ମନ୍ଦିରକୁ</w:t>
      </w:r>
      <w:r>
        <w:rPr>
          <w:rFonts w:ascii="Times New Roman" w:hAnsi="Times New Roman" w:eastAsia="Times New Roman" w:cs="Times New Roman"/>
        </w:rPr>
        <w:t xml:space="preserve"> </w:t>
      </w:r>
      <w:r>
        <w:rPr>
          <w:rFonts w:ascii="Nirmala UI" w:hAnsi="Nirmala UI" w:eastAsia="Nirmala UI" w:cs="Nirmala UI"/>
        </w:rPr>
        <w:t>ମୂଲ୍ୟବାନ</w:t>
      </w:r>
      <w:r>
        <w:rPr>
          <w:rFonts w:ascii="Times New Roman" w:hAnsi="Times New Roman" w:eastAsia="Times New Roman" w:cs="Times New Roman"/>
        </w:rPr>
        <w:t xml:space="preserve"> </w:t>
      </w:r>
      <w:r>
        <w:rPr>
          <w:rFonts w:ascii="Nirmala UI" w:hAnsi="Nirmala UI" w:eastAsia="Nirmala UI" w:cs="Nirmala UI"/>
        </w:rPr>
        <w:t>ରତ୍ନଗୁଡ଼ିକୁ</w:t>
      </w:r>
      <w:r>
        <w:rPr>
          <w:rFonts w:ascii="Times New Roman" w:hAnsi="Times New Roman" w:eastAsia="Times New Roman" w:cs="Times New Roman"/>
        </w:rPr>
        <w:t xml:space="preserve"> </w:t>
      </w:r>
      <w:r>
        <w:rPr>
          <w:rFonts w:ascii="Nirmala UI" w:hAnsi="Nirmala UI" w:eastAsia="Nirmala UI" w:cs="Nirmala UI"/>
        </w:rPr>
        <w:t>ଢାକି</w:t>
      </w:r>
      <w:r>
        <w:rPr>
          <w:rFonts w:ascii="Times New Roman" w:hAnsi="Times New Roman" w:eastAsia="Times New Roman" w:cs="Times New Roman"/>
        </w:rPr>
        <w:t xml:space="preserve"> </w:t>
      </w:r>
      <w:r>
        <w:rPr>
          <w:rFonts w:ascii="Nirmala UI" w:hAnsi="Nirmala UI" w:eastAsia="Nirmala UI" w:cs="Nirmala UI"/>
        </w:rPr>
        <w:t>ରଖିଥିବା</w:t>
      </w:r>
      <w:r>
        <w:rPr>
          <w:rFonts w:ascii="Times New Roman" w:hAnsi="Times New Roman" w:eastAsia="Times New Roman" w:cs="Times New Roman"/>
        </w:rPr>
        <w:t xml:space="preserve"> </w:t>
      </w:r>
      <w:r>
        <w:rPr>
          <w:rFonts w:ascii="Nirmala UI" w:hAnsi="Nirmala UI" w:eastAsia="Nirmala UI" w:cs="Nirmala UI"/>
        </w:rPr>
        <w:t>ଆବର୍ଜନାରୁ</w:t>
      </w:r>
      <w:r>
        <w:rPr>
          <w:rFonts w:ascii="Times New Roman" w:hAnsi="Times New Roman" w:eastAsia="Times New Roman" w:cs="Times New Roman"/>
        </w:rPr>
        <w:t xml:space="preserve"> </w:t>
      </w:r>
      <w:r>
        <w:rPr>
          <w:rFonts w:ascii="Nirmala UI" w:hAnsi="Nirmala UI" w:eastAsia="Nirmala UI" w:cs="Nirmala UI"/>
        </w:rPr>
        <w:t>ପରିଶୋଧନ</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ସେବେ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ଶେବ୍ନା</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ଲୋକମାନଙ୍କୁ</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ଆବୃତ</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ଆକାଶର</w:t>
      </w:r>
      <w:r>
        <w:rPr>
          <w:rFonts w:ascii="Times New Roman" w:hAnsi="Times New Roman" w:eastAsia="Times New Roman" w:cs="Times New Roman"/>
        </w:rPr>
        <w:t xml:space="preserve"> </w:t>
      </w:r>
      <w:r>
        <w:rPr>
          <w:rFonts w:ascii="Nirmala UI" w:hAnsi="Nirmala UI" w:eastAsia="Nirmala UI" w:cs="Nirmala UI"/>
        </w:rPr>
        <w:t>ଜଣାଳାଗୁଡ଼ିକ</w:t>
      </w:r>
      <w:r>
        <w:rPr>
          <w:rFonts w:ascii="Times New Roman" w:hAnsi="Times New Roman" w:eastAsia="Times New Roman" w:cs="Times New Roman"/>
        </w:rPr>
        <w:t xml:space="preserve"> </w:t>
      </w:r>
      <w:r>
        <w:rPr>
          <w:rFonts w:ascii="Nirmala UI" w:hAnsi="Nirmala UI" w:eastAsia="Nirmala UI" w:cs="Nirmala UI"/>
        </w:rPr>
        <w:t>ଖୋଲିବା</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ରତ୍ନଗୁଡ଼ିକ</w:t>
      </w:r>
      <w:r>
        <w:rPr>
          <w:rFonts w:ascii="Times New Roman" w:hAnsi="Times New Roman" w:eastAsia="Times New Roman" w:cs="Times New Roman"/>
        </w:rPr>
        <w:t xml:space="preserve"> </w:t>
      </w:r>
      <w:r>
        <w:rPr>
          <w:rFonts w:ascii="Nirmala UI" w:hAnsi="Nirmala UI" w:eastAsia="Nirmala UI" w:cs="Nirmala UI"/>
        </w:rPr>
        <w:t>ଆବର୍ଜନାରେ</w:t>
      </w:r>
      <w:r>
        <w:rPr>
          <w:rFonts w:ascii="Times New Roman" w:hAnsi="Times New Roman" w:eastAsia="Times New Roman" w:cs="Times New Roman"/>
        </w:rPr>
        <w:t xml:space="preserve"> </w:t>
      </w:r>
      <w:r>
        <w:rPr>
          <w:rFonts w:ascii="Nirmala UI" w:hAnsi="Nirmala UI" w:eastAsia="Nirmala UI" w:cs="Nirmala UI"/>
        </w:rPr>
        <w:t>ଢାକାଯାଇଥିଲା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ଆବର୍ଜନା</w:t>
      </w:r>
      <w:r>
        <w:rPr>
          <w:rFonts w:ascii="Times New Roman" w:hAnsi="Times New Roman" w:eastAsia="Times New Roman" w:cs="Times New Roman"/>
        </w:rPr>
        <w:t xml:space="preserve"> </w:t>
      </w:r>
      <w:r>
        <w:rPr>
          <w:rFonts w:ascii="Nirmala UI" w:hAnsi="Nirmala UI" w:eastAsia="Nirmala UI" w:cs="Nirmala UI"/>
        </w:rPr>
        <w:t>ବାହାର</w:t>
      </w:r>
      <w:r>
        <w:rPr>
          <w:rFonts w:ascii="Times New Roman" w:hAnsi="Times New Roman" w:eastAsia="Times New Roman" w:cs="Times New Roman"/>
        </w:rPr>
        <w:t xml:space="preserve"> </w:t>
      </w:r>
      <w:r>
        <w:rPr>
          <w:rFonts w:ascii="Nirmala UI" w:hAnsi="Nirmala UI" w:eastAsia="Nirmala UI" w:cs="Nirmala UI"/>
        </w:rPr>
        <w:t>କରାଯାଏ</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ଆବର୍ଜନା</w:t>
      </w:r>
      <w:r>
        <w:rPr>
          <w:rFonts w:ascii="Times New Roman" w:hAnsi="Times New Roman" w:eastAsia="Times New Roman" w:cs="Times New Roman"/>
        </w:rPr>
        <w:t xml:space="preserve"> </w:t>
      </w:r>
      <w:r>
        <w:rPr>
          <w:rFonts w:ascii="Nirmala UI" w:hAnsi="Nirmala UI" w:eastAsia="Nirmala UI" w:cs="Nirmala UI"/>
        </w:rPr>
        <w:t>ଲଜ୍ଜାରେ</w:t>
      </w:r>
      <w:r>
        <w:rPr>
          <w:rFonts w:ascii="Times New Roman" w:hAnsi="Times New Roman" w:eastAsia="Times New Roman" w:cs="Times New Roman"/>
        </w:rPr>
        <w:t xml:space="preserve"> </w:t>
      </w:r>
      <w:r>
        <w:rPr>
          <w:rFonts w:ascii="Nirmala UI" w:hAnsi="Nirmala UI" w:eastAsia="Nirmala UI" w:cs="Nirmala UI"/>
        </w:rPr>
        <w:t>ଆବୃତ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ଉଇଲିଅମ୍</w:t>
      </w:r>
      <w:r>
        <w:rPr>
          <w:rFonts w:ascii="Times New Roman" w:hAnsi="Times New Roman" w:eastAsia="Times New Roman" w:cs="Times New Roman"/>
        </w:rPr>
        <w:t xml:space="preserve"> </w:t>
      </w:r>
      <w:r>
        <w:rPr>
          <w:rFonts w:ascii="Nirmala UI" w:hAnsi="Nirmala UI" w:eastAsia="Nirmala UI" w:cs="Nirmala UI"/>
        </w:rPr>
        <w:t>ମିଲରଙ୍କ</w:t>
      </w:r>
      <w:r>
        <w:rPr>
          <w:rFonts w:ascii="Times New Roman" w:hAnsi="Times New Roman" w:eastAsia="Times New Roman" w:cs="Times New Roman"/>
        </w:rPr>
        <w:t xml:space="preserve"> </w:t>
      </w:r>
      <w:r>
        <w:rPr>
          <w:rFonts w:ascii="Nirmala UI" w:hAnsi="Nirmala UI" w:eastAsia="Nirmala UI" w:cs="Nirmala UI"/>
        </w:rPr>
        <w:t>ସ୍ୱପ୍ନ</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ଶତ</w:t>
      </w:r>
      <w:r>
        <w:rPr>
          <w:rFonts w:ascii="Times New Roman" w:hAnsi="Times New Roman" w:eastAsia="Times New Roman" w:cs="Times New Roman"/>
        </w:rPr>
        <w:t xml:space="preserve"> </w:t>
      </w:r>
      <w:r>
        <w:rPr>
          <w:rFonts w:ascii="Nirmala UI" w:hAnsi="Nirmala UI" w:eastAsia="Nirmala UI" w:cs="Nirmala UI"/>
        </w:rPr>
        <w:t>ଚୁଆଳିଶ</w:t>
      </w:r>
      <w:r>
        <w:rPr>
          <w:rFonts w:ascii="Times New Roman" w:hAnsi="Times New Roman" w:eastAsia="Times New Roman" w:cs="Times New Roman"/>
        </w:rPr>
        <w:t xml:space="preserve"> </w:t>
      </w:r>
      <w:r>
        <w:rPr>
          <w:rFonts w:ascii="Nirmala UI" w:hAnsi="Nirmala UI" w:eastAsia="Nirmala UI" w:cs="Nirmala UI"/>
        </w:rPr>
        <w:t>ହଜାରଙ୍କ</w:t>
      </w:r>
      <w:r>
        <w:rPr>
          <w:rFonts w:ascii="Times New Roman" w:hAnsi="Times New Roman" w:eastAsia="Times New Roman" w:cs="Times New Roman"/>
        </w:rPr>
        <w:t xml:space="preserve"> </w:t>
      </w:r>
      <w:r>
        <w:rPr>
          <w:rFonts w:ascii="Nirmala UI" w:hAnsi="Nirmala UI" w:eastAsia="Nirmala UI" w:cs="Nirmala UI"/>
        </w:rPr>
        <w:t>ମୁଦ୍ରାଙ୍କନକୁ</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କରୁଛି।</w:t>
      </w:r>
    </w:p>
    <w:p>
      <w:pPr>
        <w:pStyle w:val="ArticleBody"/>
        <w:jc w:val="left"/>
      </w:pPr>
      <w:r>
        <w:rPr>
          <w:rFonts w:ascii="Times New Roman" w:hAnsi="Times New Roman" w:eastAsia="Times New Roman" w:cs="Times New Roman"/>
        </w:rPr>
        <w:t>Il-funderija hija l-maħżen ta’ Malakija, id-dar spiritwali ta’ Pietru u t-tabernaklu ta’ Elija li Pietru xtaq jibni. Ir-raġel bil-pinzell tat-trab juri s-siġillar tal-mija u erbgħa u erbgħin elf meta Hu jixħet il-ġawhar fil-kaxxa. Malakija jidentifika l-prova li turi li l-poplu ta’ Alla tassew reġa’ lura lejh.</w:t>
      </w:r>
    </w:p>
    <w:p>
      <w:pPr>
        <w:pStyle w:val="ArticleScripture"/>
        <w:jc w:val="left"/>
      </w:pPr>
      <w:r>
        <w:rPr>
          <w:rFonts w:ascii="Times New Roman" w:hAnsi="Times New Roman" w:eastAsia="Times New Roman" w:cs="Times New Roman"/>
        </w:rPr>
        <w:t>Sonapɨm apam ma uua Yihowawa tatakwaratzaɨmawatabap tɨra tɨra namwa asa; ka Yihowa izɨpɨrɨn, ka tɨrɨn. Ka au pakwa pɨkɨrɨ pamtarɨn ipɨka arau, Yihowawa tatakwaratzaɨmawatabap awɨrɨn, ka ipɨ naa pamtɨmɨn. “Naakwa na apan,” tɨrɨ Yihowa, ik Sabaot, “uura amta apan pɨrata na pɨkɨrɨn awɨrɨn tura; ka na pɨrata, ma am para ik tura pɨrata ipɨ warɨ pɨrata awɨrɨn.” Tura mɨn mapanɨn ka pɨkɨrɨn nawi: na awɨrɨn tura, na awɨrɨn tura tawatɨn ma pɨrata awɨrɨn tura. Malachi 3:16–18.</w:t>
      </w:r>
    </w:p>
    <w:p>
      <w:pPr>
        <w:pStyle w:val="ArticleBody"/>
        <w:jc w:val="left"/>
      </w:pPr>
      <w:r>
        <w:rPr>
          <w:rFonts w:ascii="Times New Roman" w:hAnsi="Times New Roman" w:eastAsia="Times New Roman" w:cs="Times New Roman"/>
        </w:rPr>
        <w:t>يل غاكلمةورية هذا النص، لأن دعا شعب يعودوا، وهو أيضًا يتاهم أن يمتحنوهّمشورقدمات، وهناك أيضًا وقت سيرجع الأبرار،ذلك سيميزون بين الحكيمجاه. أما الذين خاف الرب وتفكروا اس، فهم الذين يكون راية المائة والأربعة والأ ألفًا.</w:t>
      </w:r>
    </w:p>
    <w:p>
      <w:pPr>
        <w:pStyle w:val="ArticleBody"/>
        <w:jc w:val="left"/>
      </w:pPr>
      <w:r>
        <w:rPr>
          <w:rFonts w:ascii="Times New Roman" w:hAnsi="Times New Roman" w:eastAsia="Times New Roman" w:cs="Times New Roman"/>
        </w:rPr>
        <w:t>Rabbi irraa sodaan qorannaa jalqabaa dha; kanaaf, yeroo lakkoofsi kudha jaha, “achiis” warri Rabbiin sodaatan jedhe, inni gara seenaa raajii sanaatti duubatti akeeka.</w:t>
      </w:r>
    </w:p>
    <w:p>
      <w:pPr>
        <w:pStyle w:val="ArticleScripture"/>
        <w:jc w:val="left"/>
      </w:pPr>
      <w:r>
        <w:rPr>
          <w:rFonts w:ascii="Myanmar Text" w:hAnsi="Myanmar Text" w:eastAsia="Myanmar Text" w:cs="Myanmar Text"/>
        </w:rPr>
        <w:t>သခင်ဘုရား</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သင်တို့၏စကားတို့သည်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ဆန့်ကျင်၍</w:t>
      </w:r>
      <w:r>
        <w:rPr>
          <w:rFonts w:ascii="Times New Roman" w:hAnsi="Times New Roman" w:eastAsia="Times New Roman" w:cs="Times New Roman"/>
        </w:rPr>
        <w:t xml:space="preserve"> </w:t>
      </w:r>
      <w:r>
        <w:rPr>
          <w:rFonts w:ascii="Myanmar Text" w:hAnsi="Myanmar Text" w:eastAsia="Myanmar Text" w:cs="Myanmar Text"/>
        </w:rPr>
        <w:t>ကြမ်းတမ်းလျက်ရှိကြ၏။</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အကျွန်ုပ်တို့သည်</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ဆန့်ကျင်၍</w:t>
      </w:r>
      <w:r>
        <w:rPr>
          <w:rFonts w:ascii="Times New Roman" w:hAnsi="Times New Roman" w:eastAsia="Times New Roman" w:cs="Times New Roman"/>
        </w:rPr>
        <w:t xml:space="preserve"> </w:t>
      </w:r>
      <w:r>
        <w:rPr>
          <w:rFonts w:ascii="Myanmar Text" w:hAnsi="Myanmar Text" w:eastAsia="Myanmar Text" w:cs="Myanmar Text"/>
        </w:rPr>
        <w:t>အဘယ်မျှ</w:t>
      </w:r>
      <w:r>
        <w:rPr>
          <w:rFonts w:ascii="Times New Roman" w:hAnsi="Times New Roman" w:eastAsia="Times New Roman" w:cs="Times New Roman"/>
        </w:rPr>
        <w:t xml:space="preserve"> </w:t>
      </w:r>
      <w:r>
        <w:rPr>
          <w:rFonts w:ascii="Myanmar Text" w:hAnsi="Myanmar Text" w:eastAsia="Myanmar Text" w:cs="Myanmar Text"/>
        </w:rPr>
        <w:t>ပြောဆိုခဲ့ကြသနည်း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အစေခံခြင်းသည်</w:t>
      </w:r>
      <w:r>
        <w:rPr>
          <w:rFonts w:ascii="Times New Roman" w:hAnsi="Times New Roman" w:eastAsia="Times New Roman" w:cs="Times New Roman"/>
        </w:rPr>
        <w:t xml:space="preserve"> </w:t>
      </w:r>
      <w:r>
        <w:rPr>
          <w:rFonts w:ascii="Myanmar Text" w:hAnsi="Myanmar Text" w:eastAsia="Myanmar Text" w:cs="Myanmar Text"/>
        </w:rPr>
        <w:t>အချည်းနှီးဖြစ်၏။</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ပညတ်တော်ကို</w:t>
      </w:r>
      <w:r>
        <w:rPr>
          <w:rFonts w:ascii="Times New Roman" w:hAnsi="Times New Roman" w:eastAsia="Times New Roman" w:cs="Times New Roman"/>
        </w:rPr>
        <w:t xml:space="preserve"> </w:t>
      </w:r>
      <w:r>
        <w:rPr>
          <w:rFonts w:ascii="Myanmar Text" w:hAnsi="Myanmar Text" w:eastAsia="Myanmar Text" w:cs="Myanmar Text"/>
        </w:rPr>
        <w:t>စောင့်ထိန်းခဲ့ခြင်းနှင့်</w:t>
      </w:r>
      <w:r>
        <w:rPr>
          <w:rFonts w:ascii="Times New Roman" w:hAnsi="Times New Roman" w:eastAsia="Times New Roman" w:cs="Times New Roman"/>
        </w:rPr>
        <w:t xml:space="preserve"> </w:t>
      </w:r>
      <w:r>
        <w:rPr>
          <w:rFonts w:ascii="Myanmar Text" w:hAnsi="Myanmar Text" w:eastAsia="Myanmar Text" w:cs="Myanmar Text"/>
        </w:rPr>
        <w:t>ဗိုလ်ခြေတို့၏</w:t>
      </w:r>
      <w:r>
        <w:rPr>
          <w:rFonts w:ascii="Times New Roman" w:hAnsi="Times New Roman" w:eastAsia="Times New Roman" w:cs="Times New Roman"/>
        </w:rPr>
        <w:t xml:space="preserve"> </w:t>
      </w:r>
      <w:r>
        <w:rPr>
          <w:rFonts w:ascii="Myanmar Text" w:hAnsi="Myanmar Text" w:eastAsia="Myanmar Text" w:cs="Myanmar Text"/>
        </w:rPr>
        <w:t>ထာဝရဘုရားရှေ့တော်၌</w:t>
      </w:r>
      <w:r>
        <w:rPr>
          <w:rFonts w:ascii="Times New Roman" w:hAnsi="Times New Roman" w:eastAsia="Times New Roman" w:cs="Times New Roman"/>
        </w:rPr>
        <w:t xml:space="preserve"> </w:t>
      </w:r>
      <w:r>
        <w:rPr>
          <w:rFonts w:ascii="Myanmar Text" w:hAnsi="Myanmar Text" w:eastAsia="Myanmar Text" w:cs="Myanmar Text"/>
        </w:rPr>
        <w:t>ဝမ်းနည်းညှိုးနွမ်းစွာ</w:t>
      </w:r>
      <w:r>
        <w:rPr>
          <w:rFonts w:ascii="Times New Roman" w:hAnsi="Times New Roman" w:eastAsia="Times New Roman" w:cs="Times New Roman"/>
        </w:rPr>
        <w:t xml:space="preserve"> </w:t>
      </w:r>
      <w:r>
        <w:rPr>
          <w:rFonts w:ascii="Myanmar Text" w:hAnsi="Myanmar Text" w:eastAsia="Myanmar Text" w:cs="Myanmar Text"/>
        </w:rPr>
        <w:t>လျှောက်လှမ်းခဲ့ခြင်းတို့မှ</w:t>
      </w:r>
      <w:r>
        <w:rPr>
          <w:rFonts w:ascii="Times New Roman" w:hAnsi="Times New Roman" w:eastAsia="Times New Roman" w:cs="Times New Roman"/>
        </w:rPr>
        <w:t xml:space="preserve"> </w:t>
      </w:r>
      <w:r>
        <w:rPr>
          <w:rFonts w:ascii="Myanmar Text" w:hAnsi="Myanmar Text" w:eastAsia="Myanmar Text" w:cs="Myanmar Text"/>
        </w:rPr>
        <w:t>အဘယ်အကျိုးရှိသနည်း။</w:t>
      </w:r>
      <w:r>
        <w:rPr>
          <w:rFonts w:ascii="Times New Roman" w:hAnsi="Times New Roman" w:eastAsia="Times New Roman" w:cs="Times New Roman"/>
        </w:rPr>
        <w:t xml:space="preserve"> </w:t>
      </w:r>
      <w:r>
        <w:rPr>
          <w:rFonts w:ascii="Myanmar Text" w:hAnsi="Myanmar Text" w:eastAsia="Myanmar Text" w:cs="Myanmar Text"/>
        </w:rPr>
        <w:t>ယခုမူကား</w:t>
      </w:r>
      <w:r>
        <w:rPr>
          <w:rFonts w:ascii="Times New Roman" w:hAnsi="Times New Roman" w:eastAsia="Times New Roman" w:cs="Times New Roman"/>
        </w:rPr>
        <w:t xml:space="preserve"> </w:t>
      </w:r>
      <w:r>
        <w:rPr>
          <w:rFonts w:ascii="Myanmar Text" w:hAnsi="Myanmar Text" w:eastAsia="Myanmar Text" w:cs="Myanmar Text"/>
        </w:rPr>
        <w:t>မာနကြီးသူတို့ကို</w:t>
      </w:r>
      <w:r>
        <w:rPr>
          <w:rFonts w:ascii="Times New Roman" w:hAnsi="Times New Roman" w:eastAsia="Times New Roman" w:cs="Times New Roman"/>
        </w:rPr>
        <w:t xml:space="preserve"> </w:t>
      </w:r>
      <w:r>
        <w:rPr>
          <w:rFonts w:ascii="Myanmar Text" w:hAnsi="Myanmar Text" w:eastAsia="Myanmar Text" w:cs="Myanmar Text"/>
        </w:rPr>
        <w:t>ပျော်ရွှင်သောသူများဟု</w:t>
      </w:r>
      <w:r>
        <w:rPr>
          <w:rFonts w:ascii="Times New Roman" w:hAnsi="Times New Roman" w:eastAsia="Times New Roman" w:cs="Times New Roman"/>
        </w:rPr>
        <w:t xml:space="preserve"> </w:t>
      </w:r>
      <w:r>
        <w:rPr>
          <w:rFonts w:ascii="Myanmar Text" w:hAnsi="Myanmar Text" w:eastAsia="Myanmar Text" w:cs="Myanmar Text"/>
        </w:rPr>
        <w:t>ခေါ်ဆိုကြ၏။</w:t>
      </w:r>
      <w:r>
        <w:rPr>
          <w:rFonts w:ascii="Times New Roman" w:hAnsi="Times New Roman" w:eastAsia="Times New Roman" w:cs="Times New Roman"/>
        </w:rPr>
        <w:t xml:space="preserve"> </w:t>
      </w:r>
      <w:r>
        <w:rPr>
          <w:rFonts w:ascii="Myanmar Text" w:hAnsi="Myanmar Text" w:eastAsia="Myanmar Text" w:cs="Myanmar Text"/>
        </w:rPr>
        <w:t>အမှန်ပင်</w:t>
      </w:r>
      <w:r>
        <w:rPr>
          <w:rFonts w:ascii="Times New Roman" w:hAnsi="Times New Roman" w:eastAsia="Times New Roman" w:cs="Times New Roman"/>
        </w:rPr>
        <w:t xml:space="preserve"> </w:t>
      </w:r>
      <w:r>
        <w:rPr>
          <w:rFonts w:ascii="Myanmar Text" w:hAnsi="Myanmar Text" w:eastAsia="Myanmar Text" w:cs="Myanmar Text"/>
        </w:rPr>
        <w:t>ဒုစရိုက်ကို</w:t>
      </w:r>
      <w:r>
        <w:rPr>
          <w:rFonts w:ascii="Times New Roman" w:hAnsi="Times New Roman" w:eastAsia="Times New Roman" w:cs="Times New Roman"/>
        </w:rPr>
        <w:t xml:space="preserve"> </w:t>
      </w:r>
      <w:r>
        <w:rPr>
          <w:rFonts w:ascii="Myanmar Text" w:hAnsi="Myanmar Text" w:eastAsia="Myanmar Text" w:cs="Myanmar Text"/>
        </w:rPr>
        <w:t>ပြုသောသူတို့သည်</w:t>
      </w:r>
      <w:r>
        <w:rPr>
          <w:rFonts w:ascii="Times New Roman" w:hAnsi="Times New Roman" w:eastAsia="Times New Roman" w:cs="Times New Roman"/>
        </w:rPr>
        <w:t xml:space="preserve"> </w:t>
      </w:r>
      <w:r>
        <w:rPr>
          <w:rFonts w:ascii="Myanmar Text" w:hAnsi="Myanmar Text" w:eastAsia="Myanmar Text" w:cs="Myanmar Text"/>
        </w:rPr>
        <w:t>မြှောက်တင်ခြင်းကို</w:t>
      </w:r>
      <w:r>
        <w:rPr>
          <w:rFonts w:ascii="Times New Roman" w:hAnsi="Times New Roman" w:eastAsia="Times New Roman" w:cs="Times New Roman"/>
        </w:rPr>
        <w:t xml:space="preserve"> </w:t>
      </w:r>
      <w:r>
        <w:rPr>
          <w:rFonts w:ascii="Myanmar Text" w:hAnsi="Myanmar Text" w:eastAsia="Myanmar Text" w:cs="Myanmar Text"/>
        </w:rPr>
        <w:t>ခံရကြ၏။</w:t>
      </w:r>
      <w:r>
        <w:rPr>
          <w:rFonts w:ascii="Times New Roman" w:hAnsi="Times New Roman" w:eastAsia="Times New Roman" w:cs="Times New Roman"/>
        </w:rPr>
        <w:t xml:space="preserve"> </w:t>
      </w:r>
      <w:r>
        <w:rPr>
          <w:rFonts w:ascii="Myanmar Text" w:hAnsi="Myanmar Text" w:eastAsia="Myanmar Text" w:cs="Myanmar Text"/>
        </w:rPr>
        <w:t>အမှန်ပင်</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စမ်းသပ်သောသူတို့ပင်လျှင်</w:t>
      </w:r>
      <w:r>
        <w:rPr>
          <w:rFonts w:ascii="Times New Roman" w:hAnsi="Times New Roman" w:eastAsia="Times New Roman" w:cs="Times New Roman"/>
        </w:rPr>
        <w:t xml:space="preserve"> </w:t>
      </w:r>
      <w:r>
        <w:rPr>
          <w:rFonts w:ascii="Myanmar Text" w:hAnsi="Myanmar Text" w:eastAsia="Myanmar Text" w:cs="Myanmar Text"/>
        </w:rPr>
        <w:t>ကယ်လွှတ်ခြင်းကို</w:t>
      </w:r>
      <w:r>
        <w:rPr>
          <w:rFonts w:ascii="Times New Roman" w:hAnsi="Times New Roman" w:eastAsia="Times New Roman" w:cs="Times New Roman"/>
        </w:rPr>
        <w:t xml:space="preserve"> </w:t>
      </w:r>
      <w:r>
        <w:rPr>
          <w:rFonts w:ascii="Myanmar Text" w:hAnsi="Myanmar Text" w:eastAsia="Myanmar Text" w:cs="Myanmar Text"/>
        </w:rPr>
        <w:t>ခံရကြ၏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မာလခိ</w:t>
      </w:r>
      <w:r>
        <w:rPr>
          <w:rFonts w:ascii="Times New Roman" w:hAnsi="Times New Roman" w:eastAsia="Times New Roman" w:cs="Times New Roman"/>
        </w:rPr>
        <w:t xml:space="preserve"> 3:13–15</w:t>
      </w:r>
      <w:r>
        <w:rPr>
          <w:rFonts w:ascii="Myanmar Text" w:hAnsi="Myanmar Text" w:eastAsia="Myanmar Text" w:cs="Myanmar Text"/>
        </w:rPr>
        <w:t>။</w:t>
      </w:r>
    </w:p>
    <w:p>
      <w:pPr>
        <w:pStyle w:val="ArticleBody"/>
        <w:jc w:val="left"/>
      </w:pPr>
      <w:r>
        <w:rPr>
          <w:rFonts w:ascii="Times New Roman" w:hAnsi="Times New Roman" w:eastAsia="Times New Roman" w:cs="Times New Roman"/>
        </w:rPr>
        <w:t>Malaki dj̃i̱, “kab m̱wij jidrik ro jet im re nano.” Ro lelok naan ilo Iprāim rej ājin in “kāan in laṃṃañ,” im rej mōnōnō ilo aolep iien ne rej kile eṃōj māt Mōjij im Ilija, ro ruo an ri-kajitōk ro arjake er. Rej jabdewōt in mōnōnō, ñan etan ne rej jilkintok juon ñan juon bwe en bōk kwōn.</w:t>
      </w:r>
    </w:p>
    <w:p>
      <w:pPr>
        <w:pStyle w:val="ArticleScripture"/>
        <w:jc w:val="left"/>
      </w:pPr>
      <w:r>
        <w:rPr>
          <w:rFonts w:ascii="Times New Roman" w:hAnsi="Times New Roman" w:eastAsia="Times New Roman" w:cs="Times New Roman"/>
        </w:rPr>
        <w:t>Ukufa lwawo luyakuleleka esitaladini somuzi omkhulu, ngokomoya obizwa ngokuthi yiSodoma neGibhithe, lapho futhi iNkosi yethu yabethelwa khona. Futhi abantu bezizwe nezizukulwane nezilimi nezizwe bayakubuka ukufa kwawo izinsuku ezintathu nengxenye, bangavumi ukuba ukufa kwawo kubekwe emathuneni. Futhi abakhileyo emhlabeni bayakuthokoza ngawo, benze injabulo, bathumelane izipho; ngokuba laba baprofethi ababili babahlupha abakhileyo emhlabeni. IsAmbulo 11:8–10.</w:t>
      </w:r>
    </w:p>
    <w:p>
      <w:pPr>
        <w:pStyle w:val="ArticleBody"/>
        <w:jc w:val="left"/>
      </w:pPr>
      <w:r>
        <w:rPr>
          <w:rFonts w:ascii="Ebrima" w:hAnsi="Ebrima" w:eastAsia="Ebrima" w:cs="Ebrima"/>
        </w:rPr>
        <w:t>እነ</w:t>
      </w:r>
      <w:r>
        <w:rPr>
          <w:rFonts w:ascii="Times New Roman" w:hAnsi="Times New Roman" w:eastAsia="Times New Roman" w:cs="Times New Roman"/>
        </w:rPr>
        <w:t xml:space="preserve"> </w:t>
      </w:r>
      <w:r>
        <w:rPr>
          <w:rFonts w:ascii="Ebrima" w:hAnsi="Ebrima" w:eastAsia="Ebrima" w:cs="Ebrima"/>
        </w:rPr>
        <w:t>ትዕቢተኞች</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2020 </w:t>
      </w:r>
      <w:r>
        <w:rPr>
          <w:rFonts w:ascii="Ebrima" w:hAnsi="Ebrima" w:eastAsia="Ebrima" w:cs="Ebrima"/>
        </w:rPr>
        <w:t>ጁላይ</w:t>
      </w:r>
      <w:r>
        <w:rPr>
          <w:rFonts w:ascii="Times New Roman" w:hAnsi="Times New Roman" w:eastAsia="Times New Roman" w:cs="Times New Roman"/>
        </w:rPr>
        <w:t xml:space="preserve"> 18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2023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ደስተኞች</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2020 </w:t>
      </w:r>
      <w:r>
        <w:rPr>
          <w:rFonts w:ascii="Ebrima" w:hAnsi="Ebrima" w:eastAsia="Ebrima" w:cs="Ebrima"/>
        </w:rPr>
        <w:t>ጁላይ</w:t>
      </w:r>
      <w:r>
        <w:rPr>
          <w:rFonts w:ascii="Times New Roman" w:hAnsi="Times New Roman" w:eastAsia="Times New Roman" w:cs="Times New Roman"/>
        </w:rPr>
        <w:t xml:space="preserve"> 18 </w:t>
      </w:r>
      <w:r>
        <w:rPr>
          <w:rFonts w:ascii="Ebrima" w:hAnsi="Ebrima" w:eastAsia="Ebrima" w:cs="Ebrima"/>
        </w:rPr>
        <w:t>መልእክቱ</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ጠንካራ</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2020 </w:t>
      </w:r>
      <w:r>
        <w:rPr>
          <w:rFonts w:ascii="Ebrima" w:hAnsi="Ebrima" w:eastAsia="Ebrima" w:cs="Ebrima"/>
        </w:rPr>
        <w:t>ጁላይ</w:t>
      </w:r>
      <w:r>
        <w:rPr>
          <w:rFonts w:ascii="Times New Roman" w:hAnsi="Times New Roman" w:eastAsia="Times New Roman" w:cs="Times New Roman"/>
        </w:rPr>
        <w:t xml:space="preserve"> 18 </w:t>
      </w:r>
      <w:r>
        <w:rPr>
          <w:rFonts w:ascii="Ebrima" w:hAnsi="Ebrima" w:eastAsia="Ebrima" w:cs="Ebrima"/>
        </w:rPr>
        <w:t>በእግዚአብሔርና</w:t>
      </w:r>
      <w:r>
        <w:rPr>
          <w:rFonts w:ascii="Times New Roman" w:hAnsi="Times New Roman" w:eastAsia="Times New Roman" w:cs="Times New Roman"/>
        </w:rPr>
        <w:t xml:space="preserve"> </w:t>
      </w:r>
      <w:r>
        <w:rPr>
          <w:rFonts w:ascii="Ebrima" w:hAnsi="Ebrima" w:eastAsia="Ebrima" w:cs="Ebrima"/>
        </w:rPr>
        <w:t>በቃሉ</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ምንኛ</w:t>
      </w:r>
      <w:r>
        <w:rPr>
          <w:rFonts w:ascii="Times New Roman" w:hAnsi="Times New Roman" w:eastAsia="Times New Roman" w:cs="Times New Roman"/>
        </w:rPr>
        <w:t xml:space="preserve"> </w:t>
      </w:r>
      <w:r>
        <w:rPr>
          <w:rFonts w:ascii="Ebrima" w:hAnsi="Ebrima" w:eastAsia="Ebrima" w:cs="Ebrima"/>
        </w:rPr>
        <w:t>አስፈሪ</w:t>
      </w:r>
      <w:r>
        <w:rPr>
          <w:rFonts w:ascii="Times New Roman" w:hAnsi="Times New Roman" w:eastAsia="Times New Roman" w:cs="Times New Roman"/>
        </w:rPr>
        <w:t xml:space="preserve"> </w:t>
      </w:r>
      <w:r>
        <w:rPr>
          <w:rFonts w:ascii="Ebrima" w:hAnsi="Ebrima" w:eastAsia="Ebrima" w:cs="Ebrima"/>
        </w:rPr>
        <w:t>እንደተናገርን</w:t>
      </w:r>
      <w:r>
        <w:rPr>
          <w:rFonts w:ascii="Times New Roman" w:hAnsi="Times New Roman" w:eastAsia="Times New Roman" w:cs="Times New Roman"/>
        </w:rPr>
        <w:t xml:space="preserve"> </w:t>
      </w:r>
      <w:r>
        <w:rPr>
          <w:rFonts w:ascii="Ebrima" w:hAnsi="Ebrima" w:eastAsia="Ebrima" w:cs="Ebrima"/>
        </w:rPr>
        <w:t>አላወቅንም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ቆርጠን፣</w:t>
      </w:r>
      <w:r>
        <w:rPr>
          <w:rFonts w:ascii="Times New Roman" w:hAnsi="Times New Roman" w:eastAsia="Times New Roman" w:cs="Times New Roman"/>
        </w:rPr>
        <w:t xml:space="preserve"> “</w:t>
      </w:r>
      <w:r>
        <w:rPr>
          <w:rFonts w:ascii="Ebrima" w:hAnsi="Ebrima" w:eastAsia="Ebrima" w:cs="Ebrima"/>
        </w:rPr>
        <w:t>እግዚአብሔርን</w:t>
      </w:r>
      <w:r>
        <w:rPr>
          <w:rFonts w:ascii="Times New Roman" w:hAnsi="Times New Roman" w:eastAsia="Times New Roman" w:cs="Times New Roman"/>
        </w:rPr>
        <w:t xml:space="preserve"> </w:t>
      </w:r>
      <w:r>
        <w:rPr>
          <w:rFonts w:ascii="Ebrima" w:hAnsi="Ebrima" w:eastAsia="Ebrima" w:cs="Ebrima"/>
        </w:rPr>
        <w:t>ማገልገል</w:t>
      </w:r>
      <w:r>
        <w:rPr>
          <w:rFonts w:ascii="Times New Roman" w:hAnsi="Times New Roman" w:eastAsia="Times New Roman" w:cs="Times New Roman"/>
        </w:rPr>
        <w:t xml:space="preserve"> </w:t>
      </w:r>
      <w:r>
        <w:rPr>
          <w:rFonts w:ascii="Ebrima" w:hAnsi="Ebrima" w:eastAsia="Ebrima" w:cs="Ebrima"/>
        </w:rPr>
        <w:t>ከንቱ</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ሥርዓቱንስ</w:t>
      </w:r>
      <w:r>
        <w:rPr>
          <w:rFonts w:ascii="Times New Roman" w:hAnsi="Times New Roman" w:eastAsia="Times New Roman" w:cs="Times New Roman"/>
        </w:rPr>
        <w:t xml:space="preserve"> </w:t>
      </w:r>
      <w:r>
        <w:rPr>
          <w:rFonts w:ascii="Ebrima" w:hAnsi="Ebrima" w:eastAsia="Ebrima" w:cs="Ebrima"/>
        </w:rPr>
        <w:t>ጠብቀን፣</w:t>
      </w:r>
      <w:r>
        <w:rPr>
          <w:rFonts w:ascii="Times New Roman" w:hAnsi="Times New Roman" w:eastAsia="Times New Roman" w:cs="Times New Roman"/>
        </w:rPr>
        <w:t xml:space="preserve"> </w:t>
      </w:r>
      <w:r>
        <w:rPr>
          <w:rFonts w:ascii="Ebrima" w:hAnsi="Ebrima" w:eastAsia="Ebrima" w:cs="Ebrima"/>
        </w:rPr>
        <w:t>በሠራዊት</w:t>
      </w:r>
      <w:r>
        <w:rPr>
          <w:rFonts w:ascii="Times New Roman" w:hAnsi="Times New Roman" w:eastAsia="Times New Roman" w:cs="Times New Roman"/>
        </w:rPr>
        <w:t xml:space="preserve"> </w:t>
      </w:r>
      <w:r>
        <w:rPr>
          <w:rFonts w:ascii="Ebrima" w:hAnsi="Ebrima" w:eastAsia="Ebrima" w:cs="Ebrima"/>
        </w:rPr>
        <w:t>ጌታም</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በሐዘን</w:t>
      </w:r>
      <w:r>
        <w:rPr>
          <w:rFonts w:ascii="Times New Roman" w:hAnsi="Times New Roman" w:eastAsia="Times New Roman" w:cs="Times New Roman"/>
        </w:rPr>
        <w:t xml:space="preserve"> </w:t>
      </w:r>
      <w:r>
        <w:rPr>
          <w:rFonts w:ascii="Ebrima" w:hAnsi="Ebrima" w:eastAsia="Ebrima" w:cs="Ebrima"/>
        </w:rPr>
        <w:t>ተመላልሰን</w:t>
      </w:r>
      <w:r>
        <w:rPr>
          <w:rFonts w:ascii="Times New Roman" w:hAnsi="Times New Roman" w:eastAsia="Times New Roman" w:cs="Times New Roman"/>
        </w:rPr>
        <w:t xml:space="preserve"> </w:t>
      </w:r>
      <w:r>
        <w:rPr>
          <w:rFonts w:ascii="Ebrima" w:hAnsi="Ebrima" w:eastAsia="Ebrima" w:cs="Ebrima"/>
        </w:rPr>
        <w:t>ምን</w:t>
      </w:r>
      <w:r>
        <w:rPr>
          <w:rFonts w:ascii="Times New Roman" w:hAnsi="Times New Roman" w:eastAsia="Times New Roman" w:cs="Times New Roman"/>
        </w:rPr>
        <w:t xml:space="preserve"> </w:t>
      </w:r>
      <w:r>
        <w:rPr>
          <w:rFonts w:ascii="Ebrima" w:hAnsi="Ebrima" w:eastAsia="Ebrima" w:cs="Ebrima"/>
        </w:rPr>
        <w:t>ጥቅም</w:t>
      </w:r>
      <w:r>
        <w:rPr>
          <w:rFonts w:ascii="Times New Roman" w:hAnsi="Times New Roman" w:eastAsia="Times New Roman" w:cs="Times New Roman"/>
        </w:rPr>
        <w:t xml:space="preserve"> </w:t>
      </w:r>
      <w:r>
        <w:rPr>
          <w:rFonts w:ascii="Ebrima" w:hAnsi="Ebrima" w:eastAsia="Ebrima" w:cs="Ebrima"/>
        </w:rPr>
        <w:t>አለን</w:t>
      </w:r>
      <w:r>
        <w:rPr>
          <w:rFonts w:ascii="Times New Roman" w:hAnsi="Times New Roman" w:eastAsia="Times New Roman" w:cs="Times New Roman"/>
        </w:rPr>
        <w:t xml:space="preserve">?” </w:t>
      </w:r>
      <w:r>
        <w:rPr>
          <w:rFonts w:ascii="Ebrima" w:hAnsi="Ebrima" w:eastAsia="Ebrima" w:cs="Ebrima"/>
        </w:rPr>
        <w:t>በሚለው</w:t>
      </w:r>
      <w:r>
        <w:rPr>
          <w:rFonts w:ascii="Times New Roman" w:hAnsi="Times New Roman" w:eastAsia="Times New Roman" w:cs="Times New Roman"/>
        </w:rPr>
        <w:t xml:space="preserve"> </w:t>
      </w:r>
      <w:r>
        <w:rPr>
          <w:rFonts w:ascii="Ebrima" w:hAnsi="Ebrima" w:eastAsia="Ebrima" w:cs="Ebrima"/>
        </w:rPr>
        <w:t>ልቅሶ</w:t>
      </w:r>
      <w:r>
        <w:rPr>
          <w:rFonts w:ascii="Times New Roman" w:hAnsi="Times New Roman" w:eastAsia="Times New Roman" w:cs="Times New Roman"/>
        </w:rPr>
        <w:t xml:space="preserve"> </w:t>
      </w:r>
      <w:r>
        <w:rPr>
          <w:rFonts w:ascii="Ebrima" w:hAnsi="Ebrima" w:eastAsia="Ebrima" w:cs="Ebrima"/>
        </w:rPr>
        <w:t>እንደተወከለው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መቆየት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ገባን።</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የመጀመሪያውን</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መቁረጥ</w:t>
      </w:r>
      <w:r>
        <w:rPr>
          <w:rFonts w:ascii="Times New Roman" w:hAnsi="Times New Roman" w:eastAsia="Times New Roman" w:cs="Times New Roman"/>
        </w:rPr>
        <w:t xml:space="preserve"> </w:t>
      </w:r>
      <w:r>
        <w:rPr>
          <w:rFonts w:ascii="Ebrima" w:hAnsi="Ebrima" w:eastAsia="Ebrima" w:cs="Ebrima"/>
        </w:rPr>
        <w:t>በሚያብራራበት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ከኤርምያስ</w:t>
      </w:r>
      <w:r>
        <w:rPr>
          <w:rFonts w:ascii="Times New Roman" w:hAnsi="Times New Roman" w:eastAsia="Times New Roman" w:cs="Times New Roman"/>
        </w:rPr>
        <w:t xml:space="preserve"> </w:t>
      </w:r>
      <w:r>
        <w:rPr>
          <w:rFonts w:ascii="Ebrima" w:hAnsi="Ebrima" w:eastAsia="Ebrima" w:cs="Ebrima"/>
        </w:rPr>
        <w:t>ልቅሶ</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ተመሳሳይ</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Ñuqaqa manan qhawaykuqkuna tantanakusqankupichu tiyarqani, nitaq kusikurqanichu; sapallaymi tiyarqani makiykirayku, phiñakuywan hunt’asqa kasqayrayku. Imanasqataq nanaynīyqa wiñaypaq, ch’ukiyqa mana hampiy atikuq, hampisqa kayta mana munaspa? ¿Qanqa llullaq hinachu ñuqaman kanki, chinkaq unu hina? Jeremías 15:17, 18.</w:t>
      </w:r>
    </w:p>
    <w:p>
      <w:pPr>
        <w:pStyle w:val="ArticleBody"/>
        <w:jc w:val="left"/>
      </w:pPr>
      <w:r>
        <w:rPr>
          <w:rFonts w:ascii="Times New Roman" w:hAnsi="Times New Roman" w:eastAsia="Times New Roman" w:cs="Times New Roman"/>
        </w:rPr>
        <w:t>Բայց մեր խոսքերը համարձակ էին 2020 թվականի հուլիսի 18-ի կանխասացության հարցում, և այն ժամանակ մենք դեռ չէինք գիտակցում, թե որքան ծանր կերպով էինք ապստամբել։ Հիասթափության պահին ուշացման ժամանակը սկսված էր, մինչ մի դասը սգում էր, իսկ մյուս դասը՝ ուրախանում։ Այդ համատեքստում Մաղաքիան ասում է.</w:t>
      </w:r>
    </w:p>
    <w:p>
      <w:pPr>
        <w:pStyle w:val="ArticleScripture"/>
        <w:jc w:val="left"/>
      </w:pPr>
      <w:r>
        <w:rPr>
          <w:rFonts w:ascii="Times New Roman" w:hAnsi="Times New Roman" w:eastAsia="Times New Roman" w:cs="Times New Roman"/>
        </w:rPr>
        <w:t>Uka chea nihkîwâyak ôma ka-kî-kîsikâw êkosi ekwa ka-nitawi-kiskinwahamâkosiwak: êkwa Kîsikâwiyiniw ê-kiskisiw, êkwa ê-pah-pêyak; êkwa masinahikan ka-kiskisiwêyimihk ê-kî-masinahikatew ohci otahkosiwaw, anima êkosi ka-kî-kîsikâw Kîsikâwiyiniwa, êkwa anima ê-isi-nanâtawihcik otênamêwina. Êkwa nîstanawâw kika-ayaowak, itwêw Kîsikâwiyiniw okimâw askiy êkwa kisikohk, anohc ôma kîsikâw êkwa niwî-oshtâyan nikimochikêwina; êkwa kika-kitimâginawâw, tahto piko nâpêw ê-kitimâginât osâpânisa ê-ka-atoskâtahk.</w:t>
      </w:r>
    </w:p>
    <w:p>
      <w:pPr>
        <w:pStyle w:val="ArticleScripture"/>
        <w:jc w:val="left"/>
      </w:pPr>
      <w:r>
        <w:rPr>
          <w:rFonts w:ascii="Times New Roman" w:hAnsi="Times New Roman" w:eastAsia="Times New Roman" w:cs="Times New Roman"/>
        </w:rPr>
        <w:t>Тогда вы снова обратитесь и различите между праведным и нечестивым, между тем, кто служит Богу, и тем, кто не служит Ему. Малахия 3:16–18.</w:t>
      </w:r>
    </w:p>
    <w:p>
      <w:pPr>
        <w:pStyle w:val="ArticleBody"/>
        <w:jc w:val="left"/>
      </w:pPr>
      <w:r>
        <w:rPr>
          <w:rFonts w:ascii="Times New Roman" w:hAnsi="Times New Roman" w:eastAsia="Times New Roman" w:cs="Times New Roman"/>
        </w:rPr>
        <w:t>2024-жылы, Жаратқан Иеден коркуу катары сүрөттөлгөн негизги сыноо келди. Ал сыноодо эки тап айкын болду, жана ошол эки тапты түзгөн топтор үч жарым күн бою үзгүлтүксүз zoom жыйындарында бири-бири менен көп сүйлөшүп турушкан. Жараткан алардын талкууларын укту. Жараткан Иеден корккон тап Анын ысымы жөнүндө ой жүгүрттү: Палмони, Жүйүт уруусунун Арстаны, Альфа жана Омега, Акыйкат, Сөз, Керемет Тилчи, бурчтагы жана чоку таш, Козу, Асмандагы Улуу Башкы Ыйык Кызматчы, Ийбадаткана, Аска. Ошол китепке киргендер даңктын падышалыгынын туусун билдирген таажыдагы асыл таштар болушат. Ал ошол асыл таштарды жыйнаганда, анда алар кайтып келип, адил менен мыйзамсыздын ортосун ажыратышат. Ал асыл таштарды сандыкка салганда, ошондо ким акылсыз, ким акылман экени ажыратылып билинет.</w:t>
      </w:r>
    </w:p>
    <w:p>
      <w:pPr>
        <w:pStyle w:val="ArticleBody"/>
        <w:jc w:val="left"/>
      </w:pPr>
      <w:r>
        <w:rPr>
          <w:rFonts w:ascii="Sylfaen" w:hAnsi="Sylfaen" w:eastAsia="Sylfaen" w:cs="Sylfaen"/>
        </w:rPr>
        <w:t>მალაქია</w:t>
      </w:r>
      <w:r>
        <w:rPr>
          <w:rFonts w:ascii="Times New Roman" w:hAnsi="Times New Roman" w:eastAsia="Times New Roman" w:cs="Times New Roman"/>
        </w:rPr>
        <w:t xml:space="preserve"> </w:t>
      </w:r>
      <w:r>
        <w:rPr>
          <w:rFonts w:ascii="Sylfaen" w:hAnsi="Sylfaen" w:eastAsia="Sylfaen" w:cs="Sylfaen"/>
        </w:rPr>
        <w:t>წერს</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Возвратитесь ко Мне, и Я возвращусь к вам,</w:t>
      </w:r>
    </w:p>
    <w:p>
      <w:pPr>
        <w:pStyle w:val="ArticleScripture"/>
        <w:jc w:val="left"/>
      </w:pPr>
      <w:r>
        <w:rPr>
          <w:rFonts w:ascii="Times New Roman" w:hAnsi="Times New Roman" w:eastAsia="Times New Roman" w:cs="Times New Roman"/>
        </w:rPr>
        <w:t>Ma niyo iningon, “Sa unsang paagi kami mobalik?”</w:t>
      </w:r>
    </w:p>
    <w:p>
      <w:pPr>
        <w:pStyle w:val="ArticleScripture"/>
        <w:jc w:val="left"/>
      </w:pPr>
      <w:r>
        <w:rPr>
          <w:rFonts w:ascii="Times New Roman" w:hAnsi="Times New Roman" w:eastAsia="Times New Roman" w:cs="Times New Roman"/>
        </w:rPr>
        <w:t>«Кьисадайтхьа цу дийцарийн а тIехьара дикалш долу дойла Маса-тIехь, Сийлахьчу ЦIенна тIехьа пайда хуьлуьй, тIаккха санна сына хьоьжий, — боху Декъалвезачу Эзалан Дела, — суна тIе а хьоьжур бу хьуна сийна коьрташи, а хьуна тIе кхин дукха беркат дIатосуьй, иза тIекхача лаьцна меттиг а йоцур йолуш».</w:t>
      </w:r>
    </w:p>
    <w:p>
      <w:pPr>
        <w:pStyle w:val="ArticleBody"/>
        <w:jc w:val="left"/>
      </w:pPr>
      <w:r>
        <w:rPr>
          <w:rFonts w:ascii="Times New Roman" w:hAnsi="Times New Roman" w:eastAsia="Times New Roman" w:cs="Times New Roman"/>
        </w:rPr>
        <w:t>Vaẑin cwîv-şîr u aşrên jî keçaqên aqil in. Vaẑin, Gotina Xwedê ye ku di çarçoveya nû ya rastiyê de hatiye danîn. Cewherên ku di wê cwîv-şîrê de têne avêtin, ew rastiyên girêdayî bi peyama Gaziya Nîvê Şevê ne. Aşr di odeyek taybet de di perestgehê de hatibûn parastin, wekî ku di paqijkirina Nehemya de hatiye diyarkirin. Cwîv-şîr û vaẑin, an jî mala ruhanî ya Petrûs, perestgeha Xwedê temsîl dike; û cewher perestgehên mirovî temsîl dikin ku li cihê veşartî yê Herî Bilind bi Îlahiyatê re têne yek kirin. Peyamdarên mirovî nikarin ji peyama Îlahî ve werin cudakirin. Cewher hem peyamdarên Xwedê ne, hem jî ew peyam in ku wan didin ragihandin. Îlham gelek caran peyam û peyamdarê ku bi hev re hatine yek kirin, wek yekê nas dike.</w:t>
      </w:r>
    </w:p>
    <w:p>
      <w:pPr>
        <w:pStyle w:val="ArticleScripture"/>
        <w:jc w:val="left"/>
      </w:pPr>
      <w:r>
        <w:rPr>
          <w:rFonts w:ascii="Times New Roman" w:hAnsi="Times New Roman" w:eastAsia="Times New Roman" w:cs="Times New Roman"/>
        </w:rPr>
        <w:t>«خداوند کلیسای خود را در این روزگار فراخوانده است، همان‌گونه که اسرائیلِ باستان را فراخواند، تا چون نوری در زمین بایستد. او به‌وسیلهٔ ساطور نیرومندِ حقیقت، به‌واسطهٔ پیام‌های فرشتهٔ اول و دوم و سوم، آنان را از کلیساها و از جهان جدا ساخته است تا ایشان را به تقربی مقدس با خویشتن درآورد. او ایشان را امینانِ شریعت خویش ساخته و حقایق عظیمِ نبوت را برای این زمان به آنان سپرده است. همانند اوراکل‌های مقدسی که به اسرائیلِ باستان سپرده شده بود، اینها نیز امانتی مقدس‌اند که باید به جهان ابلاغ شوند. سه فرشتهٔ مکاشفهٔ ۱۴ نمایانگر مردمی هستند که نورِ پیام‌های خدا را می‌پذیرند و به‌عنوان عاملان او بیرون می‌روند تا این هشدار را در سراسر طول و عرض زمین طنین‌انداز سازند. مسیح به پیروان خود اعلام می‌دارد: «شما نور جهان هستید.» به هر نفسی که عیسی را می‌پذیرد، صلیبِ جلجتا چنین سخن می‌گوید: «اینک ارزشِ جان را بنگرید: “به تمامی جهان بروید و انجیل را به هر مخلوق موعظه کنید.”» هیچ چیز نباید اجازه یابد که مانع این کار شود. این، کارِ از هر جهت مهم برای این زمان است؛ باید گستره‌ای به پهنای ابدیت داشته باشد. محبتی که عیسی در قربانی‌ای که برای فدیهٔ انسان‌ها به‌عمل آورد، نسبت به جان‌های ایشان آشکار ساخت، همهٔ پیروان او را به حرکت خواهد آورد.» شهادت‌ها، جلد ۵، ۴۵۵.</w:t>
      </w:r>
    </w:p>
    <w:p>
      <w:pPr>
        <w:pStyle w:val="ArticleBody"/>
        <w:jc w:val="left"/>
      </w:pPr>
      <w:r>
        <w:rPr>
          <w:rFonts w:ascii="Times New Roman" w:hAnsi="Times New Roman" w:eastAsia="Times New Roman" w:cs="Times New Roman"/>
        </w:rPr>
        <w:t>Etsẹ ahonɖan ehe lẹ nyanya ɖeka sísí dze nyuie me le agbalẽ si gbɔna la me.</w:t>
      </w:r>
    </w:p>
    <w:p>
      <w:pPr>
        <w:pStyle w:val="ArticleScripture"/>
        <w:jc w:val="left"/>
      </w:pPr>
      <w:r>
        <w:rPr>
          <w:rFonts w:ascii="Times New Roman" w:hAnsi="Times New Roman" w:eastAsia="Times New Roman" w:cs="Times New Roman"/>
        </w:rPr>
        <w:t>«Сүүлийн тавин жилийн амьдралынхаа хугацаанд би туршлага олж авах нандин боломжуудыг эдэлсэн. Би эхний, хоёр дахь, гурав дахь тэнгэрэлчийн мэдээнүүдэд туршлагатай болсон. Тэнгэрэлч нар тэнгэрийн мандлын дундуур нисэн, ертөнцөд анхааруулгын мэдээг тунхаглаж, энэ дэлхийн түүхийн эцсийн өдрүүдэд амьдарч буй хүмүүст шууд хамааралтай байхаар дүрслэгдсэн байдаг. Эдгээр тэнгэрэлчийн дуу хоолойг хэн ч сонсдоггүй; учир нь тэд тэнгэрийн орчлон ертөнцтэй зохицон ажиллаж буй Бурханы хүмүүсийг төлөөлөх бэлгэдэл юм. Бурханы Сүнсээр гэгээрүүлэгдэж, үнэнээр ариусгагдсан эрэгтэйчүүд, эмэгтэйчүүд эдгээр гурван мэдээг дарааллынх нь дагуу тунхагладаг.»</w:t>
      </w:r>
    </w:p>
    <w:p>
      <w:pPr>
        <w:pStyle w:val="ArticleScripture"/>
        <w:jc w:val="left"/>
      </w:pPr>
      <w:r>
        <w:rPr>
          <w:rFonts w:ascii="Times New Roman" w:hAnsi="Times New Roman" w:eastAsia="Times New Roman" w:cs="Times New Roman"/>
        </w:rPr>
        <w:t>«Ndzi tlange xiphemu entirhweni lowu lowukulu wo kwetsima. Kuswela kutsongo ntokoto wa mina hinkwawo wa Vukreste wu lo hlangana na wona. Ku ni lava sweswi va hanyaka lava nga ni ntokoto lowu fanaka ni wa mina. Va lemukile ntiyiso lowu paluxekaka wa nkarhi lowu; va fambile hi ndzandzelelano na Murhangeri Lonkulu, Mukaputeni wa mavuthu ya Hosi.»</w:t>
      </w:r>
    </w:p>
    <w:p>
      <w:pPr>
        <w:pStyle w:val="ArticleScripture"/>
        <w:jc w:val="left"/>
      </w:pPr>
      <w:r>
        <w:rPr>
          <w:rFonts w:ascii="Times New Roman" w:hAnsi="Times New Roman" w:eastAsia="Times New Roman" w:cs="Times New Roman"/>
        </w:rPr>
        <w:t>“Хабарларнинг эълон қилинишида, башоратнинг ҳар бир тафсилоти адо этилди. Ушбу хабарларни эълон қилишда иштирок этиш имтиёзига эга бўлганлар ўзлари учун энг юксак қийматга эга бўлган бир тажрибага эришдилар; энди эса, биз ушбу сўнгги кунларнинг хатарлари ўртасида турганимизда, ҳар томондан: ‘Мана, Масиҳ бу ерда’, ‘Мана, ҳақиқат бу ерда’, деб овозлар эшитиладиган, кўпларнинг юки эса бизни жамоатлардан ва дунёдан ажратиб, дунёда хос бир халқ сифатида туришимизга етаклаган имонимизнинг пойдеворини қимирлатиш бўлган бир пайтда, Юҳанно каби бизнинг гувоҳлигимиз шундай бўлади:</w:t>
      </w:r>
    </w:p>
    <w:p>
      <w:pPr>
        <w:pStyle w:val="ArticleScripture"/>
        <w:jc w:val="left"/>
      </w:pPr>
      <w:r>
        <w:rPr>
          <w:rFonts w:ascii="Times New Roman" w:hAnsi="Times New Roman" w:eastAsia="Times New Roman" w:cs="Times New Roman"/>
        </w:rPr>
        <w:t>«Аз ибтидо он чи буд, он чи мо шунидаем, он чи бо чашмони худ дидаем, он чи ба он назар афкандаем ва дастҳои мо онро ламс кардаанд, дар бораи Каломи ҳаёт; ... он чиро ки дидаем ва шунидаем, ба шумо эълон мекунем, то ки шумо низ бо мо мушоракат дошта бошед».</w:t>
      </w:r>
    </w:p>
    <w:p>
      <w:pPr>
        <w:pStyle w:val="ArticleScripture"/>
        <w:jc w:val="left"/>
      </w:pPr>
      <w:r>
        <w:rPr>
          <w:rFonts w:ascii="Times New Roman" w:hAnsi="Times New Roman" w:eastAsia="Times New Roman" w:cs="Times New Roman"/>
        </w:rPr>
        <w:t>“Jichhax nayra uñjatanakajwa qhanañchta, jichhax ist’atanakajwa qhanañchta, kunanaktï amparanakajax jakañ Arut llamkt’ki ukanaksa qhanañchta. Aka qhanañchäwsti Awkitasa Yoqatsa jutirïtap yattwa. Nanakax uñjtanwa ukat qhanañchtanwa Qullan Ajayun ch’amapax chiqäwi uñacht’ayañamp chikachasitap, qillqañampi arumpiw waarsutayna, ukhamarak yatiyäwinakaparux wakiskir saräwiparjam churäna. Aka luräwi jan iyawsañax Qullan Ajayu jan iyawsäña sañawa, ukatsti iyawsäwit jitheqtirinakan tamañaparuw uchistaspa, khariñ ajayunakar ist’asipki ukanakamp chikaru.”</w:t>
      </w:r>
    </w:p>
    <w:p>
      <w:pPr>
        <w:pStyle w:val="ArticleScripture"/>
        <w:jc w:val="left"/>
      </w:pPr>
      <w:r>
        <w:rPr>
          <w:rFonts w:ascii="Times New Roman" w:hAnsi="Times New Roman" w:eastAsia="Times New Roman" w:cs="Times New Roman"/>
        </w:rPr>
        <w:t>«Дошман имонлиларнинг бизни абадий ҳақиқатнинг юксак майдонига қўйган ва ишга асос солиб, унга хусусият бахш этган ўтган давр хабарларидаги имонимизнинг устунларига бўлган ишончини қўпориш учун ҳамма нарсани ишга солади. Исроилнинг Эгаси Худо Ўз халқини бошлаб келди, уларга самовий манбаадан бўлган ҳақиқатни очиб берди. Унинг овози эшитилган ва ҳали ҳам эшитилмоқда, шундай деб: Қувватдан қувватга, иноятдан иноятга, шон-шарафдан шон-шарафга илгарилаб боринглар. Иш мустаҳкамланиб ва кенгайиб бормоқда, чунки Исроилнинг Эгаси Худо Ўз халқининг ҳимоясидир.»</w:t>
      </w:r>
    </w:p>
    <w:p>
      <w:pPr>
        <w:pStyle w:val="ArticleScripture"/>
        <w:jc w:val="left"/>
      </w:pPr>
      <w:r>
        <w:rPr>
          <w:rFonts w:ascii="Times New Roman" w:hAnsi="Times New Roman" w:eastAsia="Times New Roman" w:cs="Times New Roman"/>
        </w:rPr>
        <w:t>«Те, кто держится за истину лишь теоретически, как бы кончиками пальцев, кто не внес её принципы во внутреннее святилище души, но удерживал жизненно важную истину во внешнем дворе, не увидят ничего священного в прошлой истории этого народа, которая сделала их тем, что они есть, и утвердила их как серьёзных, решительных, миссионерских тружеников в мире.</w:t>
      </w:r>
    </w:p>
    <w:p>
      <w:pPr>
        <w:pStyle w:val="ArticleScripture"/>
        <w:jc w:val="left"/>
      </w:pPr>
      <w:r>
        <w:rPr>
          <w:rFonts w:ascii="Times New Roman" w:hAnsi="Times New Roman" w:eastAsia="Times New Roman" w:cs="Times New Roman"/>
        </w:rPr>
        <w:t>“Ajeg yáakʼéígi díí áádóó tʼáá ajiłiiʼígíí ajiłiiʼígíí doo Christ Jesus tsékoohgóó deideeshnihgo yee yichxǫ́ʼígíí da, tʼáá shoodí nihił nitsáhákeesígíí doo yáhootʼéego ádaałtsʼíísígi tʼáá ajiłiiʼígíí yee hodoolʼaah da. Tʼáá íiyisí nitsáhákees baa haneʼígíí baa haneʼ dooleeł, áádóó tʼáá íiyisí nihiká adaałʼínígíí biniiyé łaʼ jiisxíítʼį́į́łgo, ałhidadiilyeedígíí biniinaa yił níʼáhígíí binahjįʼ doo kʼad bee hodoolʼaah da. Tʼáá íiyisí nitsáhákees áádóó bee hólǫ́ʼígíí yichʼįʼ nidaalnish, tʼáá áko nihił chʼahgo nidaanisin dooleełgo, nihí shikʼehgo bee nitsáhákees yáhootʼéego bee adaałʼínígíí biyiʼdóó ałtsʼíísígií bitsʼą́ą́dóó ádeeshʼaahgo, áádóó tʼáá íiyisí adaałʼínígíí bee naashá.”</w:t>
      </w:r>
    </w:p>
    <w:p>
      <w:pPr>
        <w:pStyle w:val="ArticleScripture"/>
        <w:jc w:val="left"/>
      </w:pPr>
      <w:r>
        <w:rPr>
          <w:rFonts w:ascii="Times New Roman" w:hAnsi="Times New Roman" w:eastAsia="Times New Roman" w:cs="Times New Roman"/>
        </w:rPr>
        <w:t>“Buna, zamanın sonuna dek sürüp gidecektir. Kutsal Kitap’ı yakından incelemiş olan herkes, yeryüzü tarihinin kapanış sahnelerinde yaşamakta olanların ciddi konumunu görecek ve anlayacaktır. Kendi yetersizliklerini ve zayıflıklarını hissedecekler ve asıl işleri, yalnızca bir tanrısallık biçimine sahip olmak değil, Tanrı ile yaşamsal bir bağa sahip olmak olacaktır. İçlerinde yücelik ümidi olan Mesih oluşuncaya dek dinlenmeye cesaret edemeyeceklerdir. Benlik ölecek; gurur candan kovulacak ve Mesih’in yumuşak huyluluğuna ve nezaketine sahip olacaklardır.”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یۆئیل و کڵێسای ئەدوێنتیستی حەوت ڕۆژی لاودیکیا - ژمارە چل</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