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Ña Faari</w:t>
      </w:r>
    </w:p>
    <w:p>
      <w:pPr>
        <w:pStyle w:val="ArticleSubtitle"/>
        <w:jc w:val="left"/>
      </w:pPr>
      <w:r>
        <w:rPr>
          <w:rFonts w:ascii="Arial" w:hAnsi="Arial" w:eastAsia="Arial" w:cs="Arial"/>
        </w:rPr>
        <w:t>Karay Protestante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Аян китабында мөөрү ачылып жаткан кабарды түшүнүүдө Протестанттык Реформациянын тамырларын, өнүгүшүн жана маанисин таануу өтө зарыл. Ошол Реформациянын тарыхындагы үч негизги багыт Ыйык Китепке, Ыйык Китепти изилдөөдө колдонулууга тийиш болгон туура усулга, ошондой эле ошол тарых боюнча тандалган кабарчылардын ал тарыхтын жол белгилери экенине тиешелүү. Ар дайым болуп келгендей эле, Шайтан King James Ыйык Китебин бир нече жасалма нускалар менен жашырууга аракет кылган; ал Ыйык Китепти түшүнүүнүн туура усулун да бир нече жасалма ыкмалар менен жашырууга умтулган; ошондой эле ал ошол тарыхтын жүрүшүндө көтөрүлгөн туура кабарчыларды (жол белгилерин) да жашырууга аракет кылган.</w:t>
      </w:r>
    </w:p>
    <w:p>
      <w:pPr>
        <w:pStyle w:val="ArticleScripture"/>
        <w:jc w:val="left"/>
      </w:pPr>
      <w:r>
        <w:rPr>
          <w:rFonts w:ascii="Times New Roman" w:hAnsi="Times New Roman" w:eastAsia="Times New Roman" w:cs="Times New Roman"/>
        </w:rPr>
        <w:t>«Харин Сатан зүгээр байсангүй. Тэрээр одоо бусад бүх шинэчлэлийн хөдөлгөөнд оролдож ирсэн тэр л зүйлийг оролдсон юм—жинхэнэ ажлын оронд хуурамчыг нь тулган өгч, ард түмнийг мэхлэн сүйрүүлэхийг. Христийн чуулганы эхний зуунд хуурамч Христүүд байсанчлан, арван зургадугаар зуунд мөн хуурамч эш үзүүлэгчид гарч ирсэн юм.» Агуу тэмцэл, 186.</w:t>
      </w:r>
    </w:p>
    <w:p>
      <w:pPr>
        <w:pStyle w:val="ArticleBody"/>
        <w:jc w:val="left"/>
      </w:pPr>
      <w:r>
        <w:rPr>
          <w:rFonts w:ascii="Times New Roman" w:hAnsi="Times New Roman" w:eastAsia="Times New Roman" w:cs="Times New Roman"/>
        </w:rPr>
        <w:t>فی تاریخ میلری از ۱۸۴۰ تا ۱۸۴۴، ردای پروتستانتیزم ــ که یکی از دو شاخِ حیوانِ زمین است که ایالات متحده می‌باشد ــ بر ادونتیزمِ میلری قرار گرفت، و ادونتیزمِ میلری شاخِ پروتستان گردید. در همان زمان، کلیساهایی که پیش‌تر مدعی بودند پروتستان‌اند، به پروتستانتیزمِ مرتد مبدل شدند، یا چنان‌که میلری‌ها آنان را معرفی می‌کردند، «دخترانِ روم». هنگامی که پروتستان‌ها در سال ۱۸۴۳ پیامِ فرشتهٔ اول را رد کردند، سقوط کردند و میلری‌ها ردای پروتستانتیزم را بر دوش کشیدند. تاریخ میلری اوجِ کارِ خدا در رسانیدن «کلیسای او در بیابان» به فهمِ کاملِ کلامِ خدا بود.</w:t>
      </w:r>
    </w:p>
    <w:p>
      <w:pPr>
        <w:pStyle w:val="ArticleBody"/>
        <w:jc w:val="left"/>
      </w:pPr>
      <w:r>
        <w:rPr>
          <w:rFonts w:ascii="Nirmala UI" w:hAnsi="Nirmala UI" w:eastAsia="Nirmala UI" w:cs="Nirmala UI"/>
        </w:rPr>
        <w:t>સંશોધનાત્મક</w:t>
      </w:r>
      <w:r>
        <w:rPr>
          <w:rFonts w:ascii="Times New Roman" w:hAnsi="Times New Roman" w:eastAsia="Times New Roman" w:cs="Times New Roman"/>
        </w:rPr>
        <w:t xml:space="preserve"> </w:t>
      </w:r>
      <w:r>
        <w:rPr>
          <w:rFonts w:ascii="Nirmala UI" w:hAnsi="Nirmala UI" w:eastAsia="Nirmala UI" w:cs="Nirmala UI"/>
        </w:rPr>
        <w:t>ન્યાયના</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કાનૂનની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વિશેષ</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શબ્બાથની</w:t>
      </w:r>
      <w:r>
        <w:rPr>
          <w:rFonts w:ascii="Times New Roman" w:hAnsi="Times New Roman" w:eastAsia="Times New Roman" w:cs="Times New Roman"/>
        </w:rPr>
        <w:t xml:space="preserve"> </w:t>
      </w:r>
      <w:r>
        <w:rPr>
          <w:rFonts w:ascii="Nirmala UI" w:hAnsi="Nirmala UI" w:eastAsia="Nirmala UI" w:cs="Nirmala UI"/>
        </w:rPr>
        <w:t>પરીક્ષા</w:t>
      </w:r>
      <w:r>
        <w:rPr>
          <w:rFonts w:ascii="Times New Roman" w:hAnsi="Times New Roman" w:eastAsia="Times New Roman" w:cs="Times New Roman"/>
        </w:rPr>
        <w:t xml:space="preserve"> </w:t>
      </w:r>
      <w:r>
        <w:rPr>
          <w:rFonts w:ascii="Nirmala UI" w:hAnsi="Nirmala UI" w:eastAsia="Nirmala UI" w:cs="Nirmala UI"/>
        </w:rPr>
        <w:t>ઉપસ્થિત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પ્રખ્યાત</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કલીશિયાની</w:t>
      </w:r>
      <w:r>
        <w:rPr>
          <w:rFonts w:ascii="Times New Roman" w:hAnsi="Times New Roman" w:eastAsia="Times New Roman" w:cs="Times New Roman"/>
        </w:rPr>
        <w:t xml:space="preserve"> </w:t>
      </w:r>
      <w:r>
        <w:rPr>
          <w:rFonts w:ascii="Nirmala UI" w:hAnsi="Nirmala UI" w:eastAsia="Nirmala UI" w:cs="Nirmala UI"/>
        </w:rPr>
        <w:t>આવશ્યકતા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કાનૂનને</w:t>
      </w:r>
      <w:r>
        <w:rPr>
          <w:rFonts w:ascii="Times New Roman" w:hAnsi="Times New Roman" w:eastAsia="Times New Roman" w:cs="Times New Roman"/>
        </w:rPr>
        <w:t xml:space="preserve"> </w:t>
      </w:r>
      <w:r>
        <w:rPr>
          <w:rFonts w:ascii="Nirmala UI" w:hAnsi="Nirmala UI" w:eastAsia="Nirmala UI" w:cs="Nirmala UI"/>
        </w:rPr>
        <w:t>અડગ</w:t>
      </w:r>
      <w:r>
        <w:rPr>
          <w:rFonts w:ascii="Times New Roman" w:hAnsi="Times New Roman" w:eastAsia="Times New Roman" w:cs="Times New Roman"/>
        </w:rPr>
        <w:t xml:space="preserve"> </w:t>
      </w:r>
      <w:r>
        <w:rPr>
          <w:rFonts w:ascii="Nirmala UI" w:hAnsi="Nirmala UI" w:eastAsia="Nirmala UI" w:cs="Nirmala UI"/>
        </w:rPr>
        <w:t>રાખે</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અંધકારયુગોમાં</w:t>
      </w:r>
      <w:r>
        <w:rPr>
          <w:rFonts w:ascii="Times New Roman" w:hAnsi="Times New Roman" w:eastAsia="Times New Roman" w:cs="Times New Roman"/>
        </w:rPr>
        <w:t xml:space="preserve"> </w:t>
      </w:r>
      <w:r>
        <w:rPr>
          <w:rFonts w:ascii="Nirmala UI" w:hAnsi="Nirmala UI" w:eastAsia="Nirmala UI" w:cs="Nirmala UI"/>
        </w:rPr>
        <w:t>પાપલ</w:t>
      </w:r>
      <w:r>
        <w:rPr>
          <w:rFonts w:ascii="Times New Roman" w:hAnsi="Times New Roman" w:eastAsia="Times New Roman" w:cs="Times New Roman"/>
        </w:rPr>
        <w:t xml:space="preserve"> </w:t>
      </w:r>
      <w:r>
        <w:rPr>
          <w:rFonts w:ascii="Nirmala UI" w:hAnsi="Nirmala UI" w:eastAsia="Nirmala UI" w:cs="Nirmala UI"/>
        </w:rPr>
        <w:t>પરંપરાઓ</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w:t>
      </w:r>
      <w:r>
        <w:rPr>
          <w:rFonts w:ascii="Nirmala UI" w:hAnsi="Nirmala UI" w:eastAsia="Nirmala UI" w:cs="Nirmala UI"/>
        </w:rPr>
        <w:t>રિવાજોની</w:t>
      </w:r>
      <w:r>
        <w:rPr>
          <w:rFonts w:ascii="Times New Roman" w:hAnsi="Times New Roman" w:eastAsia="Times New Roman" w:cs="Times New Roman"/>
        </w:rPr>
        <w:t xml:space="preserve"> </w:t>
      </w:r>
      <w:r>
        <w:rPr>
          <w:rFonts w:ascii="Nirmala UI" w:hAnsi="Nirmala UI" w:eastAsia="Nirmala UI" w:cs="Nirmala UI"/>
        </w:rPr>
        <w:t>નીચે</w:t>
      </w:r>
      <w:r>
        <w:rPr>
          <w:rFonts w:ascii="Times New Roman" w:hAnsi="Times New Roman" w:eastAsia="Times New Roman" w:cs="Times New Roman"/>
        </w:rPr>
        <w:t xml:space="preserve"> </w:t>
      </w:r>
      <w:r>
        <w:rPr>
          <w:rFonts w:ascii="Nirmala UI" w:hAnsi="Nirmala UI" w:eastAsia="Nirmala UI" w:cs="Nirmala UI"/>
        </w:rPr>
        <w:t>દટાઈ</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પ્રોટેસ્ટન્ટોને</w:t>
      </w:r>
      <w:r>
        <w:rPr>
          <w:rFonts w:ascii="Times New Roman" w:hAnsi="Times New Roman" w:eastAsia="Times New Roman" w:cs="Times New Roman"/>
        </w:rPr>
        <w:t xml:space="preserve"> 1840 </w:t>
      </w:r>
      <w:r>
        <w:rPr>
          <w:rFonts w:ascii="Nirmala UI" w:hAnsi="Nirmala UI" w:eastAsia="Nirmala UI" w:cs="Nirmala UI"/>
        </w:rPr>
        <w:t>થી</w:t>
      </w:r>
      <w:r>
        <w:rPr>
          <w:rFonts w:ascii="Times New Roman" w:hAnsi="Times New Roman" w:eastAsia="Times New Roman" w:cs="Times New Roman"/>
        </w:rPr>
        <w:t xml:space="preserve"> 1844</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લાવ્યા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એલિયાહની</w:t>
      </w:r>
      <w:r>
        <w:rPr>
          <w:rFonts w:ascii="Times New Roman" w:hAnsi="Times New Roman" w:eastAsia="Times New Roman" w:cs="Times New Roman"/>
        </w:rPr>
        <w:t xml:space="preserve"> </w:t>
      </w:r>
      <w:r>
        <w:rPr>
          <w:rFonts w:ascii="Nirmala UI" w:hAnsi="Nirmala UI" w:eastAsia="Nirmala UI" w:cs="Nirmala UI"/>
        </w:rPr>
        <w:t>પરીક્ષા</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સમક્ષ</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જેમનું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વિલિયમ</w:t>
      </w:r>
      <w:r>
        <w:rPr>
          <w:rFonts w:ascii="Times New Roman" w:hAnsi="Times New Roman" w:eastAsia="Times New Roman" w:cs="Times New Roman"/>
        </w:rPr>
        <w:t xml:space="preserve"> </w:t>
      </w:r>
      <w:r>
        <w:rPr>
          <w:rFonts w:ascii="Nirmala UI" w:hAnsi="Nirmala UI" w:eastAsia="Nirmala UI" w:cs="Nirmala UI"/>
        </w:rPr>
        <w:t>મિલરમાં</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પ્રોટેસ્ટન્ટોએ</w:t>
      </w:r>
      <w:r>
        <w:rPr>
          <w:rFonts w:ascii="Times New Roman" w:hAnsi="Times New Roman" w:eastAsia="Times New Roman" w:cs="Times New Roman"/>
        </w:rPr>
        <w:t xml:space="preserve"> </w:t>
      </w:r>
      <w:r>
        <w:rPr>
          <w:rFonts w:ascii="Nirmala UI" w:hAnsi="Nirmala UI" w:eastAsia="Nirmala UI" w:cs="Nirmala UI"/>
        </w:rPr>
        <w:t>મિલરના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નકારી</w:t>
      </w:r>
      <w:r>
        <w:rPr>
          <w:rFonts w:ascii="Times New Roman" w:hAnsi="Times New Roman" w:eastAsia="Times New Roman" w:cs="Times New Roman"/>
        </w:rPr>
        <w:t xml:space="preserve"> </w:t>
      </w:r>
      <w:r>
        <w:rPr>
          <w:rFonts w:ascii="Nirmala UI" w:hAnsi="Nirmala UI" w:eastAsia="Nirmala UI" w:cs="Nirmala UI"/>
        </w:rPr>
        <w:t>કાઢ્યો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વળ્યા</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પ્રખ્યાત</w:t>
      </w:r>
      <w:r>
        <w:rPr>
          <w:rFonts w:ascii="Times New Roman" w:hAnsi="Times New Roman" w:eastAsia="Times New Roman" w:cs="Times New Roman"/>
        </w:rPr>
        <w:t xml:space="preserve"> </w:t>
      </w:r>
      <w:r>
        <w:rPr>
          <w:rFonts w:ascii="Nirmala UI" w:hAnsi="Nirmala UI" w:eastAsia="Nirmala UI" w:cs="Nirmala UI"/>
        </w:rPr>
        <w:t>કરેલા</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પરીક્ષા</w:t>
      </w:r>
      <w:r>
        <w:rPr>
          <w:rFonts w:ascii="Times New Roman" w:hAnsi="Times New Roman" w:eastAsia="Times New Roman" w:cs="Times New Roman"/>
        </w:rPr>
        <w:t xml:space="preserve"> </w:t>
      </w:r>
      <w:r>
        <w:rPr>
          <w:rFonts w:ascii="Nirmala UI" w:hAnsi="Nirmala UI" w:eastAsia="Nirmala UI" w:cs="Nirmala UI"/>
        </w:rPr>
        <w:t>કાર્મેલ</w:t>
      </w:r>
      <w:r>
        <w:rPr>
          <w:rFonts w:ascii="Times New Roman" w:hAnsi="Times New Roman" w:eastAsia="Times New Roman" w:cs="Times New Roman"/>
        </w:rPr>
        <w:t xml:space="preserve"> </w:t>
      </w:r>
      <w:r>
        <w:rPr>
          <w:rFonts w:ascii="Nirmala UI" w:hAnsi="Nirmala UI" w:eastAsia="Nirmala UI" w:cs="Nirmala UI"/>
        </w:rPr>
        <w:t>પર્વત</w:t>
      </w:r>
      <w:r>
        <w:rPr>
          <w:rFonts w:ascii="Times New Roman" w:hAnsi="Times New Roman" w:eastAsia="Times New Roman" w:cs="Times New Roman"/>
        </w:rPr>
        <w:t xml:space="preserve"> </w:t>
      </w:r>
      <w:r>
        <w:rPr>
          <w:rFonts w:ascii="Nirmala UI" w:hAnsi="Nirmala UI" w:eastAsia="Nirmala UI" w:cs="Nirmala UI"/>
        </w:rPr>
        <w:t>પરના</w:t>
      </w:r>
      <w:r>
        <w:rPr>
          <w:rFonts w:ascii="Times New Roman" w:hAnsi="Times New Roman" w:eastAsia="Times New Roman" w:cs="Times New Roman"/>
        </w:rPr>
        <w:t xml:space="preserve"> </w:t>
      </w:r>
      <w:r>
        <w:rPr>
          <w:rFonts w:ascii="Nirmala UI" w:hAnsi="Nirmala UI" w:eastAsia="Nirmala UI" w:cs="Nirmala UI"/>
        </w:rPr>
        <w:t>એલિયાહ</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પ્રતિકરૂપે</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Scripture"/>
        <w:jc w:val="left"/>
      </w:pPr>
      <w:r>
        <w:rPr>
          <w:rFonts w:ascii="Microsoft Himalaya" w:hAnsi="Microsoft Himalaya" w:eastAsia="Microsoft Himalaya" w:cs="Microsoft Himalaya"/>
        </w:rPr>
        <w:t>ཨེ་ལི་ཡ་ཧ་ཡིས་མི་ཚོགས་ཡོངས་ལ་འདི་ལྟར་གསུངས་སོ།</w:t>
      </w:r>
      <w:r>
        <w:rPr>
          <w:rFonts w:ascii="Times New Roman" w:hAnsi="Times New Roman" w:eastAsia="Times New Roman" w:cs="Times New Roman"/>
        </w:rPr>
        <w:t xml:space="preserve"> </w:t>
      </w:r>
      <w:r>
        <w:rPr>
          <w:rFonts w:ascii="Microsoft Himalaya" w:hAnsi="Microsoft Himalaya" w:eastAsia="Microsoft Himalaya" w:cs="Microsoft Himalaya"/>
        </w:rPr>
        <w:t>ཁྱེད་རྣམས་བསམ་པ་གཉིས་ཀྱི་བར་དུ་ད་དུང་ནམ་ཞིག་བར་འགྱངས་བྱེད་དམ།</w:t>
      </w:r>
      <w:r>
        <w:rPr>
          <w:rFonts w:ascii="Times New Roman" w:hAnsi="Times New Roman" w:eastAsia="Times New Roman" w:cs="Times New Roman"/>
        </w:rPr>
        <w:t xml:space="preserve"> </w:t>
      </w:r>
      <w:r>
        <w:rPr>
          <w:rFonts w:ascii="Microsoft Himalaya" w:hAnsi="Microsoft Himalaya" w:eastAsia="Microsoft Himalaya" w:cs="Microsoft Himalaya"/>
        </w:rPr>
        <w:t>གལ་ཏེ་གཙོ་བོ་ཉིད་དཀོན་མཆོག་ཡིན་ན།</w:t>
      </w:r>
      <w:r>
        <w:rPr>
          <w:rFonts w:ascii="Times New Roman" w:hAnsi="Times New Roman" w:eastAsia="Times New Roman" w:cs="Times New Roman"/>
        </w:rPr>
        <w:t xml:space="preserve"> </w:t>
      </w:r>
      <w:r>
        <w:rPr>
          <w:rFonts w:ascii="Microsoft Himalaya" w:hAnsi="Microsoft Himalaya" w:eastAsia="Microsoft Himalaya" w:cs="Microsoft Himalaya"/>
        </w:rPr>
        <w:t>ཁོང་གི་རྗེས་སུ་འབྲངས་ཤིག།</w:t>
      </w:r>
      <w:r>
        <w:rPr>
          <w:rFonts w:ascii="Times New Roman" w:hAnsi="Times New Roman" w:eastAsia="Times New Roman" w:cs="Times New Roman"/>
        </w:rPr>
        <w:t xml:space="preserve"> </w:t>
      </w:r>
      <w:r>
        <w:rPr>
          <w:rFonts w:ascii="Microsoft Himalaya" w:hAnsi="Microsoft Himalaya" w:eastAsia="Microsoft Himalaya" w:cs="Microsoft Himalaya"/>
        </w:rPr>
        <w:t>འོན་ཏེ་བཱ་ཨལ་ཡིན་ན།</w:t>
      </w:r>
      <w:r>
        <w:rPr>
          <w:rFonts w:ascii="Times New Roman" w:hAnsi="Times New Roman" w:eastAsia="Times New Roman" w:cs="Times New Roman"/>
        </w:rPr>
        <w:t xml:space="preserve"> </w:t>
      </w:r>
      <w:r>
        <w:rPr>
          <w:rFonts w:ascii="Microsoft Himalaya" w:hAnsi="Microsoft Himalaya" w:eastAsia="Microsoft Himalaya" w:cs="Microsoft Himalaya"/>
        </w:rPr>
        <w:t>དེའི་རྗེས་སུ་འབྲངས་ཤིག།</w:t>
      </w:r>
      <w:r>
        <w:rPr>
          <w:rFonts w:ascii="Times New Roman" w:hAnsi="Times New Roman" w:eastAsia="Times New Roman" w:cs="Times New Roman"/>
        </w:rPr>
        <w:t xml:space="preserve"> </w:t>
      </w:r>
      <w:r>
        <w:rPr>
          <w:rFonts w:ascii="Microsoft Himalaya" w:hAnsi="Microsoft Himalaya" w:eastAsia="Microsoft Himalaya" w:cs="Microsoft Himalaya"/>
        </w:rPr>
        <w:t>མི་ཚོགས་ཀྱིས་ཁོང་ལ་ཚིག་གཅིག་ཀྱང་མ་ལན་ཏོ།</w:t>
      </w:r>
      <w:r>
        <w:rPr>
          <w:rFonts w:ascii="Times New Roman" w:hAnsi="Times New Roman" w:eastAsia="Times New Roman" w:cs="Times New Roman"/>
        </w:rPr>
        <w:t xml:space="preserve"> 1 </w:t>
      </w:r>
      <w:r>
        <w:rPr>
          <w:rFonts w:ascii="Microsoft Himalaya" w:hAnsi="Microsoft Himalaya" w:eastAsia="Microsoft Himalaya" w:cs="Microsoft Himalaya"/>
        </w:rPr>
        <w:t>རྒྱལ་པོའི་དང་པོ།</w:t>
      </w:r>
      <w:r>
        <w:rPr>
          <w:rFonts w:ascii="Times New Roman" w:hAnsi="Times New Roman" w:eastAsia="Times New Roman" w:cs="Times New Roman"/>
        </w:rPr>
        <w:t xml:space="preserve"> 18:21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1840-ы илтыныыга, Миллер уонна бастакы аанньаах көрсүөнньэриэн бэриллибит Илья суруйаанынан иккистэнэн кэлбит сүбэни көрсүөхтэрэ, протестанттар Баалы талыллыбыт!</w:t>
      </w:r>
    </w:p>
    <w:p>
      <w:pPr>
        <w:pStyle w:val="ArticleBody"/>
        <w:jc w:val="left"/>
      </w:pPr>
      <w:r>
        <w:rPr>
          <w:rFonts w:ascii="Times New Roman" w:hAnsi="Times New Roman" w:eastAsia="Times New Roman" w:cs="Times New Roman"/>
        </w:rPr>
        <w:t>Yevropadakı Protestan Reformsiyası, Tiyatira cəmiyyətinin təmsil etdiyi tarix dövründə veriləcəyi vəd olunmuş “səhər ulduzu” ilə başlanmış Müqəddəs Kitab həqiqətlərinin möhürünün açılması idi. Müqəddəs Kitaba qarşı birbaşa hücum əsrlər əvvəl başlamışdı və bu, xüsusilə Valdenslərin tarixi vasitəsilə The Great Controversy əsərində aydın şəkildə təqdim olunur. 1930-cu ildə Benjamin Wilkerson Our Authorized Bible Vindicated adlı kitabını nəşr etdirdi. Bu kitab, son nəticədə King James Bible-ın tərcüməsində istifadə olunmuş müqəddəs orijinal mətnlərə qarşı aparılan mübarizəni və katoliklər, mürtəd protestantizm və Laodikiyaçı Adventistlər tərəfindən təşviq edilmiş və hələ də təşviq olunan müxtəlif şeytani saxta mətnləri sənədləşdirir. Bu mübarizə Valdenslərin tarixindən xeyli əvvəl başlamışdı, lakin onlar son nəticədə 1611-ci il King James Bible-a tərcümə edilmiş düzgün əlyazmaların əhəmiyyətinə şəhadət etmək üçün canlarını vermiş olanların nişanəsi və simvoludur.</w:t>
      </w:r>
    </w:p>
    <w:p>
      <w:pPr>
        <w:pStyle w:val="ArticleBody"/>
        <w:jc w:val="left"/>
      </w:pPr>
      <w:r>
        <w:rPr>
          <w:rFonts w:ascii="Times New Roman" w:hAnsi="Times New Roman" w:eastAsia="Times New Roman" w:cs="Times New Roman"/>
        </w:rPr>
        <w:t>Ư 1611 hta, King James Bible sualchhuah hi lehlinna kalhmang bik tak hmanga tih a ni. Bible lehlin leh chhuanchhuah dan chu siamchhuahna hmun thum? lo, hmun sarih hmanga tih fel a ni. He thil hi tih zawh nan kum sarih a la nghal bawk a, Bible-a kum sarih chuan ni sanghnih za nga leh sawmhnih a ni. Chu chu, Daniel bung 9 thu a famkim theih nan Isua'n mi tam tak hnenah thuthlung a nemnghetna atana hrilfiah tawh hrilhlam ni zat ang chu a ni ngei bawk. Chu zarh thianghlim laiaiah chuan Krista chu khenbeh a ni a, Krista khenbeh chu Bible pum pui lai ber a ni tih chu kan hre reng. Pathian Thu thianghlim tak siamchhuahna atana hmun sarih chu hengte hi an ni.</w:t>
      </w:r>
    </w:p>
    <w:p>
      <w:pPr>
        <w:pStyle w:val="ArticleListItem"/>
        <w:ind w:left="576" w:hanging="259"/>
        <w:jc w:val="left"/>
      </w:pPr>
      <w:r>
        <w:rPr>
          <w:rFonts w:ascii="Times New Roman" w:hAnsi="Times New Roman" w:eastAsia="Times New Roman" w:cs="Times New Roman"/>
        </w:rPr>
        <w:t>• Ñanqhaq: Sapa runakunapa qallariy t’ikrayninku: 50 hina t’ikraqkuna soqta komitékunaman rakisqa karqanku, sapa huknin Bibliaq imaymana rakikuykunamanta masichakuspalla llank’ananpaq. Kay runakunaqa qallariy simikunamanta (hebreo, arameo, griego) inglés simiman t’ikrayspalla llank’arqanku.</w:t>
      </w:r>
    </w:p>
    <w:p>
      <w:pPr>
        <w:pStyle w:val="ArticleListItem"/>
        <w:ind w:left="576" w:hanging="259"/>
        <w:jc w:val="left"/>
      </w:pPr>
      <w:r>
        <w:rPr>
          <w:rFonts w:ascii="Times New Roman" w:hAnsi="Times New Roman" w:eastAsia="Times New Roman" w:cs="Times New Roman"/>
        </w:rPr>
        <w:t>• Ma gnyis pa: Lhan tshogs kyi dpyad zhib: Lhan tshogs so so nas sde tshan zhig gi bsgyur ba mthar phyin pa’i rjes su, las ka de lhan tshogs kyi yan lag rnams kyis rang nyid kyis dpyad zhib byas so. ’Di yis tshogs pa’i blo gros mnyam bsre dang nor ’khrul rnams bcos pa’i go skabs byung ngo.</w:t>
      </w:r>
    </w:p>
    <w:p>
      <w:pPr>
        <w:pStyle w:val="ArticleListItem"/>
        <w:ind w:left="576" w:hanging="259"/>
        <w:jc w:val="left"/>
      </w:pPr>
      <w:r>
        <w:rPr>
          <w:rFonts w:ascii="Times New Roman" w:hAnsi="Times New Roman" w:eastAsia="Times New Roman" w:cs="Times New Roman"/>
        </w:rPr>
        <w:t>• ثالثًا: مراجعة اللجنة العامة: ثم قُدِّمت ترجمات اللجان الفردية إلى مجموعة أكبر من العلماء، يُشار إليها باسم اللجنة العامة. وكانت هذه اللجنة تتألف من ممثلين عن كل واحدة من لجان الترجمة الست. فراجعوا العمل بأسره، وقارنوا بين ترجمات اللجان المختلفة ووحَّدوها.</w:t>
      </w:r>
    </w:p>
    <w:p>
      <w:pPr>
        <w:pStyle w:val="ArticleListItem"/>
        <w:ind w:left="576" w:hanging="259"/>
        <w:jc w:val="left"/>
      </w:pPr>
      <w:r>
        <w:rPr>
          <w:rFonts w:ascii="Times New Roman" w:hAnsi="Times New Roman" w:eastAsia="Times New Roman" w:cs="Times New Roman"/>
        </w:rPr>
        <w:t>• ئورتینچی: قوشۇمچە كۆرۈپ چىقىش ۋە تۈزىتىش: باش كومىتېتنىڭ قايتا تۈزىتىلگەن نۇسخىسى يەنە يەككە كومىتېتلارغا قوشۇمچە كۆرۈپ چىقىش ۋە تېخىمۇ مۇكەممەللەشتۈرۈش ئۈچۈن قايتۇرۇلدى. بۇ قەدەممۇ-قەدەم تەكرارلىنىدىغان جەريان تەرجىمىنىڭ ئىزچىل ۋە توغرا بولۇشىغا ياردەم بەردى.</w:t>
      </w:r>
    </w:p>
    <w:p>
      <w:pPr>
        <w:pStyle w:val="ArticleListItem"/>
        <w:ind w:left="576" w:hanging="259"/>
        <w:jc w:val="left"/>
      </w:pPr>
      <w:r>
        <w:rPr>
          <w:rFonts w:ascii="Times New Roman" w:hAnsi="Times New Roman" w:eastAsia="Times New Roman" w:cs="Times New Roman"/>
        </w:rPr>
        <w:t>• Ḥamsapha: Mújjawa Murutá Kethíng yó Keryám: Pe mindákkí lajín committee-ngá lekáma tabdílitham poorthi chaytáka, akhiri musawwada General Committee-nte munníl oru anthima murutákkum keryám-inum vendi samarpikkappettu.</w:t>
      </w:r>
    </w:p>
    <w:p>
      <w:pPr>
        <w:pStyle w:val="ArticleListItem"/>
        <w:ind w:left="576" w:hanging="259"/>
        <w:jc w:val="left"/>
      </w:pPr>
      <w:r>
        <w:rPr>
          <w:rFonts w:ascii="Times New Roman" w:hAnsi="Times New Roman" w:eastAsia="Times New Roman" w:cs="Times New Roman"/>
        </w:rPr>
        <w:t>• سادسًا: الموافقة الملكية والنشر: ثم قُدِّمت الترجمة المُعتمَدة إلى الملك جيمس الأول للموافقة عليها.</w:t>
      </w:r>
    </w:p>
    <w:p>
      <w:pPr>
        <w:pStyle w:val="ArticleListItem"/>
        <w:ind w:left="576" w:hanging="259"/>
        <w:jc w:val="left"/>
      </w:pPr>
      <w:r>
        <w:rPr>
          <w:rFonts w:ascii="Times New Roman" w:hAnsi="Times New Roman" w:eastAsia="Times New Roman" w:cs="Times New Roman"/>
        </w:rPr>
        <w:t>• ХьаштлагӀа: Цо шаьшхо мостагӀчу тӀедожарна мах дӀакхачийна юххе, таржама 1611 шерара Библиин «King James Version (Authorized Version)» аьлла кхолларан хьалхара доцунашкарах дӀатохийна.</w:t>
      </w:r>
    </w:p>
    <w:p>
      <w:pPr>
        <w:pStyle w:val="ArticleScripture"/>
        <w:jc w:val="left"/>
      </w:pPr>
      <w:r>
        <w:rPr>
          <w:rFonts w:ascii="Times New Roman" w:hAnsi="Times New Roman" w:eastAsia="Times New Roman" w:cs="Times New Roman"/>
        </w:rPr>
        <w:t>ئالنىڭ سۆزلىرى پاك سۆزلەردۇر؛ يەر ئوچىقىدا سىناپ كۆرىلگەن، يەتتە قېتىم تاپىلغان كۈمۈشتەك. ئى پەرۋەردىگار، سەن ئۇلارنى ساقلايسەن، سەن ئۇلارنى بۇ نەسلدىن مەڭگۈ قوغدايسەن. زەبۇر 12:6، 7.</w:t>
      </w:r>
    </w:p>
    <w:p>
      <w:pPr>
        <w:pStyle w:val="ArticleBody"/>
        <w:jc w:val="left"/>
      </w:pPr>
      <w:r>
        <w:rPr>
          <w:rFonts w:ascii="Times New Roman" w:hAnsi="Times New Roman" w:eastAsia="Times New Roman" w:cs="Times New Roman"/>
        </w:rPr>
        <w:t>Атана шәиҭан Иан ажәа, насгьы уи аҿиаратәи аҭоурых иаҵанакуа еиуеиԥшым ауснушьҭцәеи, иара убас Иажәа — 1611 шықәсазы иҭыҵыз King James Bible — ииашаны аихшаразы ахархәара зҭатәуп зхы иазку ииашоу аметодологиа иҿагыланы ицоз ақәԥараҿы, Psalms 12 аҟны ҷыдала идырбан аанҵамҭа ыҟоуп. Иԥҽыз католиктәи аманускриптқәа рҟынтә иҭрыжьыз еиуеиԥшым иԥагьоу Библиақәа руакгьы Psalms 12 иаҳәо аҭагылазаашьақәа ирықәшәом. Жәба шьаҿак рыла имҩаԥысуаз арыцқьара апроцесс, һәмыжәаки хәбаи ҩажәа мшы зҵазкуа аамҭа, King James Bible — Анцәа и“цқьоу ажәақәа” шакәу аадырԥшуеит. Анцәа ажәа иҳәоит King James Bible зыхьчалатәу Ииашоу, ицқьоу Иажәас наӡаӡа, убри аҟнытә Иара иара убас ажәа иҳәоит апротестанттәи ареформаторцәа, William Miller уахь иналаҵаны, рхы иадырхәоз “historicism” ҳәа изышьҭоу аметодологиа шьҭыхны ишааникылаша.</w:t>
      </w:r>
    </w:p>
    <w:p>
      <w:pPr>
        <w:pStyle w:val="ArticleBody"/>
        <w:jc w:val="left"/>
      </w:pPr>
      <w:r>
        <w:rPr>
          <w:rFonts w:ascii="Times New Roman" w:hAnsi="Times New Roman" w:eastAsia="Times New Roman" w:cs="Times New Roman"/>
        </w:rPr>
        <w:t>Ajo waye kũmi na inya, John Wycliffe, ũrĩa ũmenyithĩtio ta “nyenyũ ya rũciaro ya Reformation” thĩinĩ wa ibuku The Great Controversy, nĩatũmĩtwo nĩ Ngai gũtafsiri Biblia kũrĩ rũthiomi rũrĩa o mũndũ wa kawaida angĩamenya. Nĩ we mũtũmwo ũrĩa ũmenyithagia waymark ya kwambĩrĩria kwa Protestant Reformation.</w:t>
      </w:r>
    </w:p>
    <w:p>
      <w:pPr>
        <w:pStyle w:val="ArticleScripture"/>
        <w:jc w:val="left"/>
      </w:pPr>
      <w:r>
        <w:rPr>
          <w:rFonts w:ascii="Times New Roman" w:hAnsi="Times New Roman" w:eastAsia="Times New Roman" w:cs="Times New Roman"/>
        </w:rPr>
        <w:t>ۋایکلىف ئاساس سالغان ئۇلۇغ ھەرىكەت—ئۇ ۋىجدان بىلەن ئەقىلنى ئازاد قىلىپ، ئۇزۇن ۋاقىت رىمنىڭ غەلىبە ھارۋىسىغا باغلانغان مىللەتلەرنى ئەركىن قىلىدىغان ھەرىكەت—ئۆز مەنبەسىنى ئىنجىلدىن تاپتى. مانا بۇ يەردە شۇ بەرىكەت ئېقىنىنىڭ باش مەنبەسى بار ئىدى؛ ئۇ ھايات سۈيىگە ئوخشاش، ئون تۆتۈنچى ئەسىردىن بۇيان ئەسىرلەر بويىچە ئېقىپ كەلدى. ۋایکلىف مۇقەددەس يازمىلارنى خۇدانىڭ ئىرادىسىنىڭ ۋەھىي قىلىنغان ئىلهاملىق بايانى، ئىمان ۋە ئەمەل ئۈچۈن يېتەرلىك قائىدە دەپ، تولۇق ئىشەنچ بىلەن قوبۇل قىلدى. ئۇ رىم چېركاۋىنى ئىلاھىي، خاتالىقتىن خالىي ھوقۇق دەپ قاراشقا، ۋە مىڭ يىلدىن بۇيان ئورنىتىلغان تەلىماتلار بىلەن ئادەتلەرنى سوئال-جاۋابسىز ئېھتىرام بىلەن قوبۇل قىلىشقا تەربىيەلەنگەن ئىدى؛ ئەمما ئۇ بۇلارنىڭ ھەممىسىدىن يۈز ئۆرۈپ، خۇدانىڭ مۇقەددەس سۆزىگە قۇلاق سالدى. خەلقنى ئېتىراپ قىلىشقا ئۈندىگەن ھوقۇق مانا شۇ ئىدى. چېركاۋ پاپا ئارقىلىق سۆزلەيدۇ دېيىشنىڭ ئورنىغا، ئۇ بىردىن-بىر ھەقىقىي ھوقۇق خۇدانىڭ ئۆز سۆزى ئارقىلىق سۆزلەۋاتقان ئاۋازى ئىكەنلىكىنى جاكارلىدى. ئۇ يەنە پەقەت ئىنجىلنىڭلا خۇدانىڭ ئىرادىسىنىڭ مۇكەممەل ۋەھىيى ئىكەنلىكىنى ئەمەس، بەلكى مۇقەددەس روھنىڭ ئۇنىڭ بىردىن-بىر شەرھچىسى ئىكەنلىكىنى، ۋە ھەر بىر ئادەمنىڭ ئۇنىڭ تەلىماتلىرىنى ئۆگىنىش ئارقىلىق ئۆز بۇرچىنى ئۆزى بىلىشى كېرەكلىكىنىمۇ ئۆگەتتى. شۇنداق قىلىپ، ئۇ كىشىلەرنىڭ زېھنىنى پاپا بىلەن رىم چېركاۋىدىن خۇدانىڭ سۆزىگە بۇرۇپ يۆنىلتتى.</w:t>
      </w:r>
    </w:p>
    <w:p>
      <w:pPr>
        <w:pStyle w:val="ArticleScripture"/>
        <w:jc w:val="left"/>
      </w:pPr>
      <w:r>
        <w:rPr>
          <w:rFonts w:ascii="Times New Roman" w:hAnsi="Times New Roman" w:eastAsia="Times New Roman" w:cs="Times New Roman"/>
        </w:rPr>
        <w:t>«Уиклиф ахчаах ытык Өркөһүүлэртэн биирдэстэринэн буолла. Өй-санаа кэҥинэн, санаа ыраастыыннан, истиинэни тутуһарга кытаанах буолуутаан уонна ону көмүскүүргэ кыюулуу буолуутаан, кэнниттэн кэлбиттэртэн аҕыйах кына эрэ тэҥнэммитэ. Олорон-таҕаран ыраас буолуута, үөрэххэ уонна үлэҕэ сынньан билбэт көһүннэрбэт дьулуһа, сатаммат көнөтүк-сөптүүлүгү, уонна Христос курдук тапталлаахтыы, бэриниилээхтиинэн үлэлээбитэ — барыта Өркөһүүлэр бастакыһын бэлиэлиир эбит. Бу барыта ол кэм интеллектуальнай хараҥатыгар уонна сүгүрүйэр сиэр-санаа быһыытыгар харамастан, кини онуттан тахсыбыт эбит.»</w:t>
      </w:r>
    </w:p>
    <w:p>
      <w:pPr>
        <w:pStyle w:val="ArticleScripture"/>
        <w:jc w:val="left"/>
      </w:pPr>
      <w:r>
        <w:rPr>
          <w:rFonts w:ascii="Times New Roman" w:hAnsi="Times New Roman" w:eastAsia="Times New Roman" w:cs="Times New Roman"/>
        </w:rPr>
        <w:t>«Характер Уиклиф е свидетелство за възпитаващата и преобразяваща сила на Свещените писания. Библията беше тази, която го направи такъв, какъвто беше. Стремежът да се обхванат великите истини на откровението придава свежест и сила на всички способности. Той разширява ума, изостря възприятията и довежда съждението до зрялост. Изучаването на Библията ще облагороди всяка мисъл, чувство и стремеж така, както никое друго изследване не може. То дава устойчивост на целта, търпение, смелост и твърдост; облагородява характера и освещава душата. Сериозното, благоговейно изучаване на Писанията, което привежда ума на учащия се в непосредствено съприкосновение с безкрайния ум, би дало на света хора с по-силен и по-деен интелект, както и с по-благородни принципи, отколкото някога е произтичало от най-способното обучение, което човешката философия може да предложи. „Откриването на Твоите думи“, казва псалмистът, „просвещава, дава разум на простите.“ Псалом 119:130.» Великата борба, 93, 94.</w:t>
      </w:r>
    </w:p>
    <w:p>
      <w:pPr>
        <w:pStyle w:val="ArticleBody"/>
        <w:jc w:val="left"/>
      </w:pPr>
      <w:r>
        <w:rPr>
          <w:rFonts w:ascii="Times New Roman" w:hAnsi="Times New Roman" w:eastAsia="Times New Roman" w:cs="Times New Roman"/>
        </w:rPr>
        <w:t>A The Great Controversy içində Yohan Uikliff haqqında şəhadətdən sonra, Bacı Uayt sadiq islahatçıların (yol nişanlarının) bir siyahısını təqdim edir ki, bu da nəhayətdə islahatçı Con Noksadək çatır. O, Şotlandiya kraliçası Meri tərəfindən Con Noksa verilən mühüm bir sualı müəyyən edir.</w:t>
      </w:r>
    </w:p>
    <w:p>
      <w:pPr>
        <w:pStyle w:val="ArticleScripture"/>
        <w:jc w:val="left"/>
      </w:pPr>
      <w:r>
        <w:rPr>
          <w:rFonts w:ascii="Times New Roman" w:hAnsi="Times New Roman" w:eastAsia="Times New Roman" w:cs="Times New Roman"/>
        </w:rPr>
        <w:t>“جون ناكس ڪليسا جي روايتن ۽ رمزپرستين کان منهن موڙي، خدا جي ڪلام جي سچائين تي گذارو ڪرڻ لڳو، ۽ وِشارٽ جي تعليم هن جي اُن عزم کي پختو ڪيو ته هو روم جي جماعت کي ڇڏي ڏئي، ۽ پاڻ کي ستايل سڌارڪن سان شامل ڪري....”</w:t>
      </w:r>
    </w:p>
    <w:p>
      <w:pPr>
        <w:pStyle w:val="ArticleScripture"/>
        <w:jc w:val="left"/>
      </w:pPr>
      <w:r>
        <w:rPr>
          <w:rFonts w:ascii="Times New Roman" w:hAnsi="Times New Roman" w:eastAsia="Times New Roman" w:cs="Times New Roman"/>
        </w:rPr>
        <w:t>«Як дар рӯ ба рӯи маликаи Шотландия оварда шуд, дар ҳузури ӯ ғайрати бисёре аз пешвоёни протестантон фурӯ менишаст, Ҷон Нокс барои ҳақиқат бо шаҳодате беинҳироф истод. Ӯро бо навозишҳо ба даст овардан мумкин набуд; аз таҳдидҳо низ ҳарос намекард. Малика ӯро ба бидъат муттаҳам сохт. Вай, ба гуфтаи ӯ, мардумро таълим дода буд, ки дине бипазиранд, ки давлат манъ кардааст, ва ба ин васила аз фармони Худо, ки бар тобеон итоати шоҳзодагонро воҷиб медонад, таҷовуз намудааст. Нокс бо қатъият посух дод:— “Чун дини рост на сарчашмаи худро аз шоҳзодагон гирифтааст ва на ҳокимияти худро, балки танҳо аз Худои абадӣ, пас тобеон низ муваззаф нестанд, ки дини худро мувофиқи завқу писанди шоҳзодагон тартиб диҳанд. Зеро бисёр иттифоқ меафтад, ки шоҳзодагон, аз миёни ҳама, аз дини ҳақиқии Худо нодонтарини мардум бошанд. Агар тамоми насли Иброҳим бар дини Фиръавн мебуданд, ки муддати дароз тобеони ӯ буданд, илтимос, бонуи ман, пас дар ҷаҳон чӣ дине мебуд? Ва агар ҳама дар рӯзгори расулон бар дини императорони Рум мебуданд, илтимос, бонуи ман, пас имрӯз бар рӯи замин чӣ дине мебуд? … Пас, бонуи ман, шумо метавонед дарёбед, ки тобеон ба дини шоҳзодагонашон пойбанд нестанд, гарчи ба онҳо фармуда шудааст, ки эҳтиромашонро ба ҷо оваранд.”»</w:t>
      </w:r>
    </w:p>
    <w:p>
      <w:pPr>
        <w:pStyle w:val="ArticleScripture"/>
        <w:jc w:val="left"/>
      </w:pPr>
      <w:r>
        <w:rPr>
          <w:rFonts w:ascii="Times New Roman" w:hAnsi="Times New Roman" w:eastAsia="Times New Roman" w:cs="Times New Roman"/>
        </w:rPr>
        <w:t>Mary nyak, “Taŋthok ci Nhialic yökë ke rot në thïn yen aci, ku konykɔ̈k [romiic guan looi kek ë tɔ̈u] yökë ke rot në thïn duŋ aci; yeŋa baŋ gam, ku yeŋa bï ke raan gät?”</w:t>
      </w:r>
    </w:p>
    <w:p>
      <w:pPr>
        <w:pStyle w:val="ArticleScripture"/>
        <w:jc w:val="left"/>
      </w:pPr>
      <w:r>
        <w:rPr>
          <w:rFonts w:ascii="Times New Roman" w:hAnsi="Times New Roman" w:eastAsia="Times New Roman" w:cs="Times New Roman"/>
        </w:rPr>
        <w:t>«“انن يیأیمان اۏەرسیزلار خداعا، کی اول اۏز سۆزۆنده آشیقار دانیشار،” دییه اصلاح‌چی جاواب وئردی؛ “و سۆز سیزه نه قدره‌جه‌ک اۆیره‌دیرسه، اوندان آرتیق نه بونا و نه اوبیرینه ایناناسیزلار. خدا سۆزۆ اۆز ذاتینده آیدین‌دیر؛ و اگر هرهانسی بیر یئرده قارانلیق وارسا، اۆزۆنه هئچ واخت زید اولمایان موقدس روح، اونی باشقا یئرلرده داها آیدین بیر شکیلده آچیقلایار؛ بئله‌جه، اینادلا جاهیل قالانلاردان باشقا هئچ کس اوچون هئچ بیر شوبه قالا بیلمز.” حیاتی bahasına، قورخماز اصلاح‌چی شاهلیقین قولاغینا بئله حقیقت‌لری سؤیلدی. ائینی سارسılmaz جسارتله، دعا ائدərək و ربّین موحاریبه‌لرینی موحاریبه ائدərək، اسکتلندیا پاپالیقدان آزاد اولانا قدر مقصدینه صادقیه‌تله باغلی قالدی.» The Great Controversy, 250, 251.</w:t>
      </w:r>
    </w:p>
    <w:p>
      <w:pPr>
        <w:pStyle w:val="ArticleBody"/>
        <w:jc w:val="left"/>
      </w:pPr>
      <w:r>
        <w:rPr>
          <w:rFonts w:ascii="Times New Roman" w:hAnsi="Times New Roman" w:eastAsia="Times New Roman" w:cs="Times New Roman"/>
        </w:rPr>
        <w:t>رِفورمەر وەلە مەلکە ئارىسىندىكى مۇناسىۋەت رىفورماتسىيە تارىخىدىكى ئۈچىنچى تىزمىنى نامايان قىلىدۇ؛ بۇ تىزىم شەيتاننىڭ ئىنجىلنى، رىفورماتورلارنى ۋە ئىنجىلنى تەتقىق قىلىش مېتودولوگىيەسىنى ساختىلاش تىرىشچانلىقىنى ئاشكارىلايدۇ. يوھاننىڭ مەلکەگە بەرگەن جاۋابى شۇ ئىدىكى، توغرا مېتودولوگىيە «تارىخچىلىق»تۇر؛ بۇ، مۇقەددەس روھ بىر پەيغەمبەرلىك تارىخ لىنىيەسىنى يەنە بىر پەيغەمبەرلىك تارىخ لىنىيەسى ئارقىلىق چۈشەندۈرۈشىگە ئاساسلانغان.</w:t>
      </w:r>
    </w:p>
    <w:p>
      <w:pPr>
        <w:pStyle w:val="ArticleBody"/>
        <w:jc w:val="left"/>
      </w:pPr>
      <w:r>
        <w:rPr>
          <w:rFonts w:ascii="Times New Roman" w:hAnsi="Times New Roman" w:eastAsia="Times New Roman" w:cs="Times New Roman"/>
        </w:rPr>
        <w:t>Ljós hevði verið latið upp í myrkrinum. Wycliffe og teir fyrstu siðbótar menninir, allan vegin gjøgnum søguna hjá teimum, ið fylgdu lærdóminum hjá Miller, nýttu ein hátt at kanna Bíbliuna, sum varð nevndur “historicism.” Søgan um henda bíbilska háttin at lesa og kanna Bíbliuna verður mangan yvirsæð, men hon er alneyðug at viðurkenna, um ein veruliga skal síggja týdningin av teimum reglum fyri profetiska tulking, sum vórðu tiknar upp av Miller og síðani av Future for America.</w:t>
      </w:r>
    </w:p>
    <w:p>
      <w:pPr>
        <w:pStyle w:val="ArticleBody"/>
        <w:jc w:val="left"/>
      </w:pPr>
      <w:r>
        <w:rPr>
          <w:rFonts w:ascii="Times New Roman" w:hAnsi="Times New Roman" w:eastAsia="Times New Roman" w:cs="Times New Roman"/>
        </w:rPr>
        <w:t>مەسیحەکانی تەنها دوو کڵێسا هەن کە خاتوو وایت وەک گەلی ناونیشان‌کراوی خودا دیاریدەکات: ئەوانیش ئیسرائیلی کۆن و کڵێسای ئادڤێنتیستی ڕۆژی حەوتەمینن.</w:t>
      </w:r>
    </w:p>
    <w:p>
      <w:pPr>
        <w:pStyle w:val="ArticleScripture"/>
        <w:jc w:val="left"/>
      </w:pPr>
      <w:r>
        <w:rPr>
          <w:rFonts w:ascii="Times New Roman" w:hAnsi="Times New Roman" w:eastAsia="Times New Roman" w:cs="Times New Roman"/>
        </w:rPr>
        <w:t>«Las razones por las cuales somos denominados pueblo de Dios deben ser repetidas y repetidas. Deuteronomio 4:1–13» Manuscript Releases, volumen 8, 426.</w:t>
      </w:r>
    </w:p>
    <w:p>
      <w:pPr>
        <w:pStyle w:val="ArticleBody"/>
        <w:jc w:val="left"/>
      </w:pPr>
      <w:r>
        <w:rPr>
          <w:rFonts w:ascii="Times New Roman" w:hAnsi="Times New Roman" w:eastAsia="Times New Roman" w:cs="Times New Roman"/>
        </w:rPr>
        <w:t>«Апостоларҙың сиркәүе», папалыҡ ҡараңғылығы осорондағы сүлдәге сиркәү бер ҡасан да Алланың исемләнгән халҡы тип аталманы, сөнки был атама (исем бирелеүҙе аңлата) Алланың ҡанунының аманатын һаҡлаусылар булыу яуаплылығы йөкмәтелгән сиркәүҙе белдерә, һәм адвентизм менән бергә улар шулай уҡ Алланың пәйғәмбәре хаҡиҡәттәренең аманатын һаҡлаусылар булырға тейеш ине.</w:t>
      </w:r>
    </w:p>
    <w:p>
      <w:pPr>
        <w:pStyle w:val="ArticleScripture"/>
        <w:jc w:val="left"/>
      </w:pPr>
      <w:r>
        <w:rPr>
          <w:rFonts w:ascii="Times New Roman" w:hAnsi="Times New Roman" w:eastAsia="Times New Roman" w:cs="Times New Roman"/>
        </w:rPr>
        <w:t>“Хувьсан өөрчлөгдөх энэ цаг үед Бурхан Өөрийн сүмийг, эртний Израилийг дуудсанчлан, дэлхий дээр гэрэл болон зогсохоор дуудсан юм. Тэрээр үнэний хүчирхэг илдээр, нэгдүгээр, хоёрдугаар, гуравдугаар тэнгэрэлчийн мэдээнүүдээр дамжуулан, тэднийг сүмүүдээс болон ертөнцөөс тусгаарлаж, Өөртөө ариун ойр дөт байдалд авчирсан. Тэр тэднийг Өөрийн хуулийн хадгалуулагчид болгож, энэ цаг үед хамаарах эш үзүүллэгийн агуу үнэнүүдийг тэдэнд даатгасан. Эртний Израильд даатгагдсан ариун илчлэлүүдийн адил, эдгээр нь дэлхийд дамжуулагдах ёстой ариун итгэл даатгал мөн. Илчлэл 14-ийн гурван тэнгэрэлч нь Бурханы мэдээнүүдийн гэрлийг хүлээн авч, дэлхийн өнцөг булан бүрд сэрэмжлүүлгийг тунхаглахаар Түүний элч төлөөлөгчид болон урагш гардаг хүмүүсийг төлөөлдөг.” Testimonies, volume 5, 455.</w:t>
      </w:r>
    </w:p>
    <w:p>
      <w:pPr>
        <w:pStyle w:val="ArticleBody"/>
        <w:jc w:val="left"/>
      </w:pPr>
      <w:r>
        <w:rPr>
          <w:rFonts w:ascii="Times New Roman" w:hAnsi="Times New Roman" w:eastAsia="Times New Roman" w:cs="Times New Roman"/>
        </w:rPr>
        <w:t>William Miller aguykuéra peteĩ mensahéro ojeporavopyre oñeñepyrũ hag̃ua Ñandejára marandu profétikokuéra, ha umi añetegua ogueraha ramo peteĩ tetãygua Pe Okẽ Ojepe’áva Santísimo-pe ary 1844-pe, upérõ Ñandejára oipe’a avei Ñandejára léi. Wycliffe ha’e peteĩ techaukaha oñepe’a hag̃uáicha Biblia ha oñemoñepyrũ hag̃ua Reforma Protestante ñepyrũmby, ha katu avei ha’e peteĩ techaukaha tembiapo Ñandejára rehegua omopyenda hag̃ua “profecía añetegua guasu”. John Wycliffe ha’e va’ekue pe pyhareve mbyja ojehechakuaáva tembiasakuepe pe papado poguýpe oĩ haguéicha mil dosientos sesenta ary aja. Hembiapo oñepyrũ siglo catorce-pe, upéi siglo diecisiete-pe ambue techaukaha upe línea profética rehegua ha’e va’ekue pe Biblia King James oñeguenohẽva’ekue ary 1611-pe. Upe línea rehe ipahápe jahupyty Miller regla-kuéra interpretación profética rehegua techaukaha. Miller ha’e peteĩ techaukaha upe línea añeteguápe, ha upéicha avei iregla-kuéra. Iregla-kuéra ome’ẽ testimónio peteĩ techaukaha rehegua Adventismo paha gotyo ojehechaukáva pe publicación Prophetic Keys rupive.</w:t>
      </w:r>
    </w:p>
    <w:p>
      <w:pPr>
        <w:pStyle w:val="ArticleBody"/>
        <w:jc w:val="left"/>
      </w:pPr>
      <w:r>
        <w:rPr>
          <w:rFonts w:ascii="Nirmala UI" w:hAnsi="Nirmala UI" w:eastAsia="Nirmala UI" w:cs="Nirmala UI"/>
        </w:rPr>
        <w:t>মি</w:t>
      </w:r>
      <w:r>
        <w:rPr>
          <w:rFonts w:ascii="Times New Roman" w:hAnsi="Times New Roman" w:eastAsia="Times New Roman" w:cs="Times New Roman"/>
        </w:rPr>
        <w:t>'</w:t>
      </w:r>
      <w:r>
        <w:rPr>
          <w:rFonts w:ascii="Nirmala UI" w:hAnsi="Nirmala UI" w:eastAsia="Nirmala UI" w:cs="Nirmala UI"/>
        </w:rPr>
        <w:t>লাৰৰ</w:t>
      </w:r>
      <w:r>
        <w:rPr>
          <w:rFonts w:ascii="Times New Roman" w:hAnsi="Times New Roman" w:eastAsia="Times New Roman" w:cs="Times New Roman"/>
        </w:rPr>
        <w:t xml:space="preserve"> </w:t>
      </w:r>
      <w:r>
        <w:rPr>
          <w:rFonts w:ascii="Nirmala UI" w:hAnsi="Nirmala UI" w:eastAsia="Nirmala UI" w:cs="Nirmala UI"/>
        </w:rPr>
        <w:t>নিয়মসমূহ</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ইতিহাসৰ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ধাৰাত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পথচিহ্ন</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বাইবেলৰ</w:t>
      </w:r>
      <w:r>
        <w:rPr>
          <w:rFonts w:ascii="Times New Roman" w:hAnsi="Times New Roman" w:eastAsia="Times New Roman" w:cs="Times New Roman"/>
        </w:rPr>
        <w:t xml:space="preserve"> </w:t>
      </w:r>
      <w:r>
        <w:rPr>
          <w:rFonts w:ascii="Nirmala UI" w:hAnsi="Nirmala UI" w:eastAsia="Nirmala UI" w:cs="Nirmala UI"/>
        </w:rPr>
        <w:t>মূল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শুদ্ধ</w:t>
      </w:r>
      <w:r>
        <w:rPr>
          <w:rFonts w:ascii="Times New Roman" w:hAnsi="Times New Roman" w:eastAsia="Times New Roman" w:cs="Times New Roman"/>
        </w:rPr>
        <w:t xml:space="preserve"> </w:t>
      </w:r>
      <w:r>
        <w:rPr>
          <w:rFonts w:ascii="Nirmala UI" w:hAnsi="Nirmala UI" w:eastAsia="Nirmala UI" w:cs="Nirmala UI"/>
        </w:rPr>
        <w:t>পাঠ</w:t>
      </w:r>
      <w:r>
        <w:rPr>
          <w:rFonts w:ascii="Times New Roman" w:hAnsi="Times New Roman" w:eastAsia="Times New Roman" w:cs="Times New Roman"/>
        </w:rPr>
        <w:t xml:space="preserve"> </w:t>
      </w:r>
      <w:r>
        <w:rPr>
          <w:rFonts w:ascii="Nirmala UI" w:hAnsi="Nirmala UI" w:eastAsia="Nirmala UI" w:cs="Nirmala UI"/>
        </w:rPr>
        <w:t>সংৰক্ষণ</w:t>
      </w:r>
      <w:r>
        <w:rPr>
          <w:rFonts w:ascii="Times New Roman" w:hAnsi="Times New Roman" w:eastAsia="Times New Roman" w:cs="Times New Roman"/>
        </w:rPr>
        <w:t xml:space="preserve"> </w:t>
      </w:r>
      <w:r>
        <w:rPr>
          <w:rFonts w:ascii="Nirmala UI" w:hAnsi="Nirmala UI" w:eastAsia="Nirmala UI" w:cs="Nirmala UI"/>
        </w:rPr>
        <w:t>কৰাৰ</w:t>
      </w:r>
      <w:r>
        <w:rPr>
          <w:rFonts w:ascii="Times New Roman" w:hAnsi="Times New Roman" w:eastAsia="Times New Roman" w:cs="Times New Roman"/>
        </w:rPr>
        <w:t xml:space="preserve"> </w:t>
      </w:r>
      <w:r>
        <w:rPr>
          <w:rFonts w:ascii="Nirmala UI" w:hAnsi="Nirmala UI" w:eastAsia="Nirmala UI" w:cs="Nirmala UI"/>
        </w:rPr>
        <w:t>কাৰ্য্যকো</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লগতে</w:t>
      </w:r>
      <w:r>
        <w:rPr>
          <w:rFonts w:ascii="Times New Roman" w:hAnsi="Times New Roman" w:eastAsia="Times New Roman" w:cs="Times New Roman"/>
        </w:rPr>
        <w:t xml:space="preserve"> </w:t>
      </w:r>
      <w:r>
        <w:rPr>
          <w:rFonts w:ascii="Nirmala UI" w:hAnsi="Nirmala UI" w:eastAsia="Nirmala UI" w:cs="Nirmala UI"/>
        </w:rPr>
        <w:t>বাইবেলৰ</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বুজাবুজি</w:t>
      </w:r>
      <w:r>
        <w:rPr>
          <w:rFonts w:ascii="Times New Roman" w:hAnsi="Times New Roman" w:eastAsia="Times New Roman" w:cs="Times New Roman"/>
        </w:rPr>
        <w:t xml:space="preserve"> </w:t>
      </w:r>
      <w:r>
        <w:rPr>
          <w:rFonts w:ascii="Nirmala UI" w:hAnsi="Nirmala UI" w:eastAsia="Nirmala UI" w:cs="Nirmala UI"/>
        </w:rPr>
        <w:t>উন্মোচন</w:t>
      </w:r>
      <w:r>
        <w:rPr>
          <w:rFonts w:ascii="Times New Roman" w:hAnsi="Times New Roman" w:eastAsia="Times New Roman" w:cs="Times New Roman"/>
        </w:rPr>
        <w:t xml:space="preserve"> </w:t>
      </w:r>
      <w:r>
        <w:rPr>
          <w:rFonts w:ascii="Nirmala UI" w:hAnsi="Nirmala UI" w:eastAsia="Nirmala UI" w:cs="Nirmala UI"/>
        </w:rPr>
        <w:t>কৰাৰ</w:t>
      </w:r>
      <w:r>
        <w:rPr>
          <w:rFonts w:ascii="Times New Roman" w:hAnsi="Times New Roman" w:eastAsia="Times New Roman" w:cs="Times New Roman"/>
        </w:rPr>
        <w:t xml:space="preserve"> </w:t>
      </w:r>
      <w:r>
        <w:rPr>
          <w:rFonts w:ascii="Nirmala UI" w:hAnsi="Nirmala UI" w:eastAsia="Nirmala UI" w:cs="Nirmala UI"/>
        </w:rPr>
        <w:t>কাৰ্য্যকো</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যাৰ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সংস্কাৰকসকলক</w:t>
      </w:r>
      <w:r>
        <w:rPr>
          <w:rFonts w:ascii="Times New Roman" w:hAnsi="Times New Roman" w:eastAsia="Times New Roman" w:cs="Times New Roman"/>
        </w:rPr>
        <w:t xml:space="preserve"> “historicism” </w:t>
      </w:r>
      <w:r>
        <w:rPr>
          <w:rFonts w:ascii="Nirmala UI" w:hAnsi="Nirmala UI" w:eastAsia="Nirmala UI" w:cs="Nirmala UI"/>
        </w:rPr>
        <w:t>নামেৰে</w:t>
      </w:r>
      <w:r>
        <w:rPr>
          <w:rFonts w:ascii="Times New Roman" w:hAnsi="Times New Roman" w:eastAsia="Times New Roman" w:cs="Times New Roman"/>
        </w:rPr>
        <w:t xml:space="preserve"> </w:t>
      </w:r>
      <w:r>
        <w:rPr>
          <w:rFonts w:ascii="Nirmala UI" w:hAnsi="Nirmala UI" w:eastAsia="Nirmala UI" w:cs="Nirmala UI"/>
        </w:rPr>
        <w:t>অভিহিত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পবিত্ৰ</w:t>
      </w:r>
      <w:r>
        <w:rPr>
          <w:rFonts w:ascii="Times New Roman" w:hAnsi="Times New Roman" w:eastAsia="Times New Roman" w:cs="Times New Roman"/>
        </w:rPr>
        <w:t xml:space="preserve"> </w:t>
      </w:r>
      <w:r>
        <w:rPr>
          <w:rFonts w:ascii="Nirmala UI" w:hAnsi="Nirmala UI" w:eastAsia="Nirmala UI" w:cs="Nirmala UI"/>
        </w:rPr>
        <w:t>অধ্যয়ন</w:t>
      </w:r>
      <w:r>
        <w:rPr>
          <w:rFonts w:ascii="Times New Roman" w:hAnsi="Times New Roman" w:eastAsia="Times New Roman" w:cs="Times New Roman"/>
        </w:rPr>
        <w:t>-</w:t>
      </w:r>
      <w:r>
        <w:rPr>
          <w:rFonts w:ascii="Nirmala UI" w:hAnsi="Nirmala UI" w:eastAsia="Nirmala UI" w:cs="Nirmala UI"/>
        </w:rPr>
        <w:t>পদ্ধতি</w:t>
      </w:r>
      <w:r>
        <w:rPr>
          <w:rFonts w:ascii="Times New Roman" w:hAnsi="Times New Roman" w:eastAsia="Times New Roman" w:cs="Times New Roman"/>
        </w:rPr>
        <w:t xml:space="preserve"> </w:t>
      </w:r>
      <w:r>
        <w:rPr>
          <w:rFonts w:ascii="Nirmala UI" w:hAnsi="Nirmala UI" w:eastAsia="Nirmala UI" w:cs="Nirmala UI"/>
        </w:rPr>
        <w:t>বুজিবলৈ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প্ৰয়োগ</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পথপ্ৰদৰ্শিত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কথাটো</w:t>
      </w:r>
      <w:r>
        <w:rPr>
          <w:rFonts w:ascii="Times New Roman" w:hAnsi="Times New Roman" w:eastAsia="Times New Roman" w:cs="Times New Roman"/>
        </w:rPr>
        <w:t xml:space="preserve"> </w:t>
      </w:r>
      <w:r>
        <w:rPr>
          <w:rFonts w:ascii="Nirmala UI" w:hAnsi="Nirmala UI" w:eastAsia="Nirmala UI" w:cs="Nirmala UI"/>
        </w:rPr>
        <w:t>নুবুজো</w:t>
      </w:r>
      <w:r>
        <w:rPr>
          <w:rFonts w:ascii="Times New Roman" w:hAnsi="Times New Roman" w:eastAsia="Times New Roman" w:cs="Times New Roman"/>
        </w:rPr>
        <w:t xml:space="preserve">, </w:t>
      </w:r>
      <w:r>
        <w:rPr>
          <w:rFonts w:ascii="Nirmala UI" w:hAnsi="Nirmala UI" w:eastAsia="Nirmala UI" w:cs="Nirmala UI"/>
        </w:rPr>
        <w:t>তেন্তে</w:t>
      </w:r>
      <w:r>
        <w:rPr>
          <w:rFonts w:ascii="Times New Roman" w:hAnsi="Times New Roman" w:eastAsia="Times New Roman" w:cs="Times New Roman"/>
        </w:rPr>
        <w:t xml:space="preserve"> Adventism-</w:t>
      </w:r>
      <w:r>
        <w:rPr>
          <w:rFonts w:ascii="Nirmala UI" w:hAnsi="Nirmala UI" w:eastAsia="Nirmala UI" w:cs="Nirmala UI"/>
        </w:rPr>
        <w:t>ৰ</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পৰ্যায়ত</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দূতৰ</w:t>
      </w:r>
      <w:r>
        <w:rPr>
          <w:rFonts w:ascii="Times New Roman" w:hAnsi="Times New Roman" w:eastAsia="Times New Roman" w:cs="Times New Roman"/>
        </w:rPr>
        <w:t xml:space="preserve"> </w:t>
      </w:r>
      <w:r>
        <w:rPr>
          <w:rFonts w:ascii="Nirmala UI" w:hAnsi="Nirmala UI" w:eastAsia="Nirmala UI" w:cs="Nirmala UI"/>
        </w:rPr>
        <w:t>জ্যোতি</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সংৰক্ষণ</w:t>
      </w:r>
      <w:r>
        <w:rPr>
          <w:rFonts w:ascii="Times New Roman" w:hAnsi="Times New Roman" w:eastAsia="Times New Roman" w:cs="Times New Roman"/>
        </w:rPr>
        <w:t xml:space="preserve"> </w:t>
      </w:r>
      <w:r>
        <w:rPr>
          <w:rFonts w:ascii="Nirmala UI" w:hAnsi="Nirmala UI" w:eastAsia="Nirmala UI" w:cs="Nirmala UI"/>
        </w:rPr>
        <w:t>কৰাৰ</w:t>
      </w:r>
      <w:r>
        <w:rPr>
          <w:rFonts w:ascii="Times New Roman" w:hAnsi="Times New Roman" w:eastAsia="Times New Roman" w:cs="Times New Roman"/>
        </w:rPr>
        <w:t xml:space="preserve"> </w:t>
      </w:r>
      <w:r>
        <w:rPr>
          <w:rFonts w:ascii="Nirmala UI" w:hAnsi="Nirmala UI" w:eastAsia="Nirmala UI" w:cs="Nirmala UI"/>
        </w:rPr>
        <w:t>কাৰ্য্যৰ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জড়িত</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সত্যসমূহ</w:t>
      </w:r>
      <w:r>
        <w:rPr>
          <w:rFonts w:ascii="Times New Roman" w:hAnsi="Times New Roman" w:eastAsia="Times New Roman" w:cs="Times New Roman"/>
        </w:rPr>
        <w:t xml:space="preserve"> </w:t>
      </w:r>
      <w:r>
        <w:rPr>
          <w:rFonts w:ascii="Nirmala UI" w:hAnsi="Nirmala UI" w:eastAsia="Nirmala UI" w:cs="Nirmala UI"/>
        </w:rPr>
        <w:t>চিনাক্ত</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তথ্য</w:t>
      </w:r>
      <w:r>
        <w:rPr>
          <w:rFonts w:ascii="Times New Roman" w:hAnsi="Times New Roman" w:eastAsia="Times New Roman" w:cs="Times New Roman"/>
        </w:rPr>
        <w:t xml:space="preserve"> </w:t>
      </w:r>
      <w:r>
        <w:rPr>
          <w:rFonts w:ascii="Nirmala UI" w:hAnsi="Nirmala UI" w:eastAsia="Nirmala UI" w:cs="Nirmala UI"/>
        </w:rPr>
        <w:t>প্ৰয়োজন</w:t>
      </w:r>
      <w:r>
        <w:rPr>
          <w:rFonts w:ascii="Times New Roman" w:hAnsi="Times New Roman" w:eastAsia="Times New Roman" w:cs="Times New Roman"/>
        </w:rPr>
        <w:t xml:space="preserve">, </w:t>
      </w:r>
      <w:r>
        <w:rPr>
          <w:rFonts w:ascii="Nirmala UI" w:hAnsi="Nirmala UI" w:eastAsia="Nirmala UI" w:cs="Nirmala UI"/>
        </w:rPr>
        <w:t>সেয়া</w:t>
      </w:r>
      <w:r>
        <w:rPr>
          <w:rFonts w:ascii="Times New Roman" w:hAnsi="Times New Roman" w:eastAsia="Times New Roman" w:cs="Times New Roman"/>
        </w:rPr>
        <w:t xml:space="preserve"> </w:t>
      </w:r>
      <w:r>
        <w:rPr>
          <w:rFonts w:ascii="Nirmala UI" w:hAnsi="Nirmala UI" w:eastAsia="Nirmala UI" w:cs="Nirmala UI"/>
        </w:rPr>
        <w:t>আমাৰ</w:t>
      </w:r>
      <w:r>
        <w:rPr>
          <w:rFonts w:ascii="Times New Roman" w:hAnsi="Times New Roman" w:eastAsia="Times New Roman" w:cs="Times New Roman"/>
        </w:rPr>
        <w:t xml:space="preserve"> </w:t>
      </w:r>
      <w:r>
        <w:rPr>
          <w:rFonts w:ascii="Nirmala UI" w:hAnsi="Nirmala UI" w:eastAsia="Nirmala UI" w:cs="Nirmala UI"/>
        </w:rPr>
        <w:t>অভাৱ</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কাৰণেই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ইতিহাসৰ</w:t>
      </w:r>
      <w:r>
        <w:rPr>
          <w:rFonts w:ascii="Times New Roman" w:hAnsi="Times New Roman" w:eastAsia="Times New Roman" w:cs="Times New Roman"/>
        </w:rPr>
        <w:t xml:space="preserve"> </w:t>
      </w:r>
      <w:r>
        <w:rPr>
          <w:rFonts w:ascii="Nirmala UI" w:hAnsi="Nirmala UI" w:eastAsia="Nirmala UI" w:cs="Nirmala UI"/>
        </w:rPr>
        <w:t>ধাৰাটোৰ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সংক্ষিপ্ত</w:t>
      </w:r>
      <w:r>
        <w:rPr>
          <w:rFonts w:ascii="Times New Roman" w:hAnsi="Times New Roman" w:eastAsia="Times New Roman" w:cs="Times New Roman"/>
        </w:rPr>
        <w:t xml:space="preserve"> </w:t>
      </w:r>
      <w:r>
        <w:rPr>
          <w:rFonts w:ascii="Nirmala UI" w:hAnsi="Nirmala UI" w:eastAsia="Nirmala UI" w:cs="Nirmala UI"/>
        </w:rPr>
        <w:t>সমীক্ষা</w:t>
      </w:r>
      <w:r>
        <w:rPr>
          <w:rFonts w:ascii="Times New Roman" w:hAnsi="Times New Roman" w:eastAsia="Times New Roman" w:cs="Times New Roman"/>
        </w:rPr>
        <w:t xml:space="preserve"> </w:t>
      </w:r>
      <w:r>
        <w:rPr>
          <w:rFonts w:ascii="Nirmala UI" w:hAnsi="Nirmala UI" w:eastAsia="Nirmala UI" w:cs="Nirmala UI"/>
        </w:rPr>
        <w:t>লোৱাটো</w:t>
      </w:r>
      <w:r>
        <w:rPr>
          <w:rFonts w:ascii="Times New Roman" w:hAnsi="Times New Roman" w:eastAsia="Times New Roman" w:cs="Times New Roman"/>
        </w:rPr>
        <w:t xml:space="preserve"> </w:t>
      </w:r>
      <w:r>
        <w:rPr>
          <w:rFonts w:ascii="Nirmala UI" w:hAnsi="Nirmala UI" w:eastAsia="Nirmala UI" w:cs="Nirmala UI"/>
        </w:rPr>
        <w:t>গুৰুত্বপূৰ্ণ।</w:t>
      </w:r>
    </w:p>
    <w:p>
      <w:pPr>
        <w:pStyle w:val="ArticleBody"/>
        <w:jc w:val="left"/>
      </w:pPr>
      <w:r>
        <w:rPr>
          <w:rFonts w:ascii="Times New Roman" w:hAnsi="Times New Roman" w:eastAsia="Times New Roman" w:cs="Times New Roman"/>
        </w:rPr>
        <w:t>Bu soo ay nëri Protestant” pïrde tïnë, Roma cï protest tï. Kïrïk ba Roma cï protest acï ba, pïrde Protestant acï ke; kïrïk tï Rome ye dhiëëth acï ke, kï Protestants alëu de, kï first angel’s message bï gɔl acï. Tënë premier understanding kï “motto” Protestants ku Catholic church pinyë lööm de cï bï, “Bible ku Bible ke ëke.” Yet history cï ke attests tï, Bible bï rightly divided acï yenë kërë.</w:t>
      </w:r>
    </w:p>
    <w:p>
      <w:pPr>
        <w:pStyle w:val="ArticleScripture"/>
        <w:jc w:val="left"/>
      </w:pPr>
      <w:r>
        <w:rPr>
          <w:rFonts w:ascii="Times New Roman" w:hAnsi="Times New Roman" w:eastAsia="Times New Roman" w:cs="Times New Roman"/>
        </w:rPr>
        <w:t>خود را بکوش تا نزد خدا مقبول نمایی، چون کارگری که را از شرمساری نیازی نیست و کلامِ حق را به‌درستی تقسیم می‌کند. اما از یاوه‌گویی‌های حرام و بیهوده روی بگردان، زیرا که به بی‌دینیِ بیشتر خواهد انجامید. دوم تیموتائوس ۲:‏۱۵، ۱۶</w:t>
      </w:r>
    </w:p>
    <w:p>
      <w:pPr>
        <w:pStyle w:val="ArticleBody"/>
        <w:jc w:val="left"/>
      </w:pPr>
      <w:r>
        <w:rPr>
          <w:rFonts w:ascii="Times New Roman" w:hAnsi="Times New Roman" w:eastAsia="Times New Roman" w:cs="Times New Roman"/>
        </w:rPr>
        <w:t>Biblia adhyayanache je paddhati Protestant lokanna satyachya vachanache yogya prakarene vibhajan karanyasathi vaprayala prerit kele gele, ti mhanje “historicism.” Ti paddhati Satanasathi halla karanyache ek vishisht ani gambhir lakshya hoti, ani tyane tyaavar halla kelach.</w:t>
      </w:r>
    </w:p>
    <w:p>
      <w:pPr>
        <w:pStyle w:val="ArticleScripture"/>
        <w:jc w:val="left"/>
      </w:pPr>
      <w:r>
        <w:rPr>
          <w:rFonts w:ascii="Times New Roman" w:hAnsi="Times New Roman" w:eastAsia="Times New Roman" w:cs="Times New Roman"/>
        </w:rPr>
        <w:t>«Пирыв сами знаӈанумей, хъунта Христианство, хъунта чанӈкэ чокъэр, хъунта ивнумэ пырэтъэй итрэ кэнил, хъунтэ Библияна умукадэр — умукадэр, мэным эннумрэм хъайпы чамэгур раллятындэр». The 1888 Materials, 403.</w:t>
      </w:r>
    </w:p>
    <w:p>
      <w:pPr>
        <w:pStyle w:val="ArticleBody"/>
        <w:jc w:val="left"/>
      </w:pPr>
      <w:r>
        <w:rPr>
          <w:rFonts w:ascii="Times New Roman" w:hAnsi="Times New Roman" w:eastAsia="Times New Roman" w:cs="Times New Roman"/>
        </w:rPr>
        <w:t>Эйчмен реформаторлукчулары къуллангъан, Уильям Миллерге кадар ве аны да ичине алгъан библиялыкъ методологияны бузувныñ башланувы, хусусян, он бешинчи асырда Франсиско Рибера (1537–1591) деген бир иезуит алиминен башлангъаны деп белгиленир; о, футуристик тюшюндирювни йайгъан зат оларакъ къабул этиле. О, Вахий китабы устюне бир шерх язып, пейгъамберликлерге футуристик бир тюшюндирюв теклиф этти ве оларны тарихий контексттен узакълаштырды. Рибера бу методологияны, историцизм методологиясы эр даим чыкъаргъан акъикъаткъа къаршы турмакъ макъсады иле ойлап тапты. О акъикъат исе, Рум папасыныñ Библия пейгъамберлигиндеги антихрист олгъаны эди.</w:t>
      </w:r>
    </w:p>
    <w:p>
      <w:pPr>
        <w:pStyle w:val="ArticleBody"/>
        <w:jc w:val="left"/>
      </w:pPr>
      <w:r>
        <w:rPr>
          <w:rFonts w:ascii="Times New Roman" w:hAnsi="Times New Roman" w:eastAsia="Times New Roman" w:cs="Times New Roman"/>
        </w:rPr>
        <w:t>En los siglos XVII y XVIII puede documentarse que el protestantismo sabía que la falsa metodología de Ribera era satánica y carente de solidez. Los protestantes de aquella historia escribieron libros y tratados en oposición a las “profanas y vanas palabrerías” del erudito jesuita. Pero en 1909 se publicó el caballo de Troya, la Biblia de Referencia Scofield, y las referencias insertadas en las notas al pie de la Biblia se basaban en las enseñanzas de Ribera y de otro jesuita llamado Manuel Lacunza (1731–1801). Lacunza escribió bajo el seudónimo de Juan Josafat Ben-Ezra, y publicó un libro titulado La venida del Mesías en gloria y majestad. Al igual que Ribera antes que él, el libro constituía un ataque directo contra el cumplimiento de las profecías del libro de Apocalipsis.</w:t>
      </w:r>
    </w:p>
    <w:p>
      <w:pPr>
        <w:pStyle w:val="ArticleBody"/>
        <w:jc w:val="left"/>
      </w:pPr>
      <w:r>
        <w:rPr>
          <w:rFonts w:ascii="Times New Roman" w:hAnsi="Times New Roman" w:eastAsia="Times New Roman" w:cs="Times New Roman"/>
        </w:rPr>
        <w:t>Şeytan, qarışıqlıqla pərdələməli olduğu xəbərin Vəhy kitabından gələn son xəbərdarlıq xəbəri olduğunu bilirdi. İki yezuit keşişinin dinsiz və boşboğaz sözlərini Scofield Referans İncilinin içindəki istinadlara daxil etməklə, Şeytan dönük protestantları yezuit metodologiyalarını qəbul etməyə yönəldə bildi və beləliklə onları həqiqətə qarşı kor etdi. Şeytan bunu, Müqəddəs Kitab peyğəmbərliyindəki antixristin kim olduğunu aydın şəkildə müəyyən etmə imkanını aradan qaldıran bir neçə katolik peyğəmbərlik modelini ortaya daxil etməklə həyata keçirdi. Bu, Şeytan üçün çətin bir aldanış deyildi, çünki protestantlar artıq 1843-cü ildə Millerin xəbərini rədd etməklə Roma kilsəsinə geri dönmüşdülər.</w:t>
      </w:r>
    </w:p>
    <w:p>
      <w:pPr>
        <w:pStyle w:val="ArticleBody"/>
        <w:jc w:val="left"/>
      </w:pPr>
      <w:r>
        <w:rPr>
          <w:rFonts w:ascii="Times New Roman" w:hAnsi="Times New Roman" w:eastAsia="Times New Roman" w:cs="Times New Roman"/>
        </w:rPr>
        <w:t>مسیح کے مصلوب کیے جانے کے بعد پہلی چند صدیوں ہی میں شروع ہونے والے بائبل پر شیطان کے حملے کو دستاویز کرنے والی کئی کتابیں اور مضامین برسوں کے دوران شائع ہو چکے ہیں۔ یہ حملہ اس مقام تک پہنچ گیا کہ جعلی مخطوطات متعارف کرائے گئے تاکہ جعلی بائبلیں تیار کی جائیں۔ شیطان نے اُن مصلحین پر بھی حملہ کیا جنہیں خدا کے کلام کو اپنی زندگی میں اور اُن مصلحین کی وفات کے بعد بھی قائم رکھنے کے لیے برپا کیا گیا تھا۔</w:t>
      </w:r>
    </w:p>
    <w:p>
      <w:pPr>
        <w:pStyle w:val="ArticleBody"/>
        <w:jc w:val="left"/>
      </w:pPr>
      <w:r>
        <w:rPr>
          <w:rFonts w:ascii="Times New Roman" w:hAnsi="Times New Roman" w:eastAsia="Times New Roman" w:cs="Times New Roman"/>
        </w:rPr>
        <w:t>Нэн орчин үеийн Долоо дахь өдрийн Адвентист түүхчид болон теологичид Уильям Миллерийн асуудалд хэрхэн ханддагийг тунгаан үзэгтүн. Тэд түүний ясыг ухаж гарган, Миссисиппи мөрөнд хаясан мэт ажээ.</w:t>
      </w:r>
    </w:p>
    <w:p>
      <w:pPr>
        <w:pStyle w:val="ArticleScripture"/>
        <w:jc w:val="left"/>
      </w:pPr>
      <w:r>
        <w:rPr>
          <w:rFonts w:ascii="Times New Roman" w:hAnsi="Times New Roman" w:eastAsia="Times New Roman" w:cs="Times New Roman"/>
        </w:rPr>
        <w:t>“William Miller Satanpa reynonata manchakaskachkan, chaymi contran ñiq supay ama llallin willakuypa rurayninlla hark’asqa kananpaqchu maskharqa, aswanpas willakuq runataraq kikin wañuchiyta munarqa. Tayta Miller qhelqakunaq cheqaq yachachikuyninta uyariqkunaq sonqonkuman chiqapta apachiptin, sutillam cristianokunaq phiñakuynin paypaq hatarirqan, imaynatachus judíokunaq piñakuynin Cristo contra, hinallataq apostolninkunapaq hatarirqan. Iglesiapi kaqkuna pisi allin runakunata kuyuchirqanku, hinaspapas achka kuti awqankuna huñunakurqanku kawsayninta qechunaykupaq, huñunakuy wasimanta lluqsisqan p’unchawkunaqa. Ichaqa ch’uyallañan angelkuna runakuna chawpipi kasharqanku, huknintaq, qhari rikch’aypi, kay Señorpa kamachinta makimanta hap’ispa, phiñasqa aswan runakunamanta allinta pusarqa. Llamk’aynin manaraq tukusqachu karqa, chayraykun Satanaspas, kachaqninkunapas munasqankupi pantasqa qheparqanku.” Spirit of Prophecy, volumen 4, 219.</w:t>
      </w:r>
    </w:p>
    <w:p>
      <w:pPr>
        <w:pStyle w:val="ArticleBody"/>
        <w:jc w:val="left"/>
      </w:pPr>
      <w:r>
        <w:rPr>
          <w:rFonts w:ascii="Myanmar Text" w:hAnsi="Myanmar Text" w:eastAsia="Myanmar Text" w:cs="Myanmar Text"/>
        </w:rPr>
        <w:t>သုံးကောင်းကင်တမန်၏</w:t>
      </w:r>
      <w:r>
        <w:rPr>
          <w:rFonts w:ascii="Times New Roman" w:hAnsi="Times New Roman" w:eastAsia="Times New Roman" w:cs="Times New Roman"/>
        </w:rPr>
        <w:t xml:space="preserve"> </w:t>
      </w:r>
      <w:r>
        <w:rPr>
          <w:rFonts w:ascii="Myanmar Text" w:hAnsi="Myanmar Text" w:eastAsia="Myanmar Text" w:cs="Myanmar Text"/>
        </w:rPr>
        <w:t>သတင်းစကားများကို</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ကြေညာဟောပြောသူ</w:t>
      </w:r>
      <w:r>
        <w:rPr>
          <w:rFonts w:ascii="Times New Roman" w:hAnsi="Times New Roman" w:eastAsia="Times New Roman" w:cs="Times New Roman"/>
        </w:rPr>
        <w:t xml:space="preserve"> </w:t>
      </w:r>
      <w:r>
        <w:rPr>
          <w:rFonts w:ascii="Myanmar Text" w:hAnsi="Myanmar Text" w:eastAsia="Myanmar Text" w:cs="Myanmar Text"/>
        </w:rPr>
        <w:t>အပေါင်းတို့သည်</w:t>
      </w:r>
      <w:r>
        <w:rPr>
          <w:rFonts w:ascii="Times New Roman" w:hAnsi="Times New Roman" w:eastAsia="Times New Roman" w:cs="Times New Roman"/>
        </w:rPr>
        <w:t xml:space="preserve"> </w:t>
      </w:r>
      <w:r>
        <w:rPr>
          <w:rFonts w:ascii="Myanmar Text" w:hAnsi="Myanmar Text" w:eastAsia="Myanmar Text" w:cs="Myanmar Text"/>
        </w:rPr>
        <w:t>အသုံးပြုမည်ဟု</w:t>
      </w:r>
      <w:r>
        <w:rPr>
          <w:rFonts w:ascii="Times New Roman" w:hAnsi="Times New Roman" w:eastAsia="Times New Roman" w:cs="Times New Roman"/>
        </w:rPr>
        <w:t xml:space="preserve"> Sister White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အသိပေးထားသော</w:t>
      </w:r>
      <w:r>
        <w:rPr>
          <w:rFonts w:ascii="Times New Roman" w:hAnsi="Times New Roman" w:eastAsia="Times New Roman" w:cs="Times New Roman"/>
        </w:rPr>
        <w:t xml:space="preserve"> Miller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စည်းမျဉ်းများ၏</w:t>
      </w:r>
      <w:r>
        <w:rPr>
          <w:rFonts w:ascii="Times New Roman" w:hAnsi="Times New Roman" w:eastAsia="Times New Roman" w:cs="Times New Roman"/>
        </w:rPr>
        <w:t xml:space="preserve"> </w:t>
      </w:r>
      <w:r>
        <w:rPr>
          <w:rFonts w:ascii="Myanmar Text" w:hAnsi="Myanmar Text" w:eastAsia="Myanmar Text" w:cs="Myanmar Text"/>
        </w:rPr>
        <w:t>မှန်ကန်မှုကို</w:t>
      </w:r>
      <w:r>
        <w:rPr>
          <w:rFonts w:ascii="Times New Roman" w:hAnsi="Times New Roman" w:eastAsia="Times New Roman" w:cs="Times New Roman"/>
        </w:rPr>
        <w:t xml:space="preserve"> Adventism </w:t>
      </w:r>
      <w:r>
        <w:rPr>
          <w:rFonts w:ascii="Myanmar Text" w:hAnsi="Myanmar Text" w:eastAsia="Myanmar Text" w:cs="Myanmar Text"/>
        </w:rPr>
        <w:t>အတွင်းရှိ</w:t>
      </w:r>
      <w:r>
        <w:rPr>
          <w:rFonts w:ascii="Times New Roman" w:hAnsi="Times New Roman" w:eastAsia="Times New Roman" w:cs="Times New Roman"/>
        </w:rPr>
        <w:t xml:space="preserve"> </w:t>
      </w:r>
      <w:r>
        <w:rPr>
          <w:rFonts w:ascii="Myanmar Text" w:hAnsi="Myanmar Text" w:eastAsia="Myanmar Text" w:cs="Myanmar Text"/>
        </w:rPr>
        <w:t>ထိုတူညီသော</w:t>
      </w:r>
      <w:r>
        <w:rPr>
          <w:rFonts w:ascii="Times New Roman" w:hAnsi="Times New Roman" w:eastAsia="Times New Roman" w:cs="Times New Roman"/>
        </w:rPr>
        <w:t xml:space="preserve"> </w:t>
      </w:r>
      <w:r>
        <w:rPr>
          <w:rFonts w:ascii="Myanmar Text" w:hAnsi="Myanmar Text" w:eastAsia="Myanmar Text" w:cs="Myanmar Text"/>
        </w:rPr>
        <w:t>အုပ်စုနှစ်ရပ်</w:t>
      </w:r>
      <w:r>
        <w:rPr>
          <w:rFonts w:ascii="Times New Roman" w:hAnsi="Times New Roman" w:eastAsia="Times New Roman" w:cs="Times New Roman"/>
        </w:rPr>
        <w:t xml:space="preserve"> (</w:t>
      </w:r>
      <w:r>
        <w:rPr>
          <w:rFonts w:ascii="Myanmar Text" w:hAnsi="Myanmar Text" w:eastAsia="Myanmar Text" w:cs="Myanmar Text"/>
        </w:rPr>
        <w:t>ဘုရားရေးရာ</w:t>
      </w:r>
      <w:r>
        <w:rPr>
          <w:rFonts w:ascii="Times New Roman" w:hAnsi="Times New Roman" w:eastAsia="Times New Roman" w:cs="Times New Roman"/>
        </w:rPr>
        <w:t xml:space="preserve"> </w:t>
      </w:r>
      <w:r>
        <w:rPr>
          <w:rFonts w:ascii="Myanmar Text" w:hAnsi="Myanmar Text" w:eastAsia="Myanmar Text" w:cs="Myanmar Text"/>
        </w:rPr>
        <w:t>ပညာရှင်များနှင့်</w:t>
      </w:r>
      <w:r>
        <w:rPr>
          <w:rFonts w:ascii="Times New Roman" w:hAnsi="Times New Roman" w:eastAsia="Times New Roman" w:cs="Times New Roman"/>
        </w:rPr>
        <w:t xml:space="preserve"> </w:t>
      </w:r>
      <w:r>
        <w:rPr>
          <w:rFonts w:ascii="Myanmar Text" w:hAnsi="Myanmar Text" w:eastAsia="Myanmar Text" w:cs="Myanmar Text"/>
        </w:rPr>
        <w:t>သမိုင်းပညာရှင်များ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လျှော့ချဖော်ပြကာ</w:t>
      </w:r>
      <w:r>
        <w:rPr>
          <w:rFonts w:ascii="Times New Roman" w:hAnsi="Times New Roman" w:eastAsia="Times New Roman" w:cs="Times New Roman"/>
        </w:rPr>
        <w:t xml:space="preserve"> </w:t>
      </w:r>
      <w:r>
        <w:rPr>
          <w:rFonts w:ascii="Myanmar Text" w:hAnsi="Myanmar Text" w:eastAsia="Myanmar Text" w:cs="Myanmar Text"/>
        </w:rPr>
        <w:t>ဖုံးကွယ်ထားခဲ့ကြသည်ကို</w:t>
      </w:r>
      <w:r>
        <w:rPr>
          <w:rFonts w:ascii="Times New Roman" w:hAnsi="Times New Roman" w:eastAsia="Times New Roman" w:cs="Times New Roman"/>
        </w:rPr>
        <w:t xml:space="preserve"> </w:t>
      </w:r>
      <w:r>
        <w:rPr>
          <w:rFonts w:ascii="Myanmar Text" w:hAnsi="Myanmar Text" w:eastAsia="Myanmar Text" w:cs="Myanmar Text"/>
        </w:rPr>
        <w:t>ကြည့်ရှုပါ။</w:t>
      </w:r>
    </w:p>
    <w:p>
      <w:pPr>
        <w:pStyle w:val="ArticleScripture"/>
        <w:jc w:val="left"/>
      </w:pPr>
      <w:r>
        <w:rPr>
          <w:rFonts w:ascii="Times New Roman" w:hAnsi="Times New Roman" w:eastAsia="Times New Roman" w:cs="Times New Roman"/>
        </w:rPr>
        <w:t>«Астæуæгтæ, кæцытæ бахъуыд дæттынæн æрцыд æрты æндзæгæй фæстаг хабар, агурынц Священный Фыстæгтæ уыйбæрц пъланæй, куыд æй райста Фадæр Миллер. Чысыл чиныджы, кæцы уæлæн ис Views of the Prophecies and Prophetic Chronology, Фадæр Миллер дæтты ахæм æнцон, фæлæ зондджын æмæ ахсджиаг æгъдæуттæ Библийы ахуыр кæнын æмæ ю æнкъарынæн:—»</w:t>
      </w:r>
    </w:p>
    <w:p>
      <w:pPr>
        <w:pStyle w:val="ArticleScripture"/>
        <w:jc w:val="left"/>
      </w:pPr>
      <w:r>
        <w:rPr>
          <w:rFonts w:ascii="Times New Roman" w:hAnsi="Times New Roman" w:eastAsia="Times New Roman" w:cs="Times New Roman"/>
        </w:rPr>
        <w:t>«[Правила с первого по пятое процитированы.]»</w:t>
      </w:r>
    </w:p>
    <w:p>
      <w:pPr>
        <w:pStyle w:val="ArticleScripture"/>
        <w:jc w:val="left"/>
      </w:pPr>
      <w:r>
        <w:rPr>
          <w:rFonts w:ascii="Times New Roman" w:hAnsi="Times New Roman" w:eastAsia="Times New Roman" w:cs="Times New Roman"/>
        </w:rPr>
        <w:t>«Πάνωθι εἰρημένον μέρος ἐστὶ τῶν κανόνων τούτων· καὶ ἐν τῇ μελέτῃ τῆς Βίβλου πάντες ἡμεῖς καλῶς ποιήσομεν προσέχοντες ταῖς ἀρχαῖς ταῖς ἐκτεθείσαις.» Review and Herald, November 25, 1884.</w:t>
      </w:r>
    </w:p>
    <w:p>
      <w:pPr>
        <w:pStyle w:val="ArticleBody"/>
        <w:jc w:val="left"/>
      </w:pPr>
      <w:r>
        <w:rPr>
          <w:rFonts w:ascii="Times New Roman" w:hAnsi="Times New Roman" w:eastAsia="Times New Roman" w:cs="Times New Roman"/>
        </w:rPr>
        <w:t>Eri ndagisubiramo imirongo itatu y’urudodo rw’amateka y’ubuhanuzi ifitanye isano n’iterambere no gushimangirwa kw’Ijambo ry’Imana, ntibishoboka kubona ubusobanuro bw’icyahamya gikomeye gishyigikira William Miller nk’intumwa yagereranyijwe na Eliya mu gutangaza kwe ubutumwa, kandi nk’uwagereranyijwe na Mose mu isezerano ry’uko Miller azazurwa mu izuka ry’abakiranutsi, kandi nk’uwagereranyijwe na Elisha mu bushake bwe bwo kuva mu murima we no gukorera ubutumwa bwa Eliya. Mushiki wacu White agaragaza abo ntwari uko ari batatu bo muri Bibiliya nk’abagereranya William Miller, we ubu ufatwa n’abahanga mu by’iyobokamana n’abanditsi b’amateka b’Abadiventisiti bo muri iki gihe nk’aho yari gusa “umuhungu w’umukene wo mu murima” wo mu kinyejana cya cumi n’umunani.</w:t>
      </w:r>
    </w:p>
    <w:p>
      <w:pPr>
        <w:pStyle w:val="ArticleBody"/>
        <w:jc w:val="left"/>
      </w:pPr>
      <w:r>
        <w:rPr>
          <w:rFonts w:ascii="Times New Roman" w:hAnsi="Times New Roman" w:eastAsia="Times New Roman" w:cs="Times New Roman"/>
        </w:rPr>
        <w:t>ویلیام ټینډېل یو له هغو ډېرو مصلحانو څخه و چې د نبوي تاریخ په دې لړ کې راپاڅول شوی و. که دا خبره په دې ډول ووایم، د پاپ د هغو استازو پر وړاندې چې له هغوی سره یې تعامل درلود، د هغه «د مأموریت اعلامیه» دا وه: «زه به هغه هلک، چې قلبه چلوي، دې ته ورسوم چې له تاسو څخه په کتابِ مقدس ډېر پوه شي.» ویلیام مېلر هماغه د کروندې هلک و، چې قلبه یې چلوله او د ټینډېل نبوت یې پوره کړ.</w:t>
      </w:r>
    </w:p>
    <w:p>
      <w:pPr>
        <w:pStyle w:val="ArticleBody"/>
        <w:jc w:val="left"/>
      </w:pPr>
      <w:r>
        <w:rPr>
          <w:rFonts w:ascii="Times New Roman" w:hAnsi="Times New Roman" w:eastAsia="Times New Roman" w:cs="Times New Roman"/>
        </w:rPr>
        <w:t>Naqadayn sisitchaqqa ancha allinta pisiqchasqa karqan, kaykama ñawpaqman churayta atisqan llapa historiata qawachispa yanapananpaq. Kunanqa Alpha y Omega-pa wakin firmankunata qhawarisunchis, chaymanta kutirimunapaq Miller-ta huk waymarka hinata, huk kachaq hinatawan yuyayman kutichinapaq.</w:t>
      </w:r>
    </w:p>
    <w:p>
      <w:pPr>
        <w:pStyle w:val="ArticleBody"/>
        <w:jc w:val="left"/>
      </w:pPr>
      <w:r>
        <w:rPr>
          <w:rFonts w:ascii="Times New Roman" w:hAnsi="Times New Roman" w:eastAsia="Times New Roman" w:cs="Times New Roman"/>
        </w:rPr>
        <w:t>پەرتووكی دانیال سەرەتای ئەو پەرتووكەیە کە لە دوو پەرتووك پێکهاتووە. کۆتایی ئەو پەرتووکە پەرتووكی ئاشکرادانە. هەرچەندە ئەوان دوو پەرتووكی جیاوازن، بەیەکەوە یەک پەرتووك نمایندگی دەکەن.</w:t>
      </w:r>
    </w:p>
    <w:p>
      <w:pPr>
        <w:pStyle w:val="ArticleBody"/>
        <w:jc w:val="left"/>
      </w:pPr>
      <w:r>
        <w:rPr>
          <w:rFonts w:ascii="Times New Roman" w:hAnsi="Times New Roman" w:eastAsia="Times New Roman" w:cs="Times New Roman"/>
        </w:rPr>
        <w:t>نسلان من ازگار، من لەگەڵ یەکێک لە ئەلهیدانە ناسراوەکانی کلیسای ئەدفێنتیستی حەوتی ڕۆژ، کە لە مەعهدی لێکۆڵینەوەی کتابییەکانی کۆنفڕانسی گشتیی کلیسای ئەدفێنتیستی حەوتی ڕۆژ کاردەکرد، هەڵسوکەوتێکی گشتییم هەبوو. ئەو ئەلهیدانە هەوڵیدەدا تێگەیشتنی من لە شەش ئایەتی دواوەی دانیال یازدە، هەروەها لە «هەموو ڕۆژانە» لە پەرتوکی دانیال، ڕاست بکاتەوە. لەو هەڵسوکەوتەدا کە ماوەیەک درێژەی کێشا، چونکە بریتی بوو لەوەی ئەو وتارێکی دەرهێنا کە من وەڵامم دایەوە، پاشان ئەویش وەڵامی دایەوە، و دواتر بەدیهی منیش بیرۆکەکانم گەڕاندمەوە، و هتد و هتد. لەو هەڵسوکەوتەدا پێی ڕاگەیاندم کە لەو لیژنەیەی لە کۆنفڕانسی گشتی تێیدا کاردەکرد، بە شارەزای سەرەکیی پەرتوکی دانیال ناسرابوو، و هاوکارێکی ئەویش بە شارەزای دانیشتووی پەرتوکی ئاشکراکردن ناسرابوو. لە هەڵسوکەوتەکانماندا، نەیدەویست خاڵەکانی پەرتوکی ئاشکراکردن بخاتە بەرباس، بەڵکو حەوالەی هاوکارەکەی بدات. دەیویست گفتوگۆکە تەنها لە پەرتوکی دانیالدا بمێنێتەوە.</w:t>
      </w:r>
    </w:p>
    <w:p>
      <w:pPr>
        <w:pStyle w:val="ArticleBody"/>
        <w:jc w:val="left"/>
      </w:pPr>
      <w:r>
        <w:rPr>
          <w:rFonts w:ascii="Times New Roman" w:hAnsi="Times New Roman" w:eastAsia="Times New Roman" w:cs="Times New Roman"/>
        </w:rPr>
        <w:t>خواهر وایت به‌روشنی بیان می‌کند که دانیال و مکاشفه یک کتاب‌اند. در آن سطح، ایشان نمایانگر کتاب‌مقدس‌اند که یک کتاب است و از دو کتاب، یعنی عهد عتیق و عهد جدید، تشکیل شده است. خواهر وایت همچنین دربارهٔ کلیسای یهودی اظهار نظر می‌کند که تنها کتاب قدیم را همان یک کتاب می‌داند، و نیز دربارهٔ کسانی سخن می‌گوید که کتاب قدیم را نادیده می‌گیرند، زیرا آنان تنها کتاب جدید را می‌فهمند یا فقط مایل‌اند آن را بفهمند. شهادت الهام‌شدهٔ او این است که اگر شما فقط جدید را بپذیرید، قدیم را رد می‌کنید، و برعکس. اینکه یک الهی‌دان ادعا کند که در دانیال متخصص بوده است، اما نه در مکاشفه، تکرار همان مفهوم یهودیِ پذیرشِ صرفِ عهد عتیق است، و ما می‌دانیم که آن دیدگاه تنگ‌نظرانه یهودیان را به کجا کشاند. اختیار کردن هر یک از دو سوی این مسئله—پذیرفتن قدیم و نه جدید، یا پذیرفتن جدید، اما نه قدیم—به‌معنای رد کردن تمام شهادت است.</w:t>
      </w:r>
    </w:p>
    <w:p>
      <w:pPr>
        <w:pStyle w:val="ArticleScripture"/>
        <w:jc w:val="left"/>
      </w:pPr>
      <w:r>
        <w:rPr>
          <w:rFonts w:ascii="Times New Roman" w:hAnsi="Times New Roman" w:eastAsia="Times New Roman" w:cs="Times New Roman"/>
        </w:rPr>
        <w:t>“Umkhululi wabuza kubafundi bakhe ukuba baziqonda na ezi zinto. Baphendula bathi, ‘Ewe, Nkosi.’ Waza wathi kubo, ‘Ngoko ke wonke umbhali ofundiselwe ubukumkani bamazulu unjengomninindlu, okhupha ebuncwaneni bakhe izinto ezintsha nezindala.’ Kulo mzekeliso, uYesu wabeka phambi kwabafundi bakhe uxanduva lwabo umsebenzi wabo ikukuze banike ihlabathi ukukhanya abakwamkeleyo kuye. ITestamente eNdala yayiyeyona ncwadi yonke yeZibhalo eyayikho ngelo xesha; kodwa yayingabhalelwanga abantu bamandulo kuphela; yayiyeyazo zonke izizukulwana nabantu bonke. UYesu wayenqwenela ukuba abafundisi bemfundiso yakhe bayiphengulule ngenkuthalo iTestamente eNdala ngenxa yoko kukhanya kuqinisekisa isazisi sakhe njengoMesiya owaxelwa kwangaphambili esiprofetweni, kwaza kwatyhila ubume bomsebenzi wakhe ehlabathini. ITestamente eNdala neNtsha azinakwahlulwa, kuba zombini ziyimfundiso kaKristu. Imfundiso yamaYuda, amkela iTestamente eNdala kuphela, ayisayi kusindisa, kuba ayala uMsindisi obomi bakhe nenkonzo yakhe yayikukuzaliseka komthetho neziprofeto. Kanti nemfundiso yabo bayilahla iTestamente eNdala ayisayi kusindisa, kuba iyayala loo nto ingubungqina obuthe ngqo ngoKristu. Abathandabuzi baqala ngokuyithoba ixabiso iTestamente eNdala, yaye kuthatha elinye inyathelo nje ukwala ukunyaniseka kweNtsha, size ngaloo ndlela zombini zilahlwe.”</w:t>
      </w:r>
    </w:p>
    <w:p>
      <w:pPr>
        <w:pStyle w:val="ArticleScripture"/>
        <w:jc w:val="left"/>
      </w:pPr>
      <w:r>
        <w:rPr>
          <w:rFonts w:ascii="Times New Roman" w:hAnsi="Times New Roman" w:eastAsia="Times New Roman" w:cs="Times New Roman"/>
        </w:rPr>
        <w:t>«یھودیوں کا مسیحی دنیا پر اس امر میں بہت کم اثر ہے کہ وہ اُنہیں احکام کی اہمیت دکھا سکیں، جن میں سبت کی پابند شریعت بھی شامل ہے، کیونکہ وہ حق کے پرانے خزانے پیش کرتے ہوئے، یسوع کی ذاتی تعلیمات میں موجود نئے خزانوں کو ایک طرف رکھ دیتے ہیں۔ دوسری طرف، سب سے قوی سبب یہ ہے کہ مسیحی یھودیوں پر اس قدر اثر انداز نہیں ہو پاتے کہ وہ مسیح کی تعلیمات کو الٰہی حکمت کی زبان کے طور پر قبول کریں، کیونکہ وہ اُس کے کلام کے خزانے پیش کرتے ہوئے، عہدِ عتیق کی دولت کو حقارت سے دیکھتے ہیں، جو موسیٰ کے وسیلہ سے ابنِ خدا کی ابتدائی تعلیمات ہیں۔ وہ اُس شریعت کو رد کرتے ہیں جو سینا سے معلن ہوئی، اور چوتھے حکم کے سبت کو بھی، جو باغِ عدن میں مقرر کیا گیا تھا۔ لیکن انجیل کا خادم، جو مسیح کی تعلیمات کی پیروی کرتا ہے، عہدِ عتیق اور عہدِ جدید دونوں کا کامل علم حاصل کرے گا، تاکہ وہ اُنہیں لوگوں کے سامنے اُن کی حقیقی روشنی میں ایک ناقابلِ انفصال کل کے طور پر پیش کرے—ایک ایسا کل جس میں ایک دوسرے پر موقوف ہے اور دوسرے کو منور کرتا ہے۔ یوں، جیسا کہ یسوع نے اپنے شاگردوں کو تعلیم دی، وہ اپنے خزانے میں سے “نئی اور پرانی چیزیں” نکالیں گے۔» Spirit of Prophecy, volume 2, 255.</w:t>
      </w:r>
    </w:p>
    <w:p>
      <w:pPr>
        <w:pStyle w:val="ArticleBody"/>
        <w:jc w:val="left"/>
      </w:pPr>
      <w:r>
        <w:rPr>
          <w:rFonts w:ascii="Times New Roman" w:hAnsi="Times New Roman" w:eastAsia="Times New Roman" w:cs="Times New Roman"/>
        </w:rPr>
        <w:t>«Алдыңғы кеңес Лаодикиялық адвентистерге қатысты тағы бір қолданылуға ие. Киелі кітапқа толықтай, яғни Ескі және Жаңа Өсиеттердің екеуіне де сенетіндерін мойындай тұра, Пайғамбарлық Рухын теріске шығару — тек бір ғана куәлікті қабылдаудың дәл сол орға түсуі. Ақиқатты орнықтыру үшін екі куәгер қажет, сондықтан ақиқатты бір куәгермен орнықтыру мүмкін емес; ал егер кімде-кім соған әрекет етсе, онда олар екі куәгерді де теріске шығарып отыр, олар өз сенімдерін “жартылай ақиқаттар” деп аталатын нәрсеге негіздеп отыр.»</w:t>
      </w:r>
    </w:p>
    <w:p>
      <w:pPr>
        <w:pStyle w:val="ArticleBody"/>
        <w:jc w:val="left"/>
      </w:pPr>
      <w:r>
        <w:rPr>
          <w:rFonts w:ascii="Times New Roman" w:hAnsi="Times New Roman" w:eastAsia="Times New Roman" w:cs="Times New Roman"/>
        </w:rPr>
        <w:t>Sohut tu pulëi a taksêmna thutûk pakhat, ka lo hman lawmawm a ni, chu Julai, 2023 aṭanga chhuak tawh ziah hmasa zîngah pakhat a ni. Taksêmna chu heti hian a ni, “1863 aṭangin Adventism-ah eng hriatna thar nge a lo chhuak?” Chhânna chu a awlsam hle, “Pakhat mah a awm lo.”</w:t>
      </w:r>
    </w:p>
    <w:p>
      <w:pPr>
        <w:pStyle w:val="ArticleScripture"/>
        <w:jc w:val="left"/>
      </w:pPr>
      <w:r>
        <w:rPr>
          <w:rFonts w:ascii="Times New Roman" w:hAnsi="Times New Roman" w:eastAsia="Times New Roman" w:cs="Times New Roman"/>
        </w:rPr>
        <w:t>«کتێبەکانی دانیال و ئاشکراکردن یەکن. یەکێکیان پێشبینییە، ئەوی دیکە ئاشکراکردنەوەیە؛ یەکێکیان کتێبێکی مۆرکراوە، ئەوی دیکە کتێبێکی کراوەیە. یۆحەننا ئەو نهێنییانەی بیست کە هەورەتۆقەکان دەریان دەکرد، بەڵام فەرمانی پێدرا کە نەیاننووسێت.» Seventh-day Adventist Bible Commentary, volume 7, 971.</w:t>
      </w:r>
    </w:p>
    <w:p>
      <w:pPr>
        <w:pStyle w:val="ArticleBody"/>
        <w:jc w:val="left"/>
      </w:pPr>
      <w:r>
        <w:rPr>
          <w:rFonts w:ascii="Times New Roman" w:hAnsi="Times New Roman" w:eastAsia="Times New Roman" w:cs="Times New Roman"/>
        </w:rPr>
        <w:t>پس آلفا و اُمگا نشان می‌دهد که دانیال نخستین است و مکاشفه آخرین. دانیال نمایانگر آغاز است و مکاشفه نمایانگر پایان ادونتیسم.</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អត្ថបទវិវរណៈជាសៀវភៅដែលបានបិទត្រា</w:t>
      </w:r>
      <w:r>
        <w:rPr>
          <w:rFonts w:ascii="Times New Roman" w:hAnsi="Times New Roman" w:eastAsia="Times New Roman" w:cs="Times New Roman"/>
        </w:rPr>
        <w:t xml:space="preserve"> </w:t>
      </w:r>
      <w:r>
        <w:rPr>
          <w:rFonts w:ascii="Leelawadee UI" w:hAnsi="Leelawadee UI" w:eastAsia="Leelawadee UI" w:cs="Leelawadee UI"/>
        </w:rPr>
        <w:t>ប៉ុន្តែវាក៏ជាសៀវភៅដែលបានបើកផងដែរ។</w:t>
      </w:r>
      <w:r>
        <w:rPr>
          <w:rFonts w:ascii="Times New Roman" w:hAnsi="Times New Roman" w:eastAsia="Times New Roman" w:cs="Times New Roman"/>
        </w:rPr>
        <w:t xml:space="preserve"> </w:t>
      </w:r>
      <w:r>
        <w:rPr>
          <w:rFonts w:ascii="Leelawadee UI" w:hAnsi="Leelawadee UI" w:eastAsia="Leelawadee UI" w:cs="Leelawadee UI"/>
        </w:rPr>
        <w:t>វាកត់ត្រាព្រឹត្តិការណ៍ដ៏អស្ចារ្យដែលនឹងកើតឡើងនៅថ្ងៃចុងក្រោយនៃប្រវត្តិសាស្ត្រពិភពលោកនេះ។</w:t>
      </w:r>
      <w:r>
        <w:rPr>
          <w:rFonts w:ascii="Times New Roman" w:hAnsi="Times New Roman" w:eastAsia="Times New Roman" w:cs="Times New Roman"/>
        </w:rPr>
        <w:t xml:space="preserve"> </w:t>
      </w:r>
      <w:r>
        <w:rPr>
          <w:rFonts w:ascii="Leelawadee UI" w:hAnsi="Leelawadee UI" w:eastAsia="Leelawadee UI" w:cs="Leelawadee UI"/>
        </w:rPr>
        <w:t>សេចក្ដីបង្រៀនក្នុងសៀវភៅនេះមានលក្ខណៈច្បាស់លាស់</w:t>
      </w:r>
      <w:r>
        <w:rPr>
          <w:rFonts w:ascii="Times New Roman" w:hAnsi="Times New Roman" w:eastAsia="Times New Roman" w:cs="Times New Roman"/>
        </w:rPr>
        <w:t xml:space="preserve"> </w:t>
      </w:r>
      <w:r>
        <w:rPr>
          <w:rFonts w:ascii="Leelawadee UI" w:hAnsi="Leelawadee UI" w:eastAsia="Leelawadee UI" w:cs="Leelawadee UI"/>
        </w:rPr>
        <w:t>មិនមែនជារឿងអាថ៌កំបាំង</w:t>
      </w:r>
      <w:r>
        <w:rPr>
          <w:rFonts w:ascii="Times New Roman" w:hAnsi="Times New Roman" w:eastAsia="Times New Roman" w:cs="Times New Roman"/>
        </w:rPr>
        <w:t xml:space="preserve"> </w:t>
      </w:r>
      <w:r>
        <w:rPr>
          <w:rFonts w:ascii="Leelawadee UI" w:hAnsi="Leelawadee UI" w:eastAsia="Leelawadee UI" w:cs="Leelawadee UI"/>
        </w:rPr>
        <w:t>និងមិនអាចយល់បានឡើយ។</w:t>
      </w:r>
      <w:r>
        <w:rPr>
          <w:rFonts w:ascii="Times New Roman" w:hAnsi="Times New Roman" w:eastAsia="Times New Roman" w:cs="Times New Roman"/>
        </w:rPr>
        <w:t xml:space="preserve"> </w:t>
      </w:r>
      <w:r>
        <w:rPr>
          <w:rFonts w:ascii="Leelawadee UI" w:hAnsi="Leelawadee UI" w:eastAsia="Leelawadee UI" w:cs="Leelawadee UI"/>
        </w:rPr>
        <w:t>នៅក្នុងវា</w:t>
      </w:r>
      <w:r>
        <w:rPr>
          <w:rFonts w:ascii="Times New Roman" w:hAnsi="Times New Roman" w:eastAsia="Times New Roman" w:cs="Times New Roman"/>
        </w:rPr>
        <w:t xml:space="preserve"> </w:t>
      </w:r>
      <w:r>
        <w:rPr>
          <w:rFonts w:ascii="Leelawadee UI" w:hAnsi="Leelawadee UI" w:eastAsia="Leelawadee UI" w:cs="Leelawadee UI"/>
        </w:rPr>
        <w:t>ខ្សែបន្ទាត់នៃទំនាយដូចគ្នាត្រូវបានលើកយកមកដូចដែលមាននៅក្នុងដានីយ៉ែល។</w:t>
      </w:r>
      <w:r>
        <w:rPr>
          <w:rFonts w:ascii="Times New Roman" w:hAnsi="Times New Roman" w:eastAsia="Times New Roman" w:cs="Times New Roman"/>
        </w:rPr>
        <w:t xml:space="preserve"> </w:t>
      </w:r>
      <w:r>
        <w:rPr>
          <w:rFonts w:ascii="Leelawadee UI" w:hAnsi="Leelawadee UI" w:eastAsia="Leelawadee UI" w:cs="Leelawadee UI"/>
        </w:rPr>
        <w:t>ទំនាយខ្លះៗ</w:t>
      </w:r>
      <w:r>
        <w:rPr>
          <w:rFonts w:ascii="Times New Roman" w:hAnsi="Times New Roman" w:eastAsia="Times New Roman" w:cs="Times New Roman"/>
        </w:rPr>
        <w:t xml:space="preserve"> </w:t>
      </w:r>
      <w:r>
        <w:rPr>
          <w:rFonts w:ascii="Leelawadee UI" w:hAnsi="Leelawadee UI" w:eastAsia="Leelawadee UI" w:cs="Leelawadee UI"/>
        </w:rPr>
        <w:t>ព្រះបានថ្លែងឡើងវិញ</w:t>
      </w:r>
      <w:r>
        <w:rPr>
          <w:rFonts w:ascii="Times New Roman" w:hAnsi="Times New Roman" w:eastAsia="Times New Roman" w:cs="Times New Roman"/>
        </w:rPr>
        <w:t xml:space="preserve"> </w:t>
      </w:r>
      <w:r>
        <w:rPr>
          <w:rFonts w:ascii="Leelawadee UI" w:hAnsi="Leelawadee UI" w:eastAsia="Leelawadee UI" w:cs="Leelawadee UI"/>
        </w:rPr>
        <w:t>ដោយបង្ហាញថា</w:t>
      </w:r>
      <w:r>
        <w:rPr>
          <w:rFonts w:ascii="Times New Roman" w:hAnsi="Times New Roman" w:eastAsia="Times New Roman" w:cs="Times New Roman"/>
        </w:rPr>
        <w:t xml:space="preserve"> </w:t>
      </w:r>
      <w:r>
        <w:rPr>
          <w:rFonts w:ascii="Leelawadee UI" w:hAnsi="Leelawadee UI" w:eastAsia="Leelawadee UI" w:cs="Leelawadee UI"/>
        </w:rPr>
        <w:t>ត្រូវតែផ្ដល់សារៈសំខាន់ដល់វាទាំងនោះ។</w:t>
      </w:r>
      <w:r>
        <w:rPr>
          <w:rFonts w:ascii="Times New Roman" w:hAnsi="Times New Roman" w:eastAsia="Times New Roman" w:cs="Times New Roman"/>
        </w:rPr>
        <w:t xml:space="preserve"> </w:t>
      </w:r>
      <w:r>
        <w:rPr>
          <w:rFonts w:ascii="Leelawadee UI" w:hAnsi="Leelawadee UI" w:eastAsia="Leelawadee UI" w:cs="Leelawadee UI"/>
        </w:rPr>
        <w:t>ព្រះអម្ចាស់មិនថ្លែងរឿងណាឡើងវិញ</w:t>
      </w:r>
      <w:r>
        <w:rPr>
          <w:rFonts w:ascii="Times New Roman" w:hAnsi="Times New Roman" w:eastAsia="Times New Roman" w:cs="Times New Roman"/>
        </w:rPr>
        <w:t xml:space="preserve"> </w:t>
      </w:r>
      <w:r>
        <w:rPr>
          <w:rFonts w:ascii="Leelawadee UI" w:hAnsi="Leelawadee UI" w:eastAsia="Leelawadee UI" w:cs="Leelawadee UI"/>
        </w:rPr>
        <w:t>ដែលគ្មានសារៈសំខាន់យ៉ាងខ្លាំងនោះឡើយ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Manuscript Releases, volume 9, 8.</w:t>
      </w:r>
    </w:p>
    <w:p>
      <w:pPr>
        <w:pStyle w:val="ArticleBody"/>
        <w:jc w:val="left"/>
      </w:pPr>
      <w:r>
        <w:rPr>
          <w:rFonts w:ascii="Times New Roman" w:hAnsi="Times New Roman" w:eastAsia="Times New Roman" w:cs="Times New Roman"/>
        </w:rPr>
        <w:t>Ningthougi Adventism-gi houjik makhada, Adventism-gi mapung phangba yathang oiriba verseshsingdagi, 1798-ta unsealed toukhiba verseshsing aduda; Jisus-na mahakpu “Palmoni,” angangba Numberer haibasi khudongchaba oina pukhatlakhi. Adventism-gi loiba matamda, Jisus-na mahakpu “Alpha and Omega,” angangba linguist—Eigi Iswar-gi Wahei oina pukhatli. Maram asina, Adventism-gi houjik amasung ahanba angel-gi message asi “matamdagi hanging toure.” Adventism-gi loiba matamda, ahumsuba angel-gi message asi Mahakki Waheidagi hanging tougani.</w:t>
      </w:r>
    </w:p>
    <w:p>
      <w:pPr>
        <w:pStyle w:val="ArticleBody"/>
        <w:jc w:val="left"/>
      </w:pPr>
      <w:r>
        <w:rPr>
          <w:rFonts w:ascii="Javanese Text" w:hAnsi="Javanese Text" w:eastAsia="Javanese Text" w:cs="Javanese Text"/>
        </w:rPr>
        <w:t>꧋ꦲꦩꦸꦮꦶꦠꦤ꧀</w:t>
      </w:r>
      <w:r>
        <w:rPr>
          <w:rFonts w:ascii="Times New Roman" w:hAnsi="Times New Roman" w:eastAsia="Times New Roman" w:cs="Times New Roman"/>
        </w:rPr>
        <w:t xml:space="preserve"> lan </w:t>
      </w:r>
      <w:r>
        <w:rPr>
          <w:rFonts w:ascii="Javanese Text" w:hAnsi="Javanese Text" w:eastAsia="Javanese Text" w:cs="Javanese Text"/>
        </w:rPr>
        <w:t>ꦥꦸꦚ꧀ꦕꦏꦤ꧀</w:t>
      </w:r>
      <w:r>
        <w:rPr>
          <w:rFonts w:ascii="Times New Roman" w:hAnsi="Times New Roman" w:eastAsia="Times New Roman" w:cs="Times New Roman"/>
        </w:rPr>
        <w:t xml:space="preserve"> Adventism kalampahan ana ing sajroning sajarahing karajan kaping nem wonten ing wangsit Kitab Suci, mila kaloronipun ugi kalampahan ing wekdal wiwitan lan wekasanipun Amérika Sarékat. Sajarahing wangsit tumrap Amérika Sarékat punika inggih sajarahing kalih sungging, yaiku Republicanism lan Protestantism. Ing pungkasaning sajarah punika, kalih sungging wau badhé sampun ewah saking cempaka dados naga. Republicanism badhé ewah dados demokrasi, lan Protestantism badhé ewah dados Protestantism murtad. Nalika tuwunging wekdal pangobaraning sih tumrap Amérika Sarékat wiwit nyedhak pungkasanipun, kados ingkang saweg kalampahan sapunika, kalih sungging apostate Republicanism lan apostate Protestantism badhé damel gambaring kéwan punika, satemah greja lan nagari nyawiji dados satunggal sungging ingkang micara kados naga. Nanging Gusti Allah boten badhé tanpa paseksi, awit ing sajroning proses ngirid pungkasan tumrap Amérika Sarékat, Panjenenganipun badhé ngedegaken sungging Protestantism ingkang sejati kanggé mbantah, ing satunggal sisih, gambaring kéwan ing Amérika Sarékat, lan salajengipun gambaring kéwan ingkang ngadhepi jagad kabèh. Pangadeging sungging Protestant punika ing pungkasaning Amérika Sarékat badhé kalampahan wonten ing struktur sajarah ingkang sami kados sungging Protestant ingkang kaedegaken ing wiwitaning Amérika Sarékat. Satunggaling umat prajanjian ing jaman rumiyin badhé kasisihaké, lan umat enggal badhé dados umat prajanjian ingkang enggal. Boten wonten prekawis énggal wonten ing sangandhaping srengéngé.</w:t>
      </w:r>
    </w:p>
    <w:p>
      <w:pPr>
        <w:pStyle w:val="ArticleBody"/>
        <w:jc w:val="left"/>
      </w:pPr>
      <w:r>
        <w:rPr>
          <w:rFonts w:ascii="Times New Roman" w:hAnsi="Times New Roman" w:eastAsia="Times New Roman" w:cs="Times New Roman"/>
        </w:rPr>
        <w:t>Cuando usamos las profecías de tiempo comprendidas y presentadas en la historia millerita para evaluar el Alfa y la Omega, hallamos que son una y la misma cosa. Toda profecía de tiempo comienza con una historia en la que la profecía es proclamada, y esa historia siempre tipifica la historia en la que la profecía se cumple.</w:t>
      </w:r>
    </w:p>
    <w:p>
      <w:pPr>
        <w:pStyle w:val="ArticleBody"/>
        <w:jc w:val="left"/>
      </w:pP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ꯇꯥꯔꯦꯠꯁꯨꯃ</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ꯄ꯭ꯔꯣꯐꯦꯁꯤꯗꯨꯒꯤ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457 BC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ꯌꯥꯊꯪꯗꯒꯤ</w:t>
      </w:r>
      <w:r>
        <w:rPr>
          <w:rFonts w:ascii="Times New Roman" w:hAnsi="Times New Roman" w:eastAsia="Times New Roman" w:cs="Times New Roman"/>
        </w:rPr>
        <w:t xml:space="preserve"> </w:t>
      </w:r>
      <w:r>
        <w:rPr>
          <w:rFonts w:ascii="Nirmala UI" w:hAnsi="Nirmala UI" w:eastAsia="Nirmala UI" w:cs="Nirmala UI"/>
        </w:rPr>
        <w:t>ꯍꯧꯔꯛꯈꯤ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1844 </w:t>
      </w:r>
      <w:r>
        <w:rPr>
          <w:rFonts w:ascii="Nirmala UI" w:hAnsi="Nirmala UI" w:eastAsia="Nirmala UI" w:cs="Nirmala UI"/>
        </w:rPr>
        <w:t>ꯆꯍꯤꯒꯤ</w:t>
      </w:r>
      <w:r>
        <w:rPr>
          <w:rFonts w:ascii="Times New Roman" w:hAnsi="Times New Roman" w:eastAsia="Times New Roman" w:cs="Times New Roman"/>
        </w:rPr>
        <w:t xml:space="preserve"> </w:t>
      </w:r>
      <w:r>
        <w:rPr>
          <w:rFonts w:ascii="Nirmala UI" w:hAnsi="Nirmala UI" w:eastAsia="Nirmala UI" w:cs="Nirmala UI"/>
        </w:rPr>
        <w:t>ꯑꯣꯛꯇꯣꯕꯔ</w:t>
      </w:r>
      <w:r>
        <w:rPr>
          <w:rFonts w:ascii="Times New Roman" w:hAnsi="Times New Roman" w:eastAsia="Times New Roman" w:cs="Times New Roman"/>
        </w:rPr>
        <w:t xml:space="preserve"> 22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ꯄꯥꯎꯗꯥ</w:t>
      </w:r>
      <w:r>
        <w:rPr>
          <w:rFonts w:ascii="Times New Roman" w:hAnsi="Times New Roman" w:eastAsia="Times New Roman" w:cs="Times New Roman"/>
        </w:rPr>
        <w:t xml:space="preserve"> </w:t>
      </w:r>
      <w:r>
        <w:rPr>
          <w:rFonts w:ascii="Nirmala UI" w:hAnsi="Nirmala UI" w:eastAsia="Nirmala UI" w:cs="Nirmala UI"/>
        </w:rPr>
        <w:t>ꯂꯣꯏꯁꯤꯜꯂꯦ꯫</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ꯌꯥꯊꯪꯑꯗꯨ</w:t>
      </w:r>
      <w:r>
        <w:rPr>
          <w:rFonts w:ascii="Times New Roman" w:hAnsi="Times New Roman" w:eastAsia="Times New Roman" w:cs="Times New Roman"/>
        </w:rPr>
        <w:t xml:space="preserve"> </w:t>
      </w:r>
      <w:r>
        <w:rPr>
          <w:rFonts w:ascii="Nirmala UI" w:hAnsi="Nirmala UI" w:eastAsia="Nirmala UI" w:cs="Nirmala UI"/>
        </w:rPr>
        <w:t>ꯂꯥꯛꯄꯒꯤ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ꯂꯥꯛꯄꯥꯗꯒꯤ</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ꯂꯥꯏꯕꯥꯛ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ꯌꯦꯔꯨꯁꯂꯦꯝ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ꯁꯝꯍꯠꯄꯒꯤ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ꯃꯌꯥꯝꯁꯦ</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ꯐꯥꯔꯛꯈꯤ꯫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ꯃꯥꯅꯨꯡ</w:t>
      </w:r>
      <w:r>
        <w:rPr>
          <w:rFonts w:ascii="Times New Roman" w:hAnsi="Times New Roman" w:eastAsia="Times New Roman" w:cs="Times New Roman"/>
        </w:rPr>
        <w:t xml:space="preserve"> </w:t>
      </w:r>
      <w:r>
        <w:rPr>
          <w:rFonts w:ascii="Nirmala UI" w:hAnsi="Nirmala UI" w:eastAsia="Nirmala UI" w:cs="Nirmala UI"/>
        </w:rPr>
        <w:t>ꯆꯥꯟꯅꯥ</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ꯑꯦꯟꯖꯦꯜꯗꯨ</w:t>
      </w:r>
      <w:r>
        <w:rPr>
          <w:rFonts w:ascii="Times New Roman" w:hAnsi="Times New Roman" w:eastAsia="Times New Roman" w:cs="Times New Roman"/>
        </w:rPr>
        <w:t xml:space="preserve"> </w:t>
      </w:r>
      <w:r>
        <w:rPr>
          <w:rFonts w:ascii="Nirmala UI" w:hAnsi="Nirmala UI" w:eastAsia="Nirmala UI" w:cs="Nirmala UI"/>
        </w:rPr>
        <w:t>ꯂꯥꯛꯄꯒꯤ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ꯄꯨꯋꯥꯔꯤꯗꯥ</w:t>
      </w:r>
      <w:r>
        <w:rPr>
          <w:rFonts w:ascii="Times New Roman" w:hAnsi="Times New Roman" w:eastAsia="Times New Roman" w:cs="Times New Roman"/>
        </w:rPr>
        <w:t xml:space="preserve">, </w:t>
      </w:r>
      <w:r>
        <w:rPr>
          <w:rFonts w:ascii="Nirmala UI" w:hAnsi="Nirmala UI" w:eastAsia="Nirmala UI" w:cs="Nirmala UI"/>
        </w:rPr>
        <w:t>ꯃꯤꯂ꯭ꯂꯔꯥꯏꯠ</w:t>
      </w:r>
      <w:r>
        <w:rPr>
          <w:rFonts w:ascii="Times New Roman" w:hAnsi="Times New Roman" w:eastAsia="Times New Roman" w:cs="Times New Roman"/>
        </w:rPr>
        <w:t xml:space="preserve"> </w:t>
      </w:r>
      <w:r>
        <w:rPr>
          <w:rFonts w:ascii="Nirmala UI" w:hAnsi="Nirmala UI" w:eastAsia="Nirmala UI" w:cs="Nirmala UI"/>
        </w:rPr>
        <w:t>ꯂꯥꯏꯕꯥꯛꯒꯤ</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ꯇꯥꯔꯛꯈꯤ꯫</w:t>
      </w:r>
    </w:p>
    <w:p>
      <w:pPr>
        <w:pStyle w:val="ArticleBody"/>
        <w:jc w:val="left"/>
      </w:pPr>
      <w:r>
        <w:rPr>
          <w:rFonts w:ascii="Times New Roman" w:hAnsi="Times New Roman" w:eastAsia="Times New Roman" w:cs="Times New Roman"/>
        </w:rPr>
        <w:t>1798 йылда, б. э. т. 723 йылда төньяҡтағы ун ҡәбиләнең таралыуы менән башланған ике мең биш йөҙ егерме йыллыҡ пәйғәмбәрлек үтәлде. Был пәйғәмбәрлек мең ике йөҙ алтмыш йыллыҡ ике осорҙо айырып күрһәтә: тәүгеһе — мәжүси Римдың һүҙмә-һүҙ ғибәҙәтхананы һәм һүҙмә-һүҙ Иерусалимды тапауын, ә унан һуң икенсе мең ике йөҙ алтмыш йыл — папалыҡ Римының рухи ҡаланы һәм ғибәҙәтхананы тапауын. Пәйғәмбәрлек төньяҡ батшалыҡтың емерелеүе һәм батшалыҡ халҡының таралыуы менән башланды. Был пәйғәмбәрлектең уртаһында, 538 йылда, Изге Яҙма пәйғәмбәрлегенең дүртенсе батшалығы булған мәжүси Римдың Алла халҡын тапауына һуң ҡуйыла һәм Алланың сиркәүе Ҡараңғы быуаттар сүллегенә таратыла. Был ваҡыт пәйғәмбәрлегенең 1798 йылдағы аҙағы Изге Яҙма пәйғәмбәрлегенең бишенсе батшалығының аҙағын билдәләй. Төньяҡтағы ун ҡәбиләнең таралыуы, шулай уҡ сүллеккә ҡасҡан мәсихсе сиркәүҙең таралыуы, протестантизм мөгөҙөнә әйләнергә тәғәйенләнгәндәрҙең йыйылыуын кәүҙәләндерә. Ваҡыт билдәләре йыш ҡына ҡапма-ҡаршылар аша күрһәтелә, һәм таралыу йыйылыуҙы кәүҙәләндерә ала, нәҡ Илияның Сумдырыусы Яхъяны кәүҙәләндереүе кеүек. Шул уҡ пәйғәмбәрлек ҡаршы тороуында Илия үлмәй, ә Сумдырыусы Яхъя үлә.</w:t>
      </w:r>
    </w:p>
    <w:p>
      <w:pPr>
        <w:pStyle w:val="ArticleBody"/>
        <w:jc w:val="left"/>
      </w:pPr>
      <w:r>
        <w:rPr>
          <w:rFonts w:ascii="Times New Roman" w:hAnsi="Times New Roman" w:eastAsia="Times New Roman" w:cs="Times New Roman"/>
        </w:rPr>
        <w:t>677 BC</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တောင်ပိုင်းအနွယ်</w:t>
      </w:r>
      <w:r>
        <w:rPr>
          <w:rFonts w:ascii="Times New Roman" w:hAnsi="Times New Roman" w:eastAsia="Times New Roman" w:cs="Times New Roman"/>
        </w:rPr>
        <w:t xml:space="preserve"> </w:t>
      </w:r>
      <w:r>
        <w:rPr>
          <w:rFonts w:ascii="Myanmar Text" w:hAnsi="Myanmar Text" w:eastAsia="Myanmar Text" w:cs="Myanmar Text"/>
        </w:rPr>
        <w:t>ယုဒသည်</w:t>
      </w:r>
      <w:r>
        <w:rPr>
          <w:rFonts w:ascii="Times New Roman" w:hAnsi="Times New Roman" w:eastAsia="Times New Roman" w:cs="Times New Roman"/>
        </w:rPr>
        <w:t xml:space="preserve"> (</w:t>
      </w:r>
      <w:r>
        <w:rPr>
          <w:rFonts w:ascii="Myanmar Text" w:hAnsi="Myanmar Text" w:eastAsia="Myanmar Text" w:cs="Myanmar Text"/>
        </w:rPr>
        <w:t>ကျမ်းစာများ၌</w:t>
      </w:r>
      <w:r>
        <w:rPr>
          <w:rFonts w:ascii="Times New Roman" w:hAnsi="Times New Roman" w:eastAsia="Times New Roman" w:cs="Times New Roman"/>
        </w:rPr>
        <w:t xml:space="preserve"> </w:t>
      </w:r>
      <w:r>
        <w:rPr>
          <w:rFonts w:ascii="Myanmar Text" w:hAnsi="Myanmar Text" w:eastAsia="Myanmar Text" w:cs="Myanmar Text"/>
        </w:rPr>
        <w:t>ဘုန်းတော်ကြီးမြတ်သောပြည်ဟုလည်း</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နှစ်နှစ်ထောင်ငါးရာနှစ်ဆယ်ကြာ</w:t>
      </w:r>
      <w:r>
        <w:rPr>
          <w:rFonts w:ascii="Times New Roman" w:hAnsi="Times New Roman" w:eastAsia="Times New Roman" w:cs="Times New Roman"/>
        </w:rPr>
        <w:t xml:space="preserve"> </w:t>
      </w:r>
      <w:r>
        <w:rPr>
          <w:rFonts w:ascii="Myanmar Text" w:hAnsi="Myanmar Text" w:eastAsia="Myanmar Text" w:cs="Myanmar Text"/>
        </w:rPr>
        <w:t>ပျံ့နှံ့ခွဲခြားခံခဲ့ရပြီး၊</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22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အဆုံးသတ်ခဲ့သည်။</w:t>
      </w:r>
      <w:r>
        <w:rPr>
          <w:rFonts w:ascii="Times New Roman" w:hAnsi="Times New Roman" w:eastAsia="Times New Roman" w:cs="Times New Roman"/>
        </w:rPr>
        <w:t xml:space="preserve"> </w:t>
      </w:r>
      <w:r>
        <w:rPr>
          <w:rFonts w:ascii="Myanmar Text" w:hAnsi="Myanmar Text" w:eastAsia="Myanmar Text" w:cs="Myanmar Text"/>
        </w:rPr>
        <w:t>ထိုပရောဖက်ပြုချက်သည်</w:t>
      </w:r>
      <w:r>
        <w:rPr>
          <w:rFonts w:ascii="Times New Roman" w:hAnsi="Times New Roman" w:eastAsia="Times New Roman" w:cs="Times New Roman"/>
        </w:rPr>
        <w:t xml:space="preserve"> </w:t>
      </w:r>
      <w:r>
        <w:rPr>
          <w:rFonts w:ascii="Myanmar Text" w:hAnsi="Myanmar Text" w:eastAsia="Myanmar Text" w:cs="Myanmar Text"/>
        </w:rPr>
        <w:t>ဘုရားသခင်၏လူမျိုးတော်တို့အား</w:t>
      </w:r>
      <w:r>
        <w:rPr>
          <w:rFonts w:ascii="Times New Roman" w:hAnsi="Times New Roman" w:eastAsia="Times New Roman" w:cs="Times New Roman"/>
        </w:rPr>
        <w:t xml:space="preserve"> </w:t>
      </w:r>
      <w:r>
        <w:rPr>
          <w:rFonts w:ascii="Myanmar Text" w:hAnsi="Myanmar Text" w:eastAsia="Myanmar Text" w:cs="Myanmar Text"/>
        </w:rPr>
        <w:t>နင်းချေဖျက်ဆီးခြင်းကို</w:t>
      </w:r>
      <w:r>
        <w:rPr>
          <w:rFonts w:ascii="Times New Roman" w:hAnsi="Times New Roman" w:eastAsia="Times New Roman" w:cs="Times New Roman"/>
        </w:rPr>
        <w:t xml:space="preserve"> </w:t>
      </w:r>
      <w:r>
        <w:rPr>
          <w:rFonts w:ascii="Myanmar Text" w:hAnsi="Myanmar Text" w:eastAsia="Myanmar Text" w:cs="Myanmar Text"/>
        </w:rPr>
        <w:t>ဖော်ထုတ်ညွှန်ပြထားခြင်းဖြစ်ပြီး၊</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8:13, 14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ဒါနိယေလက</w:t>
      </w:r>
      <w:r>
        <w:rPr>
          <w:rFonts w:ascii="Times New Roman" w:hAnsi="Times New Roman" w:eastAsia="Times New Roman" w:cs="Times New Roman"/>
        </w:rPr>
        <w:t xml:space="preserve"> </w:t>
      </w:r>
      <w:r>
        <w:rPr>
          <w:rFonts w:ascii="Myanmar Text" w:hAnsi="Myanmar Text" w:eastAsia="Myanmar Text" w:cs="Myanmar Text"/>
        </w:rPr>
        <w:t>ထိုသူတို့ကို</w:t>
      </w:r>
      <w:r>
        <w:rPr>
          <w:rFonts w:ascii="Times New Roman" w:hAnsi="Times New Roman" w:eastAsia="Times New Roman" w:cs="Times New Roman"/>
        </w:rPr>
        <w:t xml:space="preserve"> “host”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သတ်မှတ်ဖော်ပြထားသည်။</w:t>
      </w:r>
    </w:p>
    <w:p>
      <w:pPr>
        <w:pStyle w:val="ArticleScripture"/>
        <w:jc w:val="left"/>
      </w:pPr>
      <w:r>
        <w:rPr>
          <w:rFonts w:ascii="Times New Roman" w:hAnsi="Times New Roman" w:eastAsia="Times New Roman" w:cs="Times New Roman"/>
        </w:rPr>
        <w:t>Шундуй чагда мен бир арыгның чугаалаанын дыңнадым, ынчангаш о ол чугаалаан билиг арыгга өске арыг: «Күннүг өргүүнүң, хоорайды боштадар буруянныӊ үзүглели қачанға чедер? Ыдыктыг черни дээш, чер чонну дээш дэвсиглеттирип, аныякка таптаттырар?» — деп айытты. Ол мага: «Ийи мынга үч чүз хонукқа чедир; андан соң ыдыктыг чер арыттырылыр», — деди. Даниил 8:13, 14.</w:t>
      </w:r>
    </w:p>
    <w:p>
      <w:pPr>
        <w:pStyle w:val="ArticleBody"/>
        <w:jc w:val="left"/>
      </w:pPr>
      <w:r>
        <w:rPr>
          <w:rFonts w:ascii="Nirmala UI" w:hAnsi="Nirmala UI" w:eastAsia="Nirmala UI" w:cs="Nirmala UI"/>
        </w:rPr>
        <w:t>दूहजार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w:t>
      </w:r>
      <w:r>
        <w:rPr>
          <w:rFonts w:ascii="Nirmala UI" w:hAnsi="Nirmala UI" w:eastAsia="Nirmala UI" w:cs="Nirmala UI"/>
        </w:rPr>
        <w:t>पू</w:t>
      </w:r>
      <w:r>
        <w:rPr>
          <w:rFonts w:ascii="Times New Roman" w:hAnsi="Times New Roman" w:eastAsia="Times New Roman" w:cs="Times New Roman"/>
        </w:rPr>
        <w:t xml:space="preserve">. </w:t>
      </w:r>
      <w:r>
        <w:rPr>
          <w:rFonts w:ascii="Nirmala UI" w:hAnsi="Nirmala UI" w:eastAsia="Nirmala UI" w:cs="Nirmala UI"/>
        </w:rPr>
        <w:t>६७७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भविष्यवाणीसँगै</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८</w:t>
      </w:r>
      <w:r>
        <w:rPr>
          <w:rFonts w:ascii="Times New Roman" w:hAnsi="Times New Roman" w:eastAsia="Times New Roman" w:cs="Times New Roman"/>
        </w:rPr>
        <w:t>:</w:t>
      </w:r>
      <w:r>
        <w:rPr>
          <w:rFonts w:ascii="Nirmala UI" w:hAnsi="Nirmala UI" w:eastAsia="Nirmala UI" w:cs="Nirmala UI"/>
        </w:rPr>
        <w:t>१३</w:t>
      </w:r>
      <w:r>
        <w:rPr>
          <w:rFonts w:ascii="Times New Roman" w:hAnsi="Times New Roman" w:eastAsia="Times New Roman" w:cs="Times New Roman"/>
        </w:rPr>
        <w:t xml:space="preserve">, </w:t>
      </w:r>
      <w:r>
        <w:rPr>
          <w:rFonts w:ascii="Nirmala UI" w:hAnsi="Nirmala UI" w:eastAsia="Nirmala UI" w:cs="Nirmala UI"/>
        </w:rPr>
        <w:t>१४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पवित्रस्थानको</w:t>
      </w:r>
      <w:r>
        <w:rPr>
          <w:rFonts w:ascii="Times New Roman" w:hAnsi="Times New Roman" w:eastAsia="Times New Roman" w:cs="Times New Roman"/>
        </w:rPr>
        <w:t xml:space="preserve"> </w:t>
      </w:r>
      <w:r>
        <w:rPr>
          <w:rFonts w:ascii="Nirmala UI" w:hAnsi="Nirmala UI" w:eastAsia="Nirmala UI" w:cs="Nirmala UI"/>
        </w:rPr>
        <w:t>कुल्चाइलाई</w:t>
      </w:r>
      <w:r>
        <w:rPr>
          <w:rFonts w:ascii="Times New Roman" w:hAnsi="Times New Roman" w:eastAsia="Times New Roman" w:cs="Times New Roman"/>
        </w:rPr>
        <w:t xml:space="preserve"> </w:t>
      </w:r>
      <w:r>
        <w:rPr>
          <w:rFonts w:ascii="Nirmala UI" w:hAnsi="Nirmala UI" w:eastAsia="Nirmala UI" w:cs="Nirmala UI"/>
        </w:rPr>
        <w:t>जनाइरहेको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w:t>
      </w:r>
      <w:r>
        <w:rPr>
          <w:rFonts w:ascii="Nirmala UI" w:hAnsi="Nirmala UI" w:eastAsia="Nirmala UI" w:cs="Nirmala UI"/>
        </w:rPr>
        <w:t>पू</w:t>
      </w:r>
      <w:r>
        <w:rPr>
          <w:rFonts w:ascii="Times New Roman" w:hAnsi="Times New Roman" w:eastAsia="Times New Roman" w:cs="Times New Roman"/>
        </w:rPr>
        <w:t xml:space="preserve">. </w:t>
      </w:r>
      <w:r>
        <w:rPr>
          <w:rFonts w:ascii="Nirmala UI" w:hAnsi="Nirmala UI" w:eastAsia="Nirmala UI" w:cs="Nirmala UI"/>
        </w:rPr>
        <w:t>६७७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यहूदाको</w:t>
      </w:r>
      <w:r>
        <w:rPr>
          <w:rFonts w:ascii="Times New Roman" w:hAnsi="Times New Roman" w:eastAsia="Times New Roman" w:cs="Times New Roman"/>
        </w:rPr>
        <w:t xml:space="preserve"> </w:t>
      </w:r>
      <w:r>
        <w:rPr>
          <w:rFonts w:ascii="Nirmala UI" w:hAnsi="Nirmala UI" w:eastAsia="Nirmala UI" w:cs="Nirmala UI"/>
        </w:rPr>
        <w:t>छरपस्ट</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नबूकदनेसरका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आक्रमणहरूद्वारा</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आगमनसँगै</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भयो।</w:t>
      </w:r>
    </w:p>
    <w:p>
      <w:pPr>
        <w:pStyle w:val="ArticleBody"/>
        <w:jc w:val="left"/>
      </w:pPr>
      <w:r>
        <w:rPr>
          <w:rFonts w:ascii="Times New Roman" w:hAnsi="Times New Roman" w:eastAsia="Times New Roman" w:cs="Times New Roman"/>
        </w:rPr>
        <w:t xml:space="preserve">1798 </w:t>
      </w:r>
      <w:r>
        <w:rPr>
          <w:rFonts w:ascii="Nirmala UI" w:hAnsi="Nirmala UI" w:eastAsia="Nirmala UI" w:cs="Nirmala UI"/>
        </w:rPr>
        <w:t>और</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2520-</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निर्देश</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हेरोदेस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पुनरुद्धार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कुतर्क</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يهۇدىيلەرنىڭ پاسخا بايرىمى يېقىنلاشقانىدى، ئەيسا يېرۇسالېمگە چىقتى؛ ئىبادەتخانىدا كالا، قوي ۋە كەپتەر ساتقىچىلارنى، شۇنداقلا پۇل ئالماشتۇرغۇچىلارنىڭ ئولتۇرغانلىقىنى كۆردى. ئۇ كىچىك ئارغامچىلاردىن بىر قامچا ياساپ، ئۇلارنىڭ ھەممىسىنى، قويلىرىنى ۋە كالىلىرىنىمۇ قوشۇپ، ئىبادەتخانىدىن ھەيدەپ چىقاردى؛ پۇل ئالماشتۇرغۇچىلارنىڭ پۇللىرىنى چاچىۋېتىپ، ئۈستەللىرىنى ئۆرۈۋەتتى. كەپتەر ساتقۇچىلارغا: «بۇ نەرسىلەرنى بۇ يەردىن ئېلىپ كېتىڭلار؛ ئاتامنىڭ ئۆيىنى سودا-سېتىق ئۆيى قىلماڭلار» دېدى. شۇ چاغدا ئۇنىڭ شاگىرتلىرى: «سېنىڭ ئۆيۈڭگە بولغان غەيرىتىم مېنى يەپ تۈگەتتى» دەپ يېزىلغانلىقىنى ئەسلىدى. شۇنىڭ بىلەن يېھۇدىيلەر ئۇنىڭغا جاۋاب بېرىپ: «سەن بۇ ئىشلارنى قىلىۋاتقان بولساڭ، بىزگە قانداق بىر بەلگە كۆرسىتىسەن؟» دېدى. ئەيسا ئۇلارغا جاۋاب بېرىپ: «بۇ ئىبادەتخانىنى يىقىڭلار، مەن ئۇنى ئۈچ كۈندە قايتا تۇرغۇزىمەن» دېدى. شۇنىڭ بىلەن يېھۇدىيلەر: «بۇ ئىبادەتخانا قىرىق ئالتە يىلدا سېلىندى، سەن ئۇنى ئۈچ كۈندە تۇرغۇزامسەن؟» دېدى. لېكىن ئۇ ئۆز تېنىنىڭ ئىبادەتخانىسى توغرىسىدا سۆزلىگەن ئىدى. شۇڭا، ئۇ ئۆلۈكلەر ئارىسىدىن تىرىلگەندىن كېيىن، شاگىرتلىرى ئۇنىڭ بۇنى ئېيتقانلىقىنى ئەسلىدى؛ ۋە ئۇلار مۇقەددەس يازمىغا ۋە ئەيسا ئېيتقان سۆزگە ئىشەندى. يۇھاننا 2:13–22.</w:t>
      </w:r>
    </w:p>
    <w:p>
      <w:pPr>
        <w:pStyle w:val="ArticleBody"/>
        <w:jc w:val="left"/>
      </w:pP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समाप्तिमा</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परिपूर्तिमा</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वर्षपछि</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वर्षहरू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आगमनसँग</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आगमनसँग</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भन्नुभयो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उठाइनेछ।</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तपाईं</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तथ्यहरू</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इच्छुक</w:t>
      </w:r>
      <w:r>
        <w:rPr>
          <w:rFonts w:ascii="Times New Roman" w:hAnsi="Times New Roman" w:eastAsia="Times New Roman" w:cs="Times New Roman"/>
        </w:rPr>
        <w:t xml:space="preserve"> </w:t>
      </w:r>
      <w:r>
        <w:rPr>
          <w:rFonts w:ascii="Nirmala UI" w:hAnsi="Nirmala UI" w:eastAsia="Nirmala UI" w:cs="Nirmala UI"/>
        </w:rPr>
        <w:t>हुनुहुन्न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समस्याहरूका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अनिच्छुक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अपरिवर्तित</w:t>
      </w:r>
      <w:r>
        <w:rPr>
          <w:rFonts w:ascii="Times New Roman" w:hAnsi="Times New Roman" w:eastAsia="Times New Roman" w:cs="Times New Roman"/>
        </w:rPr>
        <w:t xml:space="preserve"> </w:t>
      </w:r>
      <w:r>
        <w:rPr>
          <w:rFonts w:ascii="Nirmala UI" w:hAnsi="Nirmala UI" w:eastAsia="Nirmala UI" w:cs="Nirmala UI"/>
        </w:rPr>
        <w:t>हृदयमा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समस्याहरूभन्दा</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समस्याहरू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समस्या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दोहोरिन्छ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दृष्टिकोणबाट</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वचनतर्फ</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तपाईं</w:t>
      </w:r>
      <w:r>
        <w:rPr>
          <w:rFonts w:ascii="Times New Roman" w:hAnsi="Times New Roman" w:eastAsia="Times New Roman" w:cs="Times New Roman"/>
        </w:rPr>
        <w:t xml:space="preserve"> </w:t>
      </w:r>
      <w:r>
        <w:rPr>
          <w:rFonts w:ascii="Nirmala UI" w:hAnsi="Nirmala UI" w:eastAsia="Nirmala UI" w:cs="Nirmala UI"/>
        </w:rPr>
        <w:t>इच्छुक</w:t>
      </w:r>
      <w:r>
        <w:rPr>
          <w:rFonts w:ascii="Times New Roman" w:hAnsi="Times New Roman" w:eastAsia="Times New Roman" w:cs="Times New Roman"/>
        </w:rPr>
        <w:t xml:space="preserve"> </w:t>
      </w:r>
      <w:r>
        <w:rPr>
          <w:rFonts w:ascii="Nirmala UI" w:hAnsi="Nirmala UI" w:eastAsia="Nirmala UI" w:cs="Nirmala UI"/>
        </w:rPr>
        <w:t>हुनुहुन्न।</w:t>
      </w:r>
      <w:r>
        <w:rPr>
          <w:rFonts w:ascii="Times New Roman" w:hAnsi="Times New Roman" w:eastAsia="Times New Roman" w:cs="Times New Roman"/>
        </w:rPr>
        <w:t xml:space="preserve"> </w:t>
      </w:r>
      <w:r>
        <w:rPr>
          <w:rFonts w:ascii="Nirmala UI" w:hAnsi="Nirmala UI" w:eastAsia="Nirmala UI" w:cs="Nirmala UI"/>
        </w:rPr>
        <w:t>तपाईं</w:t>
      </w:r>
      <w:r>
        <w:rPr>
          <w:rFonts w:ascii="Times New Roman" w:hAnsi="Times New Roman" w:eastAsia="Times New Roman" w:cs="Times New Roman"/>
        </w:rPr>
        <w:t xml:space="preserve"> </w:t>
      </w:r>
      <w:r>
        <w:rPr>
          <w:rFonts w:ascii="Nirmala UI" w:hAnsi="Nirmala UI" w:eastAsia="Nirmala UI" w:cs="Nirmala UI"/>
        </w:rPr>
        <w:t>ऐतिहासिकतावादी</w:t>
      </w:r>
      <w:r>
        <w:rPr>
          <w:rFonts w:ascii="Times New Roman" w:hAnsi="Times New Roman" w:eastAsia="Times New Roman" w:cs="Times New Roman"/>
        </w:rPr>
        <w:t xml:space="preserve"> </w:t>
      </w:r>
      <w:r>
        <w:rPr>
          <w:rFonts w:ascii="Nirmala UI" w:hAnsi="Nirmala UI" w:eastAsia="Nirmala UI" w:cs="Nirmala UI"/>
        </w:rPr>
        <w:t>हुनुहुन्न।</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समस्या</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वचनभित्र</w:t>
      </w:r>
      <w:r>
        <w:rPr>
          <w:rFonts w:ascii="Times New Roman" w:hAnsi="Times New Roman" w:eastAsia="Times New Roman" w:cs="Times New Roman"/>
        </w:rPr>
        <w:t xml:space="preserve"> </w:t>
      </w:r>
      <w:r>
        <w:rPr>
          <w:rFonts w:ascii="Nirmala UI" w:hAnsi="Nirmala UI" w:eastAsia="Nirmala UI" w:cs="Nirmala UI"/>
        </w:rPr>
        <w:t>अभिलेखित</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शब्दहरूलाई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वचनद्वारा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असमर्थता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भविष्यवाणीहरूको</w:t>
      </w:r>
      <w:r>
        <w:rPr>
          <w:rFonts w:ascii="Times New Roman" w:hAnsi="Times New Roman" w:eastAsia="Times New Roman" w:cs="Times New Roman"/>
        </w:rPr>
        <w:t xml:space="preserve"> </w:t>
      </w:r>
      <w:r>
        <w:rPr>
          <w:rFonts w:ascii="Nirmala UI" w:hAnsi="Nirmala UI" w:eastAsia="Nirmala UI" w:cs="Nirmala UI"/>
        </w:rPr>
        <w:t>आरम्भले</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तिनले</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दोहोरिने</w:t>
      </w:r>
      <w:r>
        <w:rPr>
          <w:rFonts w:ascii="Times New Roman" w:hAnsi="Times New Roman" w:eastAsia="Times New Roman" w:cs="Times New Roman"/>
        </w:rPr>
        <w:t xml:space="preserve"> </w:t>
      </w:r>
      <w:r>
        <w:rPr>
          <w:rFonts w:ascii="Nirmala UI" w:hAnsi="Nirmala UI" w:eastAsia="Nirmala UI" w:cs="Nirmala UI"/>
        </w:rPr>
        <w:t>इतिहासहरू</w:t>
      </w:r>
      <w:r>
        <w:rPr>
          <w:rFonts w:ascii="Times New Roman" w:hAnsi="Times New Roman" w:eastAsia="Times New Roman" w:cs="Times New Roman"/>
        </w:rPr>
        <w:t xml:space="preserve"> </w:t>
      </w:r>
      <w:r>
        <w:rPr>
          <w:rFonts w:ascii="Nirmala UI" w:hAnsi="Nirmala UI" w:eastAsia="Nirmala UI" w:cs="Nirmala UI"/>
        </w:rPr>
        <w:t>मात्रभन्दा</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कुराहरूलाई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गर्छन्।</w:t>
      </w:r>
    </w:p>
    <w:p>
      <w:pPr>
        <w:pStyle w:val="ArticleBody"/>
        <w:jc w:val="left"/>
      </w:pPr>
      <w:r>
        <w:rPr>
          <w:rFonts w:ascii="Times New Roman" w:hAnsi="Times New Roman" w:eastAsia="Times New Roman" w:cs="Times New Roman"/>
        </w:rPr>
        <w:t>La Biblia dice que somos templo del Espíritu Santo, y el templo del cuerpo está compuesto de cuarenta y seis cromosomas. Los científicos que estudian esos cuarenta y seis cromosomas nos informan que los veintitrés cromosomas masculinos y los veintitrés cromosomas femeninos están envueltos alrededor de una proteína que tiene forma de cruz.</w:t>
      </w:r>
    </w:p>
    <w:p>
      <w:pPr>
        <w:pStyle w:val="ArticleBody"/>
        <w:jc w:val="left"/>
      </w:pPr>
      <w:r>
        <w:rPr>
          <w:rFonts w:ascii="Times New Roman" w:hAnsi="Times New Roman" w:eastAsia="Times New Roman" w:cs="Times New Roman"/>
        </w:rPr>
        <w:t>Դանիէլի տասներկուերորդ գլխում կան երեք իրար կապված ժամանակային մարգարէութիւններ։ Առաջինը վերաբերում է սուրբ ժողովրդի զօրութեան ցրմանը, որը ներկայացնում է Ղեւտական քսանվեցերորդ գլխի «եօթն անգամները»։ Սուրբ ժողովրդի զօրութեան այն ցրումը, որ նրանց միջոցով կատարուեց, երկու հազար հինգ հարիւր քսան տարի էր, սակայն Դանիէլի տասներկուերորդ գլխում յիշատակւում է այդ ժամանակաշրջանի միայն վերջին կէսը։ Այն ներկայացնում է Դանիէլին՝ որպէս չհասկացող, թէ ինչ էր նշանակուած այդ հռչակմամբ։</w:t>
      </w:r>
    </w:p>
    <w:p>
      <w:pPr>
        <w:pStyle w:val="ArticleScripture"/>
        <w:jc w:val="left"/>
      </w:pPr>
      <w:r>
        <w:rPr>
          <w:rFonts w:ascii="Times New Roman" w:hAnsi="Times New Roman" w:eastAsia="Times New Roman" w:cs="Times New Roman"/>
        </w:rPr>
        <w:t>Ус, мөрний усан дээр зогсож байсан маалинган хувцаст хүнийг би сонсов. Тэрээр баруун гараа болон зүүн гараа тэнгэр өөд өргөн, үүрд амьд Оршигчийг тангараглан, энэ нь нэгэн цаг, хоёр цаг, хагас цагийн турш үргэлжилнэ; мөн ариун ардын хүчийг бутарган тараах ажлыг гүйцээх үед энэ бүх зүйл төгсөнө гэж айлдав. Би сонссон боловч ойлгосонгүй. Тэгээд би, “Эзэнтэн минь, эдгээр зүйлсийн төгсгөл нь юу байх вэ?” гэж асуулаа. Даниел 12:7, 8.</w:t>
      </w:r>
    </w:p>
    <w:p>
      <w:pPr>
        <w:pStyle w:val="ArticleBody"/>
        <w:jc w:val="left"/>
      </w:pPr>
      <w:r>
        <w:rPr>
          <w:rFonts w:ascii="Times New Roman" w:hAnsi="Times New Roman" w:eastAsia="Times New Roman" w:cs="Times New Roman"/>
        </w:rPr>
        <w:t>دانیال دوازدھ اُس پیغام کی توضیح کرتا ہے جو وقتِ آخر میں مُہر سے کھولا گیا، اور وہ 1798 تھا۔ اس عبارت میں دانیال ولیم ملر کی نمائندگی کرتا ہے، جو اُس تاریخ میں عقلمندوں کی بنیادی علامت ہے۔ ملر کو پہلے احبار چھبیس کی پچیس سو بیس سالہ نبوت کی طرف راہنمائی دی گئی، اور آیات سات اور آٹھ میں وہ اُن عقلمندوں کی نمائندگی کرتا ہے جنہیں اس سچائی کو ہم آہنگ کرنا ہے کہ پچیس سو بیس سالہ پراگندگی یقیناً خدا کی طرف سے اُس کی قوم کی پراگندگی کے طور پر متعین کی گئی ہے۔</w:t>
      </w:r>
    </w:p>
    <w:p>
      <w:pPr>
        <w:pStyle w:val="ArticleScripture"/>
        <w:jc w:val="left"/>
      </w:pPr>
      <w:r>
        <w:rPr>
          <w:rFonts w:ascii="Times New Roman" w:hAnsi="Times New Roman" w:eastAsia="Times New Roman" w:cs="Times New Roman"/>
        </w:rPr>
        <w:t>Agar sizlar shunga qaramay hali ham Menga quloq solmasangiz, unda gunohlaringiz uchun sizlarni yetti hissa ko‘proq jazolayman. Qudratingizning mag‘rurligini sindiraman; osmoningizni temirdek, yeringizni esa jezdek qilaman. Levilar 26:18, 19.</w:t>
      </w:r>
    </w:p>
    <w:p>
      <w:pPr>
        <w:pStyle w:val="ArticleBody"/>
        <w:jc w:val="left"/>
      </w:pPr>
      <w:r>
        <w:rPr>
          <w:rFonts w:ascii="Times New Roman" w:hAnsi="Times New Roman" w:eastAsia="Times New Roman" w:cs="Times New Roman"/>
        </w:rPr>
        <w:t>Tachjilalis “pochtli” ye huei Israel quema quicahuiliquej quicahuasquej Dios quemej in inTlahtoani huan quixpehpenquej se tlacatl tlahtoani. In pochtli, yej quichihua ma huetzis (Proverbios 16:18), catca ineleh in quinequiyayaj mochihuasquej quemej nochi in tlanahuatiani tlatlacatecolhuan in quinyahualohuayayaj. In quicuililis achto in tlalnahuacayotl norteño huan satepan in tlalnahuacayotl sureño catca in xixitiniquiliztli ipan in chicahualiztli (tlahtoani) ipan xihuitl 723 AC huan 677 AC, cececni.</w:t>
      </w:r>
    </w:p>
    <w:p>
      <w:pPr>
        <w:pStyle w:val="ArticleBody"/>
        <w:jc w:val="left"/>
      </w:pPr>
      <w:r>
        <w:rPr>
          <w:rFonts w:ascii="Times New Roman" w:hAnsi="Times New Roman" w:eastAsia="Times New Roman" w:cs="Times New Roman"/>
        </w:rPr>
        <w:t>Miller wakil orang bijaksana yang memahami pertambahan pengetahuan yang telah dimeteraikan terbuka dalam ayat-ayat sebelumnya dari Daniel dua belas, dan dalam ayat tujuh dan delapan ia digambarkan sebagai tidak memahami hubungan antara seribu dua ratus enam puluh tahun dengan dua ribu lima ratus dua puluh tahun penyerakan umat Allah. Daniel mewakili umat Allah pada akhir Adventisme, sebagaimana juga Miller pada permulaan Adventisme. Pada akhir Adventisme, dilema yang sama pun ada, karena ketika Adventisme mengesampingkan pemahaman Miller tentang “tujuh masa,” mereka terpaksa hanya mengidentifikasi seribu dua ratus enam puluh tahun itu sebagai Masa Kegelapan. Orang-orang bijaksana pada akhir zaman menghadapi persoalan serupa yang perlu diselesaikan sebagaimana digambarkan oleh Daniel dan Miller. Mengapakah istilah dalam Imamat dua puluh enam digunakan untuk menggambarkan tiga setengah masa dan bukan tujuh masa?</w:t>
      </w:r>
    </w:p>
    <w:p>
      <w:pPr>
        <w:pStyle w:val="ArticleBody"/>
        <w:jc w:val="left"/>
      </w:pPr>
      <w:r>
        <w:rPr>
          <w:rFonts w:ascii="Times New Roman" w:hAnsi="Times New Roman" w:eastAsia="Times New Roman" w:cs="Times New Roman"/>
        </w:rPr>
        <w:t>Миллер эчқачон бу мушкулотни тўла-тўкис мувофиқлаштира олмади, аммо 1856 йилда «янги пайғамбарлик нури»нинг сўнггиси ҳеч қачон якунланмаган олтита мақола туркумида тақдим этилди; унда етти замон Худонинг жисмоний Исроилини поймол қилаётган бутпараст Римнинг уч ярим йилини, сўнгра эса руҳий Исроилни поймол қилаётган папалик Римнинг уч ярим йилини ифодалайди, деб белгиланган эди. Етти йил ўтгач, Адвентизм етти замонга оид бутун нурни очиқдан-очиқ рад этди ва шу билан охирзамон пайтидаги донолар учун бу мушкулотни 1989 йилга тайёрлади; ўша пайтда, Дониёрнинг ўн биринчи боби, қирқинчи оятида баён этилганидек, собиқ Совет Иттифоқини ифодаловчи мамлакатлар папалик ва Қўшма Штатлар томонидан супуриб ташланди.</w:t>
      </w:r>
    </w:p>
    <w:p>
      <w:pPr>
        <w:pStyle w:val="ArticleBody"/>
        <w:jc w:val="left"/>
      </w:pPr>
      <w:r>
        <w:rPr>
          <w:rFonts w:ascii="Nirmala UI" w:hAnsi="Nirmala UI" w:eastAsia="Nirmala UI" w:cs="Nirmala UI"/>
        </w:rPr>
        <w:t>ಮಿಲ್ಲರ್</w:t>
      </w:r>
      <w:r>
        <w:rPr>
          <w:rFonts w:ascii="Times New Roman" w:hAnsi="Times New Roman" w:eastAsia="Times New Roman" w:cs="Times New Roman"/>
        </w:rPr>
        <w:t>‌</w:t>
      </w:r>
      <w:r>
        <w:rPr>
          <w:rFonts w:ascii="Nirmala UI" w:hAnsi="Nirmala UI" w:eastAsia="Nirmala UI" w:cs="Nirmala UI"/>
        </w:rPr>
        <w:t>ಗೆ</w:t>
      </w:r>
      <w:r>
        <w:rPr>
          <w:rFonts w:ascii="Times New Roman" w:hAnsi="Times New Roman" w:eastAsia="Times New Roman" w:cs="Times New Roman"/>
        </w:rPr>
        <w:t xml:space="preserve"> </w:t>
      </w:r>
      <w:r>
        <w:rPr>
          <w:rFonts w:ascii="Nirmala UI" w:hAnsi="Nirmala UI" w:eastAsia="Nirmala UI" w:cs="Nirmala UI"/>
        </w:rPr>
        <w:t>ನೀಡಲ್ಪಟ್ಟ</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ಬೆಳಕನ್ನು</w:t>
      </w:r>
      <w:r>
        <w:rPr>
          <w:rFonts w:ascii="Times New Roman" w:hAnsi="Times New Roman" w:eastAsia="Times New Roman" w:cs="Times New Roman"/>
        </w:rPr>
        <w:t xml:space="preserve"> 1863</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ತಿರಸ್ಕರಿಸಲಾಯಿತು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ವಿಷಯದ</w:t>
      </w:r>
      <w:r>
        <w:rPr>
          <w:rFonts w:ascii="Times New Roman" w:hAnsi="Times New Roman" w:eastAsia="Times New Roman" w:cs="Times New Roman"/>
        </w:rPr>
        <w:t xml:space="preserve"> </w:t>
      </w:r>
      <w:r>
        <w:rPr>
          <w:rFonts w:ascii="Nirmala UI" w:hAnsi="Nirmala UI" w:eastAsia="Nirmala UI" w:cs="Nirmala UI"/>
        </w:rPr>
        <w:t>ಕುರಿತ</w:t>
      </w:r>
      <w:r>
        <w:rPr>
          <w:rFonts w:ascii="Times New Roman" w:hAnsi="Times New Roman" w:eastAsia="Times New Roman" w:cs="Times New Roman"/>
        </w:rPr>
        <w:t xml:space="preserve"> </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ಬೆಳಕನ್ನು</w:t>
      </w:r>
      <w:r>
        <w:rPr>
          <w:rFonts w:ascii="Times New Roman" w:hAnsi="Times New Roman" w:eastAsia="Times New Roman" w:cs="Times New Roman"/>
        </w:rPr>
        <w:t xml:space="preserve"> </w:t>
      </w:r>
      <w:r>
        <w:rPr>
          <w:rFonts w:ascii="Nirmala UI" w:hAnsi="Nirmala UI" w:eastAsia="Nirmala UI" w:cs="Nirmala UI"/>
        </w:rPr>
        <w:t>ಹೈರಂ</w:t>
      </w:r>
      <w:r>
        <w:rPr>
          <w:rFonts w:ascii="Times New Roman" w:hAnsi="Times New Roman" w:eastAsia="Times New Roman" w:cs="Times New Roman"/>
        </w:rPr>
        <w:t xml:space="preserve"> </w:t>
      </w:r>
      <w:r>
        <w:rPr>
          <w:rFonts w:ascii="Nirmala UI" w:hAnsi="Nirmala UI" w:eastAsia="Nirmala UI" w:cs="Nirmala UI"/>
        </w:rPr>
        <w:t>ಎಡ್ಸನ್</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ಆರು</w:t>
      </w:r>
      <w:r>
        <w:rPr>
          <w:rFonts w:ascii="Times New Roman" w:hAnsi="Times New Roman" w:eastAsia="Times New Roman" w:cs="Times New Roman"/>
        </w:rPr>
        <w:t xml:space="preserve"> </w:t>
      </w:r>
      <w:r>
        <w:rPr>
          <w:rFonts w:ascii="Nirmala UI" w:hAnsi="Nirmala UI" w:eastAsia="Nirmala UI" w:cs="Nirmala UI"/>
        </w:rPr>
        <w:t>ಲೇಖನಗಳಲ್ಲಿ</w:t>
      </w:r>
      <w:r>
        <w:rPr>
          <w:rFonts w:ascii="Times New Roman" w:hAnsi="Times New Roman" w:eastAsia="Times New Roman" w:cs="Times New Roman"/>
        </w:rPr>
        <w:t xml:space="preserve"> </w:t>
      </w:r>
      <w:r>
        <w:rPr>
          <w:rFonts w:ascii="Nirmala UI" w:hAnsi="Nirmala UI" w:eastAsia="Nirmala UI" w:cs="Nirmala UI"/>
        </w:rPr>
        <w:t>ನೀಡಿದರು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ಲೇಖನಗಳನ್ನು</w:t>
      </w:r>
      <w:r>
        <w:rPr>
          <w:rFonts w:ascii="Times New Roman" w:hAnsi="Times New Roman" w:eastAsia="Times New Roman" w:cs="Times New Roman"/>
        </w:rPr>
        <w:t xml:space="preserve"> </w:t>
      </w:r>
      <w:r>
        <w:rPr>
          <w:rFonts w:ascii="Nirmala UI" w:hAnsi="Nirmala UI" w:eastAsia="Nirmala UI" w:cs="Nirmala UI"/>
        </w:rPr>
        <w:t>ಸ್ಥಗಿತಗೊಳಿಸಲಾಯಿತು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(times)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ಆಧುನಿಕ</w:t>
      </w:r>
      <w:r>
        <w:rPr>
          <w:rFonts w:ascii="Times New Roman" w:hAnsi="Times New Roman" w:eastAsia="Times New Roman" w:cs="Times New Roman"/>
        </w:rPr>
        <w:t xml:space="preserve"> </w:t>
      </w:r>
      <w:r>
        <w:rPr>
          <w:rFonts w:ascii="Nirmala UI" w:hAnsi="Nirmala UI" w:eastAsia="Nirmala UI" w:cs="Nirmala UI"/>
        </w:rPr>
        <w:t>ಇಸ್ರಾಯೇಲಿನ</w:t>
      </w:r>
      <w:r>
        <w:rPr>
          <w:rFonts w:ascii="Times New Roman" w:hAnsi="Times New Roman" w:eastAsia="Times New Roman" w:cs="Times New Roman"/>
        </w:rPr>
        <w:t xml:space="preserve"> </w:t>
      </w:r>
      <w:r>
        <w:rPr>
          <w:rFonts w:ascii="Nirmala UI" w:hAnsi="Nirmala UI" w:eastAsia="Nirmala UI" w:cs="Nirmala UI"/>
        </w:rPr>
        <w:t>ಶಕ್ತಿಯನ್ನು</w:t>
      </w:r>
      <w:r>
        <w:rPr>
          <w:rFonts w:ascii="Times New Roman" w:hAnsi="Times New Roman" w:eastAsia="Times New Roman" w:cs="Times New Roman"/>
        </w:rPr>
        <w:t xml:space="preserve"> </w:t>
      </w:r>
      <w:r>
        <w:rPr>
          <w:rFonts w:ascii="Nirmala UI" w:hAnsi="Nirmala UI" w:eastAsia="Nirmala UI" w:cs="Nirmala UI"/>
        </w:rPr>
        <w:t>ಬದಿಗಿರಿಸಲಾಯಿತು</w:t>
      </w:r>
      <w:r>
        <w:rPr>
          <w:rFonts w:ascii="Times New Roman" w:hAnsi="Times New Roman" w:eastAsia="Times New Roman" w:cs="Times New Roman"/>
        </w:rPr>
        <w:t xml:space="preserve">, </w:t>
      </w:r>
      <w:r>
        <w:rPr>
          <w:rFonts w:ascii="Nirmala UI" w:hAnsi="Nirmala UI" w:eastAsia="Nirmala UI" w:cs="Nirmala UI"/>
        </w:rPr>
        <w:t>ಕೆಲವು</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ಹಿಂದೆಯೇ</w:t>
      </w:r>
      <w:r>
        <w:rPr>
          <w:rFonts w:ascii="Times New Roman" w:hAnsi="Times New Roman" w:eastAsia="Times New Roman" w:cs="Times New Roman"/>
        </w:rPr>
        <w:t xml:space="preserve"> </w:t>
      </w:r>
      <w:r>
        <w:rPr>
          <w:rFonts w:ascii="Nirmala UI" w:hAnsi="Nirmala UI" w:eastAsia="Nirmala UI" w:cs="Nirmala UI"/>
        </w:rPr>
        <w:t>ಬಾಬೆಲಿನ</w:t>
      </w:r>
      <w:r>
        <w:rPr>
          <w:rFonts w:ascii="Times New Roman" w:hAnsi="Times New Roman" w:eastAsia="Times New Roman" w:cs="Times New Roman"/>
        </w:rPr>
        <w:t xml:space="preserve"> </w:t>
      </w:r>
      <w:r>
        <w:rPr>
          <w:rFonts w:ascii="Nirmala UI" w:hAnsi="Nirmala UI" w:eastAsia="Nirmala UI" w:cs="Nirmala UI"/>
        </w:rPr>
        <w:t>ಪುತ್ರಿಯರೆಂದು</w:t>
      </w:r>
      <w:r>
        <w:rPr>
          <w:rFonts w:ascii="Times New Roman" w:hAnsi="Times New Roman" w:eastAsia="Times New Roman" w:cs="Times New Roman"/>
        </w:rPr>
        <w:t xml:space="preserve"> </w:t>
      </w:r>
      <w:r>
        <w:rPr>
          <w:rFonts w:ascii="Nirmala UI" w:hAnsi="Nirmala UI" w:eastAsia="Nirmala UI" w:cs="Nirmala UI"/>
        </w:rPr>
        <w:t>ಸರಿಯಾಗಿ</w:t>
      </w:r>
      <w:r>
        <w:rPr>
          <w:rFonts w:ascii="Times New Roman" w:hAnsi="Times New Roman" w:eastAsia="Times New Roman" w:cs="Times New Roman"/>
        </w:rPr>
        <w:t xml:space="preserve"> </w:t>
      </w:r>
      <w:r>
        <w:rPr>
          <w:rFonts w:ascii="Nirmala UI" w:hAnsi="Nirmala UI" w:eastAsia="Nirmala UI" w:cs="Nirmala UI"/>
        </w:rPr>
        <w:t>ಗುರುತಿಸಲ್ಪಟ್ಟಿದ್ದ</w:t>
      </w:r>
      <w:r>
        <w:rPr>
          <w:rFonts w:ascii="Times New Roman" w:hAnsi="Times New Roman" w:eastAsia="Times New Roman" w:cs="Times New Roman"/>
        </w:rPr>
        <w:t xml:space="preserve"> </w:t>
      </w:r>
      <w:r>
        <w:rPr>
          <w:rFonts w:ascii="Nirmala UI" w:hAnsi="Nirmala UI" w:eastAsia="Nirmala UI" w:cs="Nirmala UI"/>
        </w:rPr>
        <w:t>ಮೂರ್ತಿಪೂಜಕ</w:t>
      </w:r>
      <w:r>
        <w:rPr>
          <w:rFonts w:ascii="Times New Roman" w:hAnsi="Times New Roman" w:eastAsia="Times New Roman" w:cs="Times New Roman"/>
        </w:rPr>
        <w:t xml:space="preserve"> </w:t>
      </w:r>
      <w:r>
        <w:rPr>
          <w:rFonts w:ascii="Nirmala UI" w:hAnsi="Nirmala UI" w:eastAsia="Nirmala UI" w:cs="Nirmala UI"/>
        </w:rPr>
        <w:t>ಸಭೆಗಳನ್ನು</w:t>
      </w:r>
      <w:r>
        <w:rPr>
          <w:rFonts w:ascii="Times New Roman" w:hAnsi="Times New Roman" w:eastAsia="Times New Roman" w:cs="Times New Roman"/>
        </w:rPr>
        <w:t xml:space="preserve"> </w:t>
      </w:r>
      <w:r>
        <w:rPr>
          <w:rFonts w:ascii="Nirmala UI" w:hAnsi="Nirmala UI" w:eastAsia="Nirmala UI" w:cs="Nirmala UI"/>
        </w:rPr>
        <w:t>ಅನುಕರಿಸುವುದಕ್ಕಾಗಿ</w:t>
      </w:r>
      <w:r>
        <w:rPr>
          <w:rFonts w:ascii="Times New Roman" w:hAnsi="Times New Roman" w:eastAsia="Times New Roman" w:cs="Times New Roman"/>
        </w:rPr>
        <w:t xml:space="preserve">. </w:t>
      </w:r>
      <w:r>
        <w:rPr>
          <w:rFonts w:ascii="Nirmala UI" w:hAnsi="Nirmala UI" w:eastAsia="Nirmala UI" w:cs="Nirmala UI"/>
        </w:rPr>
        <w:t>ಲೇವ್ಯಕಾಂಡ</w:t>
      </w:r>
      <w:r>
        <w:rPr>
          <w:rFonts w:ascii="Times New Roman" w:hAnsi="Times New Roman" w:eastAsia="Times New Roman" w:cs="Times New Roman"/>
        </w:rPr>
        <w:t xml:space="preserve"> </w:t>
      </w:r>
      <w:r>
        <w:rPr>
          <w:rFonts w:ascii="Nirmala UI" w:hAnsi="Nirmala UI" w:eastAsia="Nirmala UI" w:cs="Nirmala UI"/>
        </w:rPr>
        <w:t>ಇಪ್ಪತ್ತಾರು</w:t>
      </w:r>
      <w:r>
        <w:rPr>
          <w:rFonts w:ascii="Times New Roman" w:hAnsi="Times New Roman" w:eastAsia="Times New Roman" w:cs="Times New Roman"/>
        </w:rPr>
        <w:t xml:space="preserve"> </w:t>
      </w:r>
      <w:r>
        <w:rPr>
          <w:rFonts w:ascii="Nirmala UI" w:hAnsi="Nirmala UI" w:eastAsia="Nirmala UI" w:cs="Nirmala UI"/>
        </w:rPr>
        <w:t>ಅಧ್ಯಾಯದಲ್ಲಿರುವ</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ಬಾರಿ</w:t>
      </w:r>
      <w:r>
        <w:rPr>
          <w:rFonts w:ascii="Times New Roman" w:hAnsi="Times New Roman" w:eastAsia="Times New Roman" w:cs="Times New Roman"/>
        </w:rPr>
        <w:t xml:space="preserve"> </w:t>
      </w:r>
      <w:r>
        <w:rPr>
          <w:rFonts w:ascii="Nirmala UI" w:hAnsi="Nirmala UI" w:eastAsia="Nirmala UI" w:cs="Nirmala UI"/>
        </w:rPr>
        <w:t>ಎಂಬುದು</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ಉಪದೇಶವಾಗಿ</w:t>
      </w:r>
      <w:r>
        <w:rPr>
          <w:rFonts w:ascii="Times New Roman" w:hAnsi="Times New Roman" w:eastAsia="Times New Roman" w:cs="Times New Roman"/>
        </w:rPr>
        <w:t xml:space="preserve"> </w:t>
      </w:r>
      <w:r>
        <w:rPr>
          <w:rFonts w:ascii="Nirmala UI" w:hAnsi="Nirmala UI" w:eastAsia="Nirmala UI" w:cs="Nirmala UI"/>
        </w:rPr>
        <w:t>ಅಡ್ಡಿಬಂಡೆಯಾಯಿತು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ಪ್ರಾಚೀನ</w:t>
      </w:r>
      <w:r>
        <w:rPr>
          <w:rFonts w:ascii="Times New Roman" w:hAnsi="Times New Roman" w:eastAsia="Times New Roman" w:cs="Times New Roman"/>
        </w:rPr>
        <w:t xml:space="preserve"> </w:t>
      </w:r>
      <w:r>
        <w:rPr>
          <w:rFonts w:ascii="Nirmala UI" w:hAnsi="Nirmala UI" w:eastAsia="Nirmala UI" w:cs="Nirmala UI"/>
        </w:rPr>
        <w:t>ಇಸ್ರಾಯೇಲಿನ</w:t>
      </w:r>
      <w:r>
        <w:rPr>
          <w:rFonts w:ascii="Times New Roman" w:hAnsi="Times New Roman" w:eastAsia="Times New Roman" w:cs="Times New Roman"/>
        </w:rPr>
        <w:t xml:space="preserve"> </w:t>
      </w:r>
      <w:r>
        <w:rPr>
          <w:rFonts w:ascii="Nirmala UI" w:hAnsi="Nirmala UI" w:eastAsia="Nirmala UI" w:cs="Nirmala UI"/>
        </w:rPr>
        <w:t>ಅಹಂಕಾರವು</w:t>
      </w:r>
      <w:r>
        <w:rPr>
          <w:rFonts w:ascii="Times New Roman" w:hAnsi="Times New Roman" w:eastAsia="Times New Roman" w:cs="Times New Roman"/>
        </w:rPr>
        <w:t xml:space="preserve">, </w:t>
      </w:r>
      <w:r>
        <w:rPr>
          <w:rFonts w:ascii="Nirmala UI" w:hAnsi="Nirmala UI" w:eastAsia="Nirmala UI" w:cs="Nirmala UI"/>
        </w:rPr>
        <w:t>ತಮಗೆ</w:t>
      </w:r>
      <w:r>
        <w:rPr>
          <w:rFonts w:ascii="Times New Roman" w:hAnsi="Times New Roman" w:eastAsia="Times New Roman" w:cs="Times New Roman"/>
        </w:rPr>
        <w:t xml:space="preserve"> </w:t>
      </w:r>
      <w:r>
        <w:rPr>
          <w:rFonts w:ascii="Nirmala UI" w:hAnsi="Nirmala UI" w:eastAsia="Nirmala UI" w:cs="Nirmala UI"/>
        </w:rPr>
        <w:t>ರಾಜನಾಗಿ</w:t>
      </w:r>
      <w:r>
        <w:rPr>
          <w:rFonts w:ascii="Times New Roman" w:hAnsi="Times New Roman" w:eastAsia="Times New Roman" w:cs="Times New Roman"/>
        </w:rPr>
        <w:t xml:space="preserve"> </w:t>
      </w:r>
      <w:r>
        <w:rPr>
          <w:rFonts w:ascii="Nirmala UI" w:hAnsi="Nirmala UI" w:eastAsia="Nirmala UI" w:cs="Nirmala UI"/>
        </w:rPr>
        <w:t>ಸೌಲನು</w:t>
      </w:r>
      <w:r>
        <w:rPr>
          <w:rFonts w:ascii="Times New Roman" w:hAnsi="Times New Roman" w:eastAsia="Times New Roman" w:cs="Times New Roman"/>
        </w:rPr>
        <w:t xml:space="preserve"> </w:t>
      </w:r>
      <w:r>
        <w:rPr>
          <w:rFonts w:ascii="Nirmala UI" w:hAnsi="Nirmala UI" w:eastAsia="Nirmala UI" w:cs="Nirmala UI"/>
        </w:rPr>
        <w:t>ಆಳಬೇಕೆಂದು</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ಬಯಸಿದದ್ದರಿಂದ</w:t>
      </w:r>
      <w:r>
        <w:rPr>
          <w:rFonts w:ascii="Times New Roman" w:hAnsi="Times New Roman" w:eastAsia="Times New Roman" w:cs="Times New Roman"/>
        </w:rPr>
        <w:t xml:space="preserve"> </w:t>
      </w:r>
      <w:r>
        <w:rPr>
          <w:rFonts w:ascii="Nirmala UI" w:hAnsi="Nirmala UI" w:eastAsia="Nirmala UI" w:cs="Nirmala UI"/>
        </w:rPr>
        <w:t>ಪ್ರತಿನಿಧಿಸಲ್ಪಟ್ಟಂತೆ</w:t>
      </w:r>
      <w:r>
        <w:rPr>
          <w:rFonts w:ascii="Times New Roman" w:hAnsi="Times New Roman" w:eastAsia="Times New Roman" w:cs="Times New Roman"/>
        </w:rPr>
        <w:t xml:space="preserve">, </w:t>
      </w:r>
      <w:r>
        <w:rPr>
          <w:rFonts w:ascii="Nirmala UI" w:hAnsi="Nirmala UI" w:eastAsia="Nirmala UI" w:cs="Nirmala UI"/>
        </w:rPr>
        <w:t>ಮತ್ತೊಮ್ಮೆ</w:t>
      </w:r>
      <w:r>
        <w:rPr>
          <w:rFonts w:ascii="Times New Roman" w:hAnsi="Times New Roman" w:eastAsia="Times New Roman" w:cs="Times New Roman"/>
        </w:rPr>
        <w:t xml:space="preserve"> </w:t>
      </w:r>
      <w:r>
        <w:rPr>
          <w:rFonts w:ascii="Nirmala UI" w:hAnsi="Nirmala UI" w:eastAsia="Nirmala UI" w:cs="Nirmala UI"/>
        </w:rPr>
        <w:t>ಮರುಕಳಿಸಲಾಯಿತು</w:t>
      </w:r>
      <w:r>
        <w:rPr>
          <w:rFonts w:ascii="Times New Roman" w:hAnsi="Times New Roman" w:eastAsia="Times New Roman" w:cs="Times New Roman"/>
        </w:rPr>
        <w:t xml:space="preserve">. </w:t>
      </w:r>
      <w:r>
        <w:rPr>
          <w:rFonts w:ascii="Nirmala UI" w:hAnsi="Nirmala UI" w:eastAsia="Nirmala UI" w:cs="Nirmala UI"/>
        </w:rPr>
        <w:t>ಯೇಸು</w:t>
      </w:r>
      <w:r>
        <w:rPr>
          <w:rFonts w:ascii="Times New Roman" w:hAnsi="Times New Roman" w:eastAsia="Times New Roman" w:cs="Times New Roman"/>
        </w:rPr>
        <w:t xml:space="preserve"> </w:t>
      </w:r>
      <w:r>
        <w:rPr>
          <w:rFonts w:ascii="Nirmala UI" w:hAnsi="Nirmala UI" w:eastAsia="Nirmala UI" w:cs="Nirmala UI"/>
        </w:rPr>
        <w:t>ಅಂತ್ಯವನ್ನು</w:t>
      </w:r>
      <w:r>
        <w:rPr>
          <w:rFonts w:ascii="Times New Roman" w:hAnsi="Times New Roman" w:eastAsia="Times New Roman" w:cs="Times New Roman"/>
        </w:rPr>
        <w:t xml:space="preserve"> </w:t>
      </w:r>
      <w:r>
        <w:rPr>
          <w:rFonts w:ascii="Nirmala UI" w:hAnsi="Nirmala UI" w:eastAsia="Nirmala UI" w:cs="Nirmala UI"/>
        </w:rPr>
        <w:t>ಆರಂಭದೊಂದಿಗೆ</w:t>
      </w:r>
      <w:r>
        <w:rPr>
          <w:rFonts w:ascii="Times New Roman" w:hAnsi="Times New Roman" w:eastAsia="Times New Roman" w:cs="Times New Roman"/>
        </w:rPr>
        <w:t xml:space="preserve"> </w:t>
      </w:r>
      <w:r>
        <w:rPr>
          <w:rFonts w:ascii="Nirmala UI" w:hAnsi="Nirmala UI" w:eastAsia="Nirmala UI" w:cs="Nirmala UI"/>
        </w:rPr>
        <w:t>ಪ್ರತಿನಿಧಿಸುತ್ತಾನೆ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Daniel liburuxk 1290 urtiuk profesiataya, eta harekin batera 1335 urtiuk profesiataya ere, identifikatzen du; biyak 508an hasten die, “eguneroko”-ren kentzetik. “Eguneroko”-ren kentziak 538an aita santuaren boteriaren igoerari erromatar paganuen erresistentziaren kentzia adierazten du. 538an aita santuaren boteria lurriaren tronuan ezarri aurretik, 30 urtiko trantsizio-aldi bat izan zen; eta gero, gainerako 1260 urtiyak 1798an amaitzen die. Erresuma batetik bestera igarotzeko 30 urtiko trantsizio horrek, 1798an Bibliako profeziako seigarren erresuma lurriaren tronuan ezarri arteraino daramaten aita santuaren agintaldiaren azken urtiyak identifikatzen ditu. 1290 urtiko profeziaren hasierak Bibliako profeziako erresuma batetik Bibliako profeziako hurrengo erresumara igarotzea identifikatzen du, eta hala bera profezia horren amaierak ere.</w:t>
      </w:r>
    </w:p>
    <w:p>
      <w:pPr>
        <w:pStyle w:val="ArticleBody"/>
        <w:jc w:val="left"/>
      </w:pPr>
      <w:r>
        <w:rPr>
          <w:rFonts w:ascii="Times New Roman" w:hAnsi="Times New Roman" w:eastAsia="Times New Roman" w:cs="Times New Roman"/>
        </w:rPr>
        <w:t>Ti prophesia a las tres mil trescientos y treinta y cinco añus, qhì comensó cuandó se quitó “la continua” en 508, se cumple en 1843.</w:t>
      </w:r>
    </w:p>
    <w:p>
      <w:pPr>
        <w:pStyle w:val="ArticleScripture"/>
        <w:jc w:val="left"/>
      </w:pPr>
      <w:r>
        <w:rPr>
          <w:rFonts w:ascii="Times New Roman" w:hAnsi="Times New Roman" w:eastAsia="Times New Roman" w:cs="Times New Roman"/>
        </w:rPr>
        <w:t>Na sɩa la, ne tɛrɛ yɔr̄a sɩɩra la ka tɩ na lɔgɔ, ka yel nɔŋɔrɔ la, yel bɛɛrɛ la ka yɔr̄a tɔɔsɔ la, bɛ na wa nɛ yinni, kɔbiri ayi, piisiwa aweeza ne piiga. Abarika ka e kɛlɛ ka tɛnɛ, ka wa yinni, kɔbiri ayi, piisiwa aatɔŋa ne piiga anu. Daniel 12:11, 12.</w:t>
      </w:r>
    </w:p>
    <w:p>
      <w:pPr>
        <w:pStyle w:val="ArticleBody"/>
        <w:jc w:val="left"/>
      </w:pPr>
      <w:r>
        <w:rPr>
          <w:rFonts w:ascii="Leelawadee UI" w:hAnsi="Leelawadee UI" w:eastAsia="Leelawadee UI" w:cs="Leelawadee UI"/>
        </w:rPr>
        <w:t>ជំនាន់ទំនាយរយៈពេលមួយពាន់បីរយសាមសិបប្រាំឆ្នាំ</w:t>
      </w:r>
      <w:r>
        <w:rPr>
          <w:rFonts w:ascii="Times New Roman" w:hAnsi="Times New Roman" w:eastAsia="Times New Roman" w:cs="Times New Roman"/>
        </w:rPr>
        <w:t xml:space="preserve"> </w:t>
      </w:r>
      <w:r>
        <w:rPr>
          <w:rFonts w:ascii="Leelawadee UI" w:hAnsi="Leelawadee UI" w:eastAsia="Leelawadee UI" w:cs="Leelawadee UI"/>
        </w:rPr>
        <w:t>បានបញ្ចប់នៅឆ្នាំ</w:t>
      </w:r>
      <w:r>
        <w:rPr>
          <w:rFonts w:ascii="Times New Roman" w:hAnsi="Times New Roman" w:eastAsia="Times New Roman" w:cs="Times New Roman"/>
        </w:rPr>
        <w:t xml:space="preserve"> 1843 </w:t>
      </w:r>
      <w:r>
        <w:rPr>
          <w:rFonts w:ascii="Leelawadee UI" w:hAnsi="Leelawadee UI" w:eastAsia="Leelawadee UI" w:cs="Leelawadee UI"/>
        </w:rPr>
        <w:t>ហើយដានីយ៉ែលមានប្រសាសន៍ថា</w:t>
      </w:r>
      <w:r>
        <w:rPr>
          <w:rFonts w:ascii="Times New Roman" w:hAnsi="Times New Roman" w:eastAsia="Times New Roman" w:cs="Times New Roman"/>
        </w:rPr>
        <w:t xml:space="preserve"> </w:t>
      </w:r>
      <w:r>
        <w:rPr>
          <w:rFonts w:ascii="Leelawadee UI" w:hAnsi="Leelawadee UI" w:eastAsia="Leelawadee UI" w:cs="Leelawadee UI"/>
        </w:rPr>
        <w:t>អស់អ្នកដែល</w:t>
      </w:r>
      <w:r>
        <w:rPr>
          <w:rFonts w:ascii="Times New Roman" w:hAnsi="Times New Roman" w:eastAsia="Times New Roman" w:cs="Times New Roman"/>
        </w:rPr>
        <w:t xml:space="preserve"> «</w:t>
      </w:r>
      <w:r>
        <w:rPr>
          <w:rFonts w:ascii="Leelawadee UI" w:hAnsi="Leelawadee UI" w:eastAsia="Leelawadee UI" w:cs="Leelawadee UI"/>
        </w:rPr>
        <w:t>រង់ចាំ</w:t>
      </w:r>
      <w:r>
        <w:rPr>
          <w:rFonts w:ascii="Times New Roman" w:hAnsi="Times New Roman" w:eastAsia="Times New Roman" w:cs="Times New Roman"/>
        </w:rPr>
        <w:t xml:space="preserve">» </w:t>
      </w:r>
      <w:r>
        <w:rPr>
          <w:rFonts w:ascii="Leelawadee UI" w:hAnsi="Leelawadee UI" w:eastAsia="Leelawadee UI" w:cs="Leelawadee UI"/>
        </w:rPr>
        <w:t>នៅពេលដែលទំនាយនោះនឹងបានសម្រេច</w:t>
      </w:r>
      <w:r>
        <w:rPr>
          <w:rFonts w:ascii="Times New Roman" w:hAnsi="Times New Roman" w:eastAsia="Times New Roman" w:cs="Times New Roman"/>
        </w:rPr>
        <w:t xml:space="preserve"> </w:t>
      </w:r>
      <w:r>
        <w:rPr>
          <w:rFonts w:ascii="Leelawadee UI" w:hAnsi="Leelawadee UI" w:eastAsia="Leelawadee UI" w:cs="Leelawadee UI"/>
        </w:rPr>
        <w:t>នឹងទទួលព្រះពរ។</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White </w:t>
      </w:r>
      <w:r>
        <w:rPr>
          <w:rFonts w:ascii="Leelawadee UI" w:hAnsi="Leelawadee UI" w:eastAsia="Leelawadee UI" w:cs="Leelawadee UI"/>
        </w:rPr>
        <w:t>បាននិយាយដូច្នេះ។</w:t>
      </w:r>
    </w:p>
    <w:p>
      <w:pPr>
        <w:pStyle w:val="ArticleScripture"/>
        <w:jc w:val="left"/>
      </w:pPr>
      <w:r>
        <w:rPr>
          <w:rFonts w:ascii="Times New Roman" w:hAnsi="Times New Roman" w:eastAsia="Times New Roman" w:cs="Times New Roman"/>
        </w:rPr>
        <w:t>«Անօրհնեալ չեն այն աչքերը, որոնք տեսան այն բաները, որ տեսնուեցան 1843 եւ 1844 թուականներուն։»</w:t>
      </w:r>
    </w:p>
    <w:p>
      <w:pPr>
        <w:pStyle w:val="ArticleScripture"/>
        <w:jc w:val="left"/>
      </w:pPr>
      <w:r>
        <w:rPr>
          <w:rFonts w:ascii="Times New Roman" w:hAnsi="Times New Roman" w:eastAsia="Times New Roman" w:cs="Times New Roman"/>
        </w:rPr>
        <w:t>“Ekhando lyatuminwe. Kwaye akufanele kubekho kulibazisa ekuliphindeni elo khando, kuba imiqondiso yamaxesha iyazaliseka; umsebenzi wokugqibela umele wenziwe. Umsebenzi omkhulu uya kwenziwa ngexesha elifutshane. Kungekudala kuya kunikelwa umyalezo ngokumiselwa kukaThixo oya kukhula ube sisikhalo esikhulu. Ngelo xesha uDaniyeli uya kuma esabelweni sakhe, ukuze anikele ubungqina bakhe.” Manuscript Releases, volume 21, 437.</w:t>
      </w:r>
    </w:p>
    <w:p>
      <w:pPr>
        <w:pStyle w:val="ArticleBody"/>
        <w:jc w:val="left"/>
      </w:pPr>
      <w:r>
        <w:rPr>
          <w:rFonts w:ascii="Times New Roman" w:hAnsi="Times New Roman" w:eastAsia="Times New Roman" w:cs="Times New Roman"/>
        </w:rPr>
        <w:t>Uqiru, ukutandikwa kwa buhanuzi bw’imyaka igihumbi na magana atatu na mirongo itatu n’itanu kugaragaza ihinduka riva ku idini ry’ubupagani rijya ku idini ry’ubupapa, bityo kukerekana ihinduka riva ku Baporotesitanti rikajya ku Baporotesitanti ba Millerite.</w:t>
      </w:r>
    </w:p>
    <w:p>
      <w:pPr>
        <w:pStyle w:val="ArticleBody"/>
        <w:jc w:val="left"/>
      </w:pPr>
      <w:r>
        <w:rPr>
          <w:rFonts w:ascii="Times New Roman" w:hAnsi="Times New Roman" w:eastAsia="Times New Roman" w:cs="Times New Roman"/>
        </w:rPr>
        <w:t>Ադվենտիզմի հիմնարար ճշմարտությունները մերժող այն ադվենտիստները մերժում են նաև բոլոր այն ժամանակային մարգարեությունները, որոնք ներկայացրել էին միլլերիտները, ներառյալ անգամ Դանիել 8:14-ի երկու հազար երեք հարյուր տարիները։ Նրանք կարող են միանգամայն ժխտել այս փաստը, սակայն տրամաբանորեն կարելի է ցույց տալ, որ այս փաստը ճշմարիտ է. բայց այժմ իմ միտքը այլ է, ուստի այս մասին առայժմ կլռեմ, մինչ փորձում ենք այս հոդվածը մոտեցնել իր ավարտին։</w:t>
      </w:r>
    </w:p>
    <w:p>
      <w:pPr>
        <w:pStyle w:val="ArticleBody"/>
        <w:jc w:val="left"/>
      </w:pPr>
      <w:r>
        <w:rPr>
          <w:rFonts w:ascii="Times New Roman" w:hAnsi="Times New Roman" w:eastAsia="Times New Roman" w:cs="Times New Roman"/>
        </w:rPr>
        <w:t>Judah-na "askarrat qanee" 677 BC giiddi bittinnaaye Daniel 8:13, 14 giddon de7iya “host”-a yedhdhizayssaa mala gessissiya; qassi ha godozayssi zemanay “askara qanee,” United States, eqqishshaakko mala zaarissiya. Ha qassi ayanatettaa giddon de7iya laythi lama sha7u heezzaxeetama 457 BC-n doomettidi, “sanctuary”-a yedhdhizayssaa mala bessiya.</w:t>
      </w:r>
    </w:p>
    <w:p>
      <w:pPr>
        <w:pStyle w:val="ArticleScripture"/>
        <w:jc w:val="left"/>
      </w:pPr>
      <w:r>
        <w:rPr>
          <w:rFonts w:ascii="Times New Roman" w:hAnsi="Times New Roman" w:eastAsia="Times New Roman" w:cs="Times New Roman"/>
        </w:rPr>
        <w:t>مُکِکایامُکَقَ اَخَشِ اَی یَرَن، وَ مُکِکایامُکَقَ اَخَشِ سَمَکان یَرَن اَم یَرَن اَخَشِ هِنّاکِ یَوا، «عُکُّو اَتُو رُؤیایِ قُربانِیِ دائِمی وَ عِصیانِ ویران‌ساز، کِ هَم مَقدَس وَ هَم لَشکَر بِپایمال شُدن سِپُرده شَوَند، پایداری خَواهَد کَرد؟» وَ او مَرا گُو، «تا دو هزار وَ سِه صَد روز؛ آنگاه مَقدَس تطهیر خَواهَد شُد.» دانیال ۸:۱۳، ۱۴.</w:t>
      </w:r>
    </w:p>
    <w:p>
      <w:pPr>
        <w:pStyle w:val="ArticleBody"/>
        <w:jc w:val="left"/>
      </w:pPr>
      <w:r>
        <w:rPr>
          <w:rFonts w:ascii="Times New Roman" w:hAnsi="Times New Roman" w:eastAsia="Times New Roman" w:cs="Times New Roman"/>
        </w:rPr>
        <w:t>677 BC asin 457 BC keti leh temsüa Kibuba mi nüngdaktsü aser Kibuba temple/ki (sanctuary) nüngdaktsü ya meyong teburtem tsüngda sempet ya dang ajungba dates lir. Kibuba-i host aser sanctuary anüngdaktsü meyong October 22, 1844 nü tenüngba nung loksaba mapang ka nung tangar-tangar peisaba. 677 BC aser 457 BC tsüngda anogo/yer 220 ya Kibuba-i temsüa light akümtsüba maong waymark ka amenba mapang ka asüba sülen sempet ka asü. October 22, 1844 nü third angel temsüa light ariba, sanctuary light tenzükba nung adokba, aser light proclaim asütsü atema host ka anguba.</w:t>
      </w:r>
    </w:p>
    <w:p>
      <w:pPr>
        <w:pStyle w:val="ArticleBody"/>
        <w:jc w:val="left"/>
      </w:pPr>
      <w:r>
        <w:rPr>
          <w:rFonts w:ascii="Times New Roman" w:hAnsi="Times New Roman" w:eastAsia="Times New Roman" w:cs="Times New Roman"/>
        </w:rPr>
        <w:t>Sa linya sa tagna nga nagaila sa tulo-ka-pilo nga pakiggubat diin si Satanas ug si Cristo nagpakigbisog, nahimo ang King James Bible sa 1611. Tukma paglabay sa duha ka gatus ug kaluhaan ka tuig, sa 1831, si William Miller nagmantala sa iyang mensahe sa unang higayon:</w:t>
      </w:r>
    </w:p>
    <w:p>
      <w:pPr>
        <w:pStyle w:val="ArticleScripture"/>
        <w:jc w:val="left"/>
      </w:pPr>
      <w:r>
        <w:rPr>
          <w:rFonts w:ascii="Times New Roman" w:hAnsi="Times New Roman" w:eastAsia="Times New Roman" w:cs="Times New Roman"/>
        </w:rPr>
        <w:t>«Nnafem mfirihyia akron mu no, na William Miller agye adi sɛ ɛsɛ sɛ ɔde ne nkrasɛm no ma asafo ahorow no; nanso ɔtwɛn, wɔ anidaso mu sɛ obi a wɔagye no atom sɛ ɔwɔ tumi bɛpae mu aka anigyesɛm no fa Agyenkwa a ɔrebɛba ntɛm ho. Wɔ saa twɛn yi mu no, ɔde ne ho sii nkrasɛm no nokware so ara; na edin wɔ hɔ sɛ wɔte ase, nanso na wɔrewuwu ntɛmntɛm. Afe 1831 mu no, Miller maa ne ɔkasa a edi kan faa nkɔmhyɛ ahorow no ho.» Steven Haskell, The Seer of Patmos, 77.</w:t>
      </w:r>
    </w:p>
    <w:p>
      <w:pPr>
        <w:pStyle w:val="ArticleBody"/>
        <w:jc w:val="left"/>
      </w:pPr>
      <w:r>
        <w:rPr>
          <w:rFonts w:ascii="Times New Roman" w:hAnsi="Times New Roman" w:eastAsia="Times New Roman" w:cs="Times New Roman"/>
        </w:rPr>
        <w:t>Tupã oñangareko vaʼekue umi ñeʼẽmarandu ypykue marangatu ha hekopete hag̃ua ojejapo hag̃ua la Biblia. Upéi Haʼe omoheñói I-Biblia ary 1611-pe. Upéi omopuʼã peteĩ mensahéro omoĩporã hag̃uáicha umi mbojoja oĩva, ojuhupyre ha oñemopyendáva la Bíbliape, ojapo hag̃ua pe marandu ángel peteĩha rehegua. Ary 1831-pe, Miller marandu oñemoañete ha oñemohendapyre, ojoguaháicha pe marandu Cristo rembiasakuepe oñemohendapyre Juan el Bautista rupive, ha péicha avei pe marandu oñemohendapyre opaite movimiento reformatorio-pe. Pe marandu Miller rehegua, pe marandu ángel peteĩha rehegua omombeʼúva pe juicio ñepyrũ, oñemopyenda hag̃ua directamente pe jeporu rupive pe ára profético mokõi sua ha mokõi pa ary rehegua. Upéva vaʼekue pe marandu ñeñangarekorãva pe mburuvicha guasu poteĩha la profecía bíblica-pe—Estados Unidos.</w:t>
      </w:r>
    </w:p>
    <w:p>
      <w:pPr>
        <w:pStyle w:val="ArticleBody"/>
        <w:jc w:val="left"/>
      </w:pPr>
      <w:r>
        <w:rPr>
          <w:rFonts w:ascii="Times New Roman" w:hAnsi="Times New Roman" w:eastAsia="Times New Roman" w:cs="Times New Roman"/>
        </w:rPr>
        <w:t>1996-тә «Future for America» хизмитиниң иши башланди, вә 1989-жили мöhürи ечилған үчинчи пәриштиниң хәвири — папилиқниң өлүмлүк ярисиниң сақийиши вә йеқинда йәкшәнбә қануниниң келидиғанлиғини тонутқан хәвир — «Ахирқи заман» дегән намдики журналда нәшр қилинди. Адвентизмниң ахиридики хәвәр худди униң бешидики хәвәр рәсмий шәкилгә кәлтүрүлгәндәк рәсмийләштүрүлди. Башлиништа бу хәвәр вақитқа есилған болуп, Худаниң Сөзи ичигә сиңдүрүлгән һәқиқәтләрниң йәниму илгириләп ечилғинини ипадилигән еди. 1996-жили, Америка Қошма Штатлириниң 1776-жилдики туғулушидин икки йүз жигирмә йил өткәндә, Адвентизмниң ахиридики хәвәр рәсмий шәкилгә кәлтүрүлүп, үч пәриштиниң хәвәрлириниң йәниму илгириләп ечилғинини ипадилиди.</w:t>
      </w:r>
    </w:p>
    <w:p>
      <w:pPr>
        <w:pStyle w:val="ArticleBody"/>
        <w:jc w:val="left"/>
      </w:pPr>
      <w:r>
        <w:rPr>
          <w:rFonts w:ascii="Times New Roman" w:hAnsi="Times New Roman" w:eastAsia="Times New Roman" w:cs="Times New Roman"/>
        </w:rPr>
        <w:t>Ay qablaşdırmasında Müqəddəs Kitab peyğəmbərliyinin altıncı padşahlığının tarixində Respublika buynuzunun və Protestant buynuzunun paralel tarixini araşdırarkən, Protestant buynuzunun kim olduğu və kim olmadığı mütləq düzgün başa düşülməlidir.</w:t>
      </w:r>
    </w:p>
    <w:p>
      <w:pPr>
        <w:pStyle w:val="ArticleScripture"/>
        <w:jc w:val="left"/>
      </w:pPr>
      <w:r>
        <w:rPr>
          <w:rFonts w:ascii="Times New Roman" w:hAnsi="Times New Roman" w:eastAsia="Times New Roman" w:cs="Times New Roman"/>
        </w:rPr>
        <w:t>Estudia para presentarte aprobado ante Dios, como obrero que no tiene de qué avergonzarse, que traza rectamente la palabra de verdad. Mas evita las palabrerías profanas y vanas, porque conducirán a más impiedad. 2 Timoteo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Ña Faari</dc:title>
  <dc:subject>Karay Protestante</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