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Number Three</w:t>
      </w:r>
    </w:p>
    <w:p>
      <w:pPr>
        <w:pStyle w:val="ArticleSubtitle"/>
        <w:jc w:val="left"/>
      </w:pPr>
      <w:r>
        <w:rPr>
          <w:rFonts w:ascii="Arial" w:hAnsi="Arial" w:eastAsia="Arial" w:cs="Arial"/>
        </w:rPr>
        <w:t>Ngepu me kwanje?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«Paba tayata yachananchik imataq cristianismo kasqanta, imataq cheqaq kaqta, imataq chaskisqanchik fe kasqanta, imataq Bibliaq kamachikuyninkuna kasqanta — aswan hanaq kamachiqmanta qusqanchik kamachikuyninkuna.» The 1888 Materials, 403.</w:t>
      </w:r>
    </w:p>
    <w:p>
      <w:pPr>
        <w:pStyle w:val="ArticleBody"/>
        <w:jc w:val="left"/>
      </w:pPr>
      <w:r>
        <w:rPr>
          <w:rFonts w:ascii="Nirmala UI" w:hAnsi="Nirmala UI" w:eastAsia="Nirmala UI" w:cs="Nirmala UI"/>
        </w:rPr>
        <w:t>बरिसौँदेखि</w:t>
      </w:r>
      <w:r>
        <w:rPr>
          <w:rFonts w:ascii="Times New Roman" w:hAnsi="Times New Roman" w:eastAsia="Times New Roman" w:cs="Times New Roman"/>
        </w:rPr>
        <w:t xml:space="preserve"> Future for America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चिनारी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सातवटा</w:t>
      </w:r>
      <w:r>
        <w:rPr>
          <w:rFonts w:ascii="Times New Roman" w:hAnsi="Times New Roman" w:eastAsia="Times New Roman" w:cs="Times New Roman"/>
        </w:rPr>
        <w:t xml:space="preserve"> </w:t>
      </w:r>
      <w:r>
        <w:rPr>
          <w:rFonts w:ascii="Nirmala UI" w:hAnsi="Nirmala UI" w:eastAsia="Nirmala UI" w:cs="Nirmala UI"/>
        </w:rPr>
        <w:t>मण्डलीहरूले</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प्रेरितहरूको</w:t>
      </w:r>
      <w:r>
        <w:rPr>
          <w:rFonts w:ascii="Times New Roman" w:hAnsi="Times New Roman" w:eastAsia="Times New Roman" w:cs="Times New Roman"/>
        </w:rPr>
        <w:t xml:space="preserve"> </w:t>
      </w:r>
      <w:r>
        <w:rPr>
          <w:rFonts w:ascii="Nirmala UI" w:hAnsi="Nirmala UI" w:eastAsia="Nirmala UI" w:cs="Nirmala UI"/>
        </w:rPr>
        <w:t>समयदेखि</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अन्त्यसम्मको</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गर्दैनन्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सातवटा</w:t>
      </w:r>
      <w:r>
        <w:rPr>
          <w:rFonts w:ascii="Times New Roman" w:hAnsi="Times New Roman" w:eastAsia="Times New Roman" w:cs="Times New Roman"/>
        </w:rPr>
        <w:t xml:space="preserve"> </w:t>
      </w:r>
      <w:r>
        <w:rPr>
          <w:rFonts w:ascii="Nirmala UI" w:hAnsi="Nirmala UI" w:eastAsia="Nirmala UI" w:cs="Nirmala UI"/>
        </w:rPr>
        <w:t>मण्डलीहरूले</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समयदेखि</w:t>
      </w:r>
      <w:r>
        <w:rPr>
          <w:rFonts w:ascii="Times New Roman" w:hAnsi="Times New Roman" w:eastAsia="Times New Roman" w:cs="Times New Roman"/>
        </w:rPr>
        <w:t xml:space="preserve"> </w:t>
      </w:r>
      <w:r>
        <w:rPr>
          <w:rFonts w:ascii="Nirmala UI" w:hAnsi="Nirmala UI" w:eastAsia="Nirmala UI" w:cs="Nirmala UI"/>
        </w:rPr>
        <w:t>स्तिफनसलाई</w:t>
      </w:r>
      <w:r>
        <w:rPr>
          <w:rFonts w:ascii="Times New Roman" w:hAnsi="Times New Roman" w:eastAsia="Times New Roman" w:cs="Times New Roman"/>
        </w:rPr>
        <w:t xml:space="preserve"> </w:t>
      </w:r>
      <w:r>
        <w:rPr>
          <w:rFonts w:ascii="Nirmala UI" w:hAnsi="Nirmala UI" w:eastAsia="Nirmala UI" w:cs="Nirmala UI"/>
        </w:rPr>
        <w:t>ढुङ्गाले</w:t>
      </w:r>
      <w:r>
        <w:rPr>
          <w:rFonts w:ascii="Times New Roman" w:hAnsi="Times New Roman" w:eastAsia="Times New Roman" w:cs="Times New Roman"/>
        </w:rPr>
        <w:t xml:space="preserve"> </w:t>
      </w:r>
      <w:r>
        <w:rPr>
          <w:rFonts w:ascii="Nirmala UI" w:hAnsi="Nirmala UI" w:eastAsia="Nirmala UI" w:cs="Nirmala UI"/>
        </w:rPr>
        <w:t>हानेर</w:t>
      </w:r>
      <w:r>
        <w:rPr>
          <w:rFonts w:ascii="Times New Roman" w:hAnsi="Times New Roman" w:eastAsia="Times New Roman" w:cs="Times New Roman"/>
        </w:rPr>
        <w:t xml:space="preserve"> </w:t>
      </w:r>
      <w:r>
        <w:rPr>
          <w:rFonts w:ascii="Nirmala UI" w:hAnsi="Nirmala UI" w:eastAsia="Nirmala UI" w:cs="Nirmala UI"/>
        </w:rPr>
        <w:t>मारिएको</w:t>
      </w:r>
      <w:r>
        <w:rPr>
          <w:rFonts w:ascii="Times New Roman" w:hAnsi="Times New Roman" w:eastAsia="Times New Roman" w:cs="Times New Roman"/>
        </w:rPr>
        <w:t xml:space="preserve"> </w:t>
      </w:r>
      <w:r>
        <w:rPr>
          <w:rFonts w:ascii="Nirmala UI" w:hAnsi="Nirmala UI" w:eastAsia="Nirmala UI" w:cs="Nirmala UI"/>
        </w:rPr>
        <w:t>समयसम्मको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अग्रगामीहरूले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दिएनन्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सिद्धान्तहरूलाई</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आरम्भबाटै</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चिनाउनुहुन्छ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इस्राएलले</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विशेषताहरूको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Ta Millerite a naibhigeacha, ba í an tuiscint thraidisiúnta Chríostaí ar na seacht n-eaglaisí ná gur léirigh siad na heaglaisí iarbhír san Áise Bheag in aimsir Eoin. Thuig an dearcadh traidisiúnta freisin gur féidir an chomhairle do na heaglaisí aonair a thuiscint mar chomhairle shonrach d’eaglaisí éagsúla ar fud stair na Críostaíochta, agus freisin go mbaineann an chomhairle agus na rabhaidh chéanna sin le Críostaithe aonair. Thuig siad mar an gcéanna go seasann na seacht n-eaglaisí do sheacht dtréimhse de stair na heaglaise ó aimsir na ndeisceabal go deireadh an domhain. Bhí na peirspictíochtaí sin ann roimh stair na Milleriteach. Bhí agus tá na ceithre aithint sin ar na seacht n-eaglaisí, arb iad atá sa dearcadh traidisiúnta a bhí ann roimh William Miller, bunaithe ar léirmhíniú “stairiúil” an Bhíobla. Ba í an mhodheolaíocht sin ar threoraigh aingil Dé William Miller chun glacadh léi.</w:t>
      </w:r>
    </w:p>
    <w:p>
      <w:pPr>
        <w:pStyle w:val="ArticleScripture"/>
        <w:jc w:val="left"/>
      </w:pPr>
      <w:r>
        <w:rPr>
          <w:rFonts w:ascii="Times New Roman" w:hAnsi="Times New Roman" w:eastAsia="Times New Roman" w:cs="Times New Roman"/>
        </w:rPr>
        <w:t>“ئاسیا کی سات کلیسائیں مسیح کی کلیسیا کی تاریخ ہیں، اُس کی سات ہیئتوں میں، اُس کی تمام پیچ و خم میں، اُس کی تمام خوش حالی اور تنگی میں، رسولوں کے ایام سے لے کر دنیا کے اختتام تک۔ سات مہریں زمین کی قوتوں اور بادشاہوں کے کلیسیا کے بارے میں معاملات کی تاریخ ہیں، اور اُسی مدت کے دوران خدا کی اپنے لوگوں پر حفاظت کی بھی۔ سات نرسنگے سات خاص اور سخت عدالتوں کی تاریخ ہیں جو زمین، یا رومی سلطنت، پر بھیجی گئیں۔ اور سات پیالے وہ سات آخری آفتیں ہیں جو پاپائی روم پر نازل کی گئیں۔ اِن کے ساتھ بہت سے دوسرے واقعات بھی ملے ہوئے ہیں، جو خراجی ندیوں کی مانند بُنے گئے ہیں، اور نبوت کے عظیم دریا کو بھر دیتے ہیں، یہاں تک کہ یہ سب کچھ آخرکار ابدیت کے سمندر میں جا ملتا ہے۔”</w:t>
      </w:r>
    </w:p>
    <w:p>
      <w:pPr>
        <w:pStyle w:val="ArticleScripture"/>
        <w:jc w:val="left"/>
      </w:pPr>
      <w:r>
        <w:rPr>
          <w:rFonts w:ascii="Times New Roman" w:hAnsi="Times New Roman" w:eastAsia="Times New Roman" w:cs="Times New Roman"/>
        </w:rPr>
        <w:t>«Anaa, John khuchha qillqaska profeciap wakichasqanmanta yuyayniymi Revelación libropi. Kay librota entiendeyta munaj runaqa, Diospa siminpa wakin rakikuna-manta allinta, tukuy sunquwan yachayniyoq kanan tiyan. Kay profeciapi apasqa rikch’akuykuna, metáforakuna ima, llapallanpis kikinpiqa mana sut’inchasqachu, aswanqa wakin profetakunapi mask’asqa kanan tiyan, Escrituraq wakin pasajesninkunapim sut’inchasqa kanan. Chayrayku sut’imi, Diosqa tukuyta yachakuyta munasqan, mayqin partetapas sut’i yachaywan entiendenapaq.» William Miller, Miller’s Lectures, volume 2, lecture 12, 178.</w:t>
      </w:r>
    </w:p>
    <w:p>
      <w:pPr>
        <w:pStyle w:val="ArticleBody"/>
        <w:jc w:val="left"/>
      </w:pPr>
      <w:r>
        <w:rPr>
          <w:rFonts w:ascii="Times New Roman" w:hAnsi="Times New Roman" w:eastAsia="Times New Roman" w:cs="Times New Roman"/>
        </w:rPr>
        <w:t>Beyeṭe Whyite tesmamech ena teqebalech beMiller yeteyazeun “historicist” ayt, neger gin Miller ayyimelketaw yeneberawun meṣḥafe Rā’ey yetebalewin yeqelal aqal beṭelq yiqenetaw yelaketch, mkinyatūm Miller meqdesun beminet endehone ayawqewm neber. Meqdesun midr endehone new yāseredaw neber. Beyeṭe Whyite, Iyesus bemeṣḥafe Rā’ey yetewesenu tinbiyochn siqerib, Kristos yihn yemiyadergew bekebri semayawi Liqe Kahinatnet sira gar tewāḍḍo endehone āwqalech.</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তাকিয়ে</w:t>
      </w:r>
      <w:r>
        <w:rPr>
          <w:rFonts w:ascii="Times New Roman" w:hAnsi="Times New Roman" w:eastAsia="Times New Roman" w:cs="Times New Roman"/>
        </w:rPr>
        <w:t xml:space="preserve"> </w:t>
      </w:r>
      <w:r>
        <w:rPr>
          <w:rFonts w:ascii="Nirmala UI" w:hAnsi="Nirmala UI" w:eastAsia="Nirmala UI" w:cs="Nirmala UI"/>
        </w:rPr>
        <w:t>খ্রীষ্টকে</w:t>
      </w:r>
      <w:r>
        <w:rPr>
          <w:rFonts w:ascii="Times New Roman" w:hAnsi="Times New Roman" w:eastAsia="Times New Roman" w:cs="Times New Roman"/>
        </w:rPr>
        <w:t xml:space="preserve"> </w:t>
      </w:r>
      <w:r>
        <w:rPr>
          <w:rFonts w:ascii="Nirmala UI" w:hAnsi="Nirmala UI" w:eastAsia="Nirmala UI" w:cs="Nirmala UI"/>
        </w:rPr>
        <w:t>দেখেন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যাজকীয়</w:t>
      </w:r>
      <w:r>
        <w:rPr>
          <w:rFonts w:ascii="Times New Roman" w:hAnsi="Times New Roman" w:eastAsia="Times New Roman" w:cs="Times New Roman"/>
        </w:rPr>
        <w:t xml:space="preserve"> </w:t>
      </w:r>
      <w:r>
        <w:rPr>
          <w:rFonts w:ascii="Nirmala UI" w:hAnsi="Nirmala UI" w:eastAsia="Nirmala UI" w:cs="Nirmala UI"/>
        </w:rPr>
        <w:t>বস্ত্র</w:t>
      </w:r>
      <w:r>
        <w:rPr>
          <w:rFonts w:ascii="Times New Roman" w:hAnsi="Times New Roman" w:eastAsia="Times New Roman" w:cs="Times New Roman"/>
        </w:rPr>
        <w:t xml:space="preserve"> </w:t>
      </w:r>
      <w:r>
        <w:rPr>
          <w:rFonts w:ascii="Nirmala UI" w:hAnsi="Nirmala UI" w:eastAsia="Nirmala UI" w:cs="Nirmala UI"/>
        </w:rPr>
        <w:t>পরিহিত</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প্রদীপদানগুলির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বিচরণ</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প্রদীপদানগুলি</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স্বর্গারোহণের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1844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মহাপবিত্র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বাস্তবতার</w:t>
      </w:r>
      <w:r>
        <w:rPr>
          <w:rFonts w:ascii="Times New Roman" w:hAnsi="Times New Roman" w:eastAsia="Times New Roman" w:cs="Times New Roman"/>
        </w:rPr>
        <w:t xml:space="preserve"> </w:t>
      </w:r>
      <w:r>
        <w:rPr>
          <w:rFonts w:ascii="Nirmala UI" w:hAnsi="Nirmala UI" w:eastAsia="Nirmala UI" w:cs="Nirmala UI"/>
        </w:rPr>
        <w:t>তাৎপর্য</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পারেননি।</w:t>
      </w:r>
      <w:r>
        <w:rPr>
          <w:rFonts w:ascii="Times New Roman" w:hAnsi="Times New Roman" w:eastAsia="Times New Roman" w:cs="Times New Roman"/>
        </w:rPr>
        <w:t xml:space="preserve"> </w:t>
      </w:r>
      <w:r>
        <w:rPr>
          <w:rFonts w:ascii="Nirmala UI" w:hAnsi="Nirmala UI" w:eastAsia="Nirmala UI" w:cs="Nirmala UI"/>
        </w:rPr>
        <w:t>টিন্ডেল</w:t>
      </w:r>
      <w:r>
        <w:rPr>
          <w:rFonts w:ascii="Times New Roman" w:hAnsi="Times New Roman" w:eastAsia="Times New Roman" w:cs="Times New Roman"/>
        </w:rPr>
        <w:t xml:space="preserve">, </w:t>
      </w:r>
      <w:r>
        <w:rPr>
          <w:rFonts w:ascii="Nirmala UI" w:hAnsi="Nirmala UI" w:eastAsia="Nirmala UI" w:cs="Nirmala UI"/>
        </w:rPr>
        <w:t>লুথার</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উইকলিফ</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সংস্কারকদের</w:t>
      </w:r>
      <w:r>
        <w:rPr>
          <w:rFonts w:ascii="Times New Roman" w:hAnsi="Times New Roman" w:eastAsia="Times New Roman" w:cs="Times New Roman"/>
        </w:rPr>
        <w:t xml:space="preserve"> </w:t>
      </w:r>
      <w:r>
        <w:rPr>
          <w:rFonts w:ascii="Nirmala UI" w:hAnsi="Nirmala UI" w:eastAsia="Nirmala UI" w:cs="Nirmala UI"/>
        </w:rPr>
        <w:t>কেউই</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পারতেন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ক্রমোন্নতিশীল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উজ্জ্বল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উজ্জ্বলতর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দিবস</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জ্বলতে</w:t>
      </w:r>
      <w:r>
        <w:rPr>
          <w:rFonts w:ascii="Times New Roman" w:hAnsi="Times New Roman" w:eastAsia="Times New Roman" w:cs="Times New Roman"/>
        </w:rPr>
        <w:t xml:space="preserve"> </w:t>
      </w:r>
      <w:r>
        <w:rPr>
          <w:rFonts w:ascii="Nirmala UI" w:hAnsi="Nirmala UI" w:eastAsia="Nirmala UI" w:cs="Nirmala UI"/>
        </w:rPr>
        <w:t>থাকে।</w:t>
      </w:r>
    </w:p>
    <w:p>
      <w:pPr>
        <w:pStyle w:val="ArticleScripture"/>
        <w:jc w:val="left"/>
      </w:pPr>
      <w:r>
        <w:rPr>
          <w:rFonts w:ascii="Times New Roman" w:hAnsi="Times New Roman" w:eastAsia="Times New Roman" w:cs="Times New Roman"/>
        </w:rPr>
        <w:t>«Ռոբինսոնի և Ռոջեր Ուիլյամսի կողմից այնքան վեհորեն պաշտպանված այն մեծ սկզբունքը, թե ճշմարտությունը առաջադիմական է, և թե քրիստոնյաները պետք է պատրաստ լինեն ընդունելու ամբողջ այն լույսը, որ կարող է շողալ Աստծո սուրբ խոսքից, կորավ նրանց ժառանգների տեսադաշտից։ Ամերիկայի բողոքական եկեղեցիները,—և նաև Եվրոպայի եկեղեցիները,—որոնք այնքան մեծապես արտոնված էին Բարեփոխման օրհնությունները ստանալով, չշարունակեցին առաջ ընթանալ բարեփոխման ճանապարհով։ Թեև ժամանակ առ ժամանակ ելան մի քանի հավատարիմ մարդիկ՝ հռչակելու նոր ճշմարտություն և մերկացնելու վաղուց փայփայված մոլորությունը, մեծամասնությունը, ինչպես հրեաները Քրիստոսի օրերում կամ պապականները Լյութերի ժամանակ, բավարարված էին հավատալու այնպես, ինչպես հավատացել էին իրենց հայրերը, և ապրելու այնպես, ինչպես նրանք էին ապրել։ Ուստի կրոնը կրկին այլասերվեց ձևապաշտության, և սխալներն ու սնահավատությունները, որոնք մի կողմ կդրվեին, եթե եկեղեցին շարունակեր քայլել Աստծո խոսքի լույսի մեջ, պահպանվեցին և փայփայվեցին։ Այսպիսով Բարեփոխմամբ ներշնչված ոգին աստիճանաբար մարեց, մինչև որ բողոքական եկեղեցիներում գրեթե նույնքան մեծ կարիք առաջացավ բարեփոխման, որքան Հռոմեական եկեղեցում՝ Լյութերի ժամանակ։ Նույն աշխարհասիրությունն ու հոգևոր թմրությունն էր, մարդկանց կարծիքների հանդեպ նմանատիպ ակնածանքը, և մարդկային տեսությունների փոխարինումը Աստծո խոսքի ուսմունքների փոխարեն»։ Մեծ պայքար, 297։</w:t>
      </w:r>
    </w:p>
    <w:p>
      <w:pPr>
        <w:pStyle w:val="ArticleBody"/>
        <w:jc w:val="left"/>
      </w:pPr>
      <w:r>
        <w:rPr>
          <w:rFonts w:ascii="Times New Roman" w:hAnsi="Times New Roman" w:eastAsia="Times New Roman" w:cs="Times New Roman"/>
        </w:rPr>
        <w:t>Agar haqiqatning tarix davomida bosqichma-bosqich rivojlanib borishi tan olinmasa, unda ushbu so‘nggi avloddagi har qanday yangi nurning ahamiyatini anglab yetish, ehtimol, mutlaqo imkonsiz bo‘lib qolishi mumkin. Biror kishi “haqiqat”ning taraqqiy etuvchi tabiatini anglashdan to‘xtashi bilanoq, u avtomatik ravishda an’analar, urf-odatlar va qulagan insoniy rahbarlikka tayanishni boshlaydi.</w:t>
      </w:r>
    </w:p>
    <w:p>
      <w:pPr>
        <w:pStyle w:val="ArticleBody"/>
        <w:jc w:val="left"/>
      </w:pPr>
      <w:r>
        <w:rPr>
          <w:rFonts w:ascii="Times New Roman" w:hAnsi="Times New Roman" w:eastAsia="Times New Roman" w:cs="Times New Roman"/>
        </w:rPr>
        <w:t>Miller kullançqana metodologiya, apostollar bilen başlanğan kitabi ḥaqqaniyettıñ rivojlanıwı boyınsha guwalıq beretuğın, bükil payğambarlıq sızığı arqalı ötetuğın bir belgidir. Biraq Miller arqalı körsetilgen bul belgide, soñında oğan muwapiq bir qarsılıqtı talap etetuğın bir baslanıw tabamız. Köpler eşqaşan bul haqıyqatlardı tüsinbeydi, biraq Şaytan üşin bulay emes.</w:t>
      </w:r>
    </w:p>
    <w:p>
      <w:pPr>
        <w:pStyle w:val="ArticleBody"/>
        <w:jc w:val="left"/>
      </w:pPr>
      <w:r>
        <w:rPr>
          <w:rFonts w:ascii="Times New Roman" w:hAnsi="Times New Roman" w:eastAsia="Times New Roman" w:cs="Times New Roman"/>
        </w:rPr>
        <w:t>Сатан се е противопоставял на истината и на нейното развитие още от своето въстание на небето. Когато в хода на историята се стигна до момента, в който реформаторите започнаха ясно да разбират как да изучават Библията, Сатан направи онова, което винаги прави, и въведе фалшификати. Историческите свидетелства за неговото дело на подправяне на истината показват, че йезуити като Рибера и Луис де Алкасар съсредоточиха своята фалшификаторска методология именно срещу книгата Откровение. Покварената методология, наричана „претеризъм“, възникна през втория и третия век с двама основни представители на тази лъжлива методология. Единият беше Евсевий Кесарийски (260–339), а другият — Викторин от Петау (починал около 304 г.). И двете тези ранни исторически личности поддържаха методологията, според която книгата Откровение е била изпълнена по времето на Римската империя чрез такива исторически личности като печално известния император Нерон.</w:t>
      </w:r>
    </w:p>
    <w:p>
      <w:pPr>
        <w:pStyle w:val="ArticleBody"/>
        <w:jc w:val="left"/>
      </w:pPr>
      <w:r>
        <w:rPr>
          <w:rFonts w:ascii="Times New Roman" w:hAnsi="Times New Roman" w:eastAsia="Times New Roman" w:cs="Times New Roman"/>
        </w:rPr>
        <w:t>Yn ystod y bedwaredd ganrif ar bymtheg cyflwynodd John Darby (1800–1882) o’r Deyrnas Unedig fethodoleg satanaidd arall, a fewnosodwyd hefyd i’r nodiadau troed yn y Beibl ceffyl pren Troea a elwir y Scofield Reference Bible, yr ydym eisoes wedi ei adnabod. Mae “Dispensationalism” yn fframwaith diwinyddol sy’n rhannu hanes a rhyngweithiad Duw â dynoliaeth yn gyfnodau neilltuol, neu “ddisgyniadau,” lle y gweinydda Duw Ei gynllun mewn gwahanol ffyrdd. Nodaf hyn ar y pwynt hwn, oherwydd dyma un o’r anwireddau a gyflwynwyd i symudiad Future for America gan leisiau o’r un ardal ag y bu Darby yn lledaenu ei syniadau satanaidd. Roedd syniadau Darby a ymosododd ar Future for America ynghyd ag athroniaeth y mudiad hyn a elwir yn “woke” modern, sy’n hyrwyddo’r un anarchiaeth ag a gynrychiolir gan y Chwyldro Ffrengig a’r un anlladrwydd moesol ag a gynrychiolir gan Sodom a Gomorra.</w:t>
      </w:r>
    </w:p>
    <w:p>
      <w:pPr>
        <w:pStyle w:val="ArticleBody"/>
        <w:jc w:val="left"/>
      </w:pPr>
      <w:r>
        <w:rPr>
          <w:rFonts w:ascii="Times New Roman" w:hAnsi="Times New Roman" w:eastAsia="Times New Roman" w:cs="Times New Roman"/>
        </w:rPr>
        <w:t>Ayseñítia yämezämméräw Adventism teolojiyanotch, Mäts’haf Qiddus qinewochin lemäqoräṭ yämiyäglglu and hulet gäbäta yäMäts’haf Qiddus tirgum sir’at bämädäb bäMäts’haf Qiddusinna bäNəbiyyat Manfas lay lemäsärrätinna lemäkäd yätäqämmutal. Säwotchin andandun yäMäts’haf Qiddus qwanqwa mämhiran, andandunmo yäMäts’haf Qiddus tarik mämhiran bäläw yäyitawqal. Səläzih, yäzarew Adventism teolojiyanotch yäLaodicea Adventism həsab bämäkot’at’ir yäIgzi’abəher Qal bägödäña säw yätarik gəbəñña wəyim bägödäña säw yäqwanqwa gəbəñña yämitərgumu bəmädäb naw. Ennäzih zämänawi yäsəḥət gälätsot, yäzihon säfhochi yämätnäbbəbäw mäl’əkt lämäṭqat bəzu gize yätäqämmut, yäFaränsay ʾAbiyot məls sämʾon bänämmäläkät gize bälläfu astäqaqm yitänäggäralu. Seyṭan hayw naw, wägzéw achir endä-honä yawqal. YäMiller qäwaʾid qäräsha, qutər asra arat, bäyih yämikäṭtaläw aqdam məṭäf yidämmäqal.</w:t>
      </w:r>
    </w:p>
    <w:p>
      <w:pPr>
        <w:pStyle w:val="ArticleScripture"/>
        <w:jc w:val="left"/>
      </w:pPr>
      <w:r>
        <w:rPr>
          <w:rFonts w:ascii="Times New Roman" w:hAnsi="Times New Roman" w:eastAsia="Times New Roman" w:cs="Times New Roman"/>
        </w:rPr>
        <w:t>“</w:t>
      </w:r>
      <w:r>
        <w:rPr>
          <w:rFonts w:ascii="Nirmala UI" w:hAnsi="Nirmala UI" w:eastAsia="Nirmala UI" w:cs="Nirmala UI"/>
        </w:rPr>
        <w:t>ᱟᱞᱮᱭᱟᱜ</w:t>
      </w:r>
      <w:r>
        <w:rPr>
          <w:rFonts w:ascii="Times New Roman" w:hAnsi="Times New Roman" w:eastAsia="Times New Roman" w:cs="Times New Roman"/>
        </w:rPr>
        <w:t xml:space="preserve"> </w:t>
      </w:r>
      <w:r>
        <w:rPr>
          <w:rFonts w:ascii="Nirmala UI" w:hAnsi="Nirmala UI" w:eastAsia="Nirmala UI" w:cs="Nirmala UI"/>
        </w:rPr>
        <w:t>ᱥᱠᱩᱞ</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ᱡᱟᱦᱟᱱ</w:t>
      </w:r>
      <w:r>
        <w:rPr>
          <w:rFonts w:ascii="Times New Roman" w:hAnsi="Times New Roman" w:eastAsia="Times New Roman" w:cs="Times New Roman"/>
        </w:rPr>
        <w:t xml:space="preserve"> </w:t>
      </w:r>
      <w:r>
        <w:rPr>
          <w:rFonts w:ascii="Nirmala UI" w:hAnsi="Nirmala UI" w:eastAsia="Nirmala UI" w:cs="Nirmala UI"/>
        </w:rPr>
        <w:t>ᱫᱤᱵᱤᱱᱤᱴᱤ</w:t>
      </w:r>
      <w:r>
        <w:rPr>
          <w:rFonts w:ascii="Times New Roman" w:hAnsi="Times New Roman" w:eastAsia="Times New Roman" w:cs="Times New Roman"/>
        </w:rPr>
        <w:t xml:space="preserve"> </w:t>
      </w:r>
      <w:r>
        <w:rPr>
          <w:rFonts w:ascii="Nirmala UI" w:hAnsi="Nirmala UI" w:eastAsia="Nirmala UI" w:cs="Nirmala UI"/>
        </w:rPr>
        <w:t>ᱥᱤᱠᱷᱭᱟᱹᱣᱟ</w:t>
      </w:r>
      <w:r>
        <w:rPr>
          <w:rFonts w:ascii="Times New Roman" w:hAnsi="Times New Roman" w:eastAsia="Times New Roman" w:cs="Times New Roman"/>
        </w:rPr>
        <w:t xml:space="preserve"> </w:t>
      </w:r>
      <w:r>
        <w:rPr>
          <w:rFonts w:ascii="Nirmala UI" w:hAnsi="Nirmala UI" w:eastAsia="Nirmala UI" w:cs="Nirmala UI"/>
        </w:rPr>
        <w:t>ᱥᱮᱫ</w:t>
      </w:r>
      <w:r>
        <w:rPr>
          <w:rFonts w:ascii="Times New Roman" w:hAnsi="Times New Roman" w:eastAsia="Times New Roman" w:cs="Times New Roman"/>
        </w:rPr>
        <w:t xml:space="preserve">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ᱠᱚᱱᱚ</w:t>
      </w:r>
      <w:r>
        <w:rPr>
          <w:rFonts w:ascii="Times New Roman" w:hAnsi="Times New Roman" w:eastAsia="Times New Roman" w:cs="Times New Roman"/>
        </w:rPr>
        <w:t xml:space="preserve"> </w:t>
      </w:r>
      <w:r>
        <w:rPr>
          <w:rFonts w:ascii="Nirmala UI" w:hAnsi="Nirmala UI" w:eastAsia="Nirmala UI" w:cs="Nirmala UI"/>
        </w:rPr>
        <w:t>ᱥᱮᱠᱴᱟᱨᱤᱭᱟᱱ</w:t>
      </w:r>
      <w:r>
        <w:rPr>
          <w:rFonts w:ascii="Times New Roman" w:hAnsi="Times New Roman" w:eastAsia="Times New Roman" w:cs="Times New Roman"/>
        </w:rPr>
        <w:t xml:space="preserve"> </w:t>
      </w:r>
      <w:r>
        <w:rPr>
          <w:rFonts w:ascii="Nirmala UI" w:hAnsi="Nirmala UI" w:eastAsia="Nirmala UI" w:cs="Nirmala UI"/>
        </w:rPr>
        <w:t>ᱠᱨᱤᱰ</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ᱛᱷᱟᱵᱟᱣᱟᱠᱟᱱᱟ।</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ᱦᱚᱭᱚᱜᱼᱟ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ᱦᱚᱸᱭ</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ᱮᱦᱚᱯ</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ᱞᱮᱠᱟᱱ</w:t>
      </w:r>
      <w:r>
        <w:rPr>
          <w:rFonts w:ascii="Times New Roman" w:hAnsi="Times New Roman" w:eastAsia="Times New Roman" w:cs="Times New Roman"/>
        </w:rPr>
        <w:t xml:space="preserve"> </w:t>
      </w:r>
      <w:r>
        <w:rPr>
          <w:rFonts w:ascii="Nirmala UI" w:hAnsi="Nirmala UI" w:eastAsia="Nirmala UI" w:cs="Nirmala UI"/>
        </w:rPr>
        <w:t>ᱟᱜ</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ᱩᱥᱟᱹᱨ</w:t>
      </w:r>
      <w:r>
        <w:rPr>
          <w:rFonts w:ascii="Times New Roman" w:hAnsi="Times New Roman" w:eastAsia="Times New Roman" w:cs="Times New Roman"/>
        </w:rPr>
        <w:t xml:space="preserve"> </w:t>
      </w:r>
      <w:r>
        <w:rPr>
          <w:rFonts w:ascii="Nirmala UI" w:hAnsi="Nirmala UI" w:eastAsia="Nirmala UI" w:cs="Nirmala UI"/>
        </w:rPr>
        <w:t>ᱟᱜᱩᱭᱟ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ᱵᱤᱜᱚᱴᱨᱤ</w:t>
      </w:r>
      <w:r>
        <w:rPr>
          <w:rFonts w:ascii="Times New Roman" w:hAnsi="Times New Roman" w:eastAsia="Times New Roman" w:cs="Times New Roman"/>
        </w:rPr>
        <w:t xml:space="preserve"> </w:t>
      </w:r>
      <w:r>
        <w:rPr>
          <w:rFonts w:ascii="Nirmala UI" w:hAnsi="Nirmala UI" w:eastAsia="Nirmala UI" w:cs="Nirmala UI"/>
        </w:rPr>
        <w:t>ᱨᱮᱜᱮ</w:t>
      </w:r>
      <w:r>
        <w:rPr>
          <w:rFonts w:ascii="Times New Roman" w:hAnsi="Times New Roman" w:eastAsia="Times New Roman" w:cs="Times New Roman"/>
        </w:rPr>
        <w:t xml:space="preserve"> </w:t>
      </w:r>
      <w:r>
        <w:rPr>
          <w:rFonts w:ascii="Nirmala UI" w:hAnsi="Nirmala UI" w:eastAsia="Nirmala UI" w:cs="Nirmala UI"/>
        </w:rPr>
        <w:t>ᱪᱟᱵᱟᱭᱚᱜᱼᱟ।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ᱥᱟᱫᱷᱤᱱ</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ᱡᱟᱦᱟᱱ</w:t>
      </w:r>
      <w:r>
        <w:rPr>
          <w:rFonts w:ascii="Times New Roman" w:hAnsi="Times New Roman" w:eastAsia="Times New Roman" w:cs="Times New Roman"/>
        </w:rPr>
        <w:t xml:space="preserve"> </w:t>
      </w:r>
      <w:r>
        <w:rPr>
          <w:rFonts w:ascii="Nirmala UI" w:hAnsi="Nirmala UI" w:eastAsia="Nirmala UI" w:cs="Nirmala UI"/>
        </w:rPr>
        <w:t>ᱮᱴᱟᱜᱠᱚ</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ᱫᱨᱤᱥᱴᱤᱠᱚ</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ᱡᱟᱦᱟᱱᱛᱤᱥ</w:t>
      </w:r>
      <w:r>
        <w:rPr>
          <w:rFonts w:ascii="Times New Roman" w:hAnsi="Times New Roman" w:eastAsia="Times New Roman" w:cs="Times New Roman"/>
        </w:rPr>
        <w:t xml:space="preserve"> </w:t>
      </w:r>
      <w:r>
        <w:rPr>
          <w:rFonts w:ascii="Nirmala UI" w:hAnsi="Nirmala UI" w:eastAsia="Nirmala UI" w:cs="Nirmala UI"/>
        </w:rPr>
        <w:t>ᱢᱟ</w:t>
      </w:r>
      <w:r>
        <w:rPr>
          <w:rFonts w:ascii="Times New Roman" w:hAnsi="Times New Roman" w:eastAsia="Times New Roman" w:cs="Times New Roman"/>
        </w:rPr>
        <w:t xml:space="preserve"> </w:t>
      </w:r>
      <w:r>
        <w:rPr>
          <w:rFonts w:ascii="Nirmala UI" w:hAnsi="Nirmala UI" w:eastAsia="Nirmala UI" w:cs="Nirmala UI"/>
        </w:rPr>
        <w:t>ᱨᱩᱣᱟᱹᱲ</w:t>
      </w:r>
      <w:r>
        <w:rPr>
          <w:rFonts w:ascii="Times New Roman" w:hAnsi="Times New Roman" w:eastAsia="Times New Roman" w:cs="Times New Roman"/>
        </w:rPr>
        <w:t xml:space="preserve"> </w:t>
      </w:r>
      <w:r>
        <w:rPr>
          <w:rFonts w:ascii="Nirmala UI" w:hAnsi="Nirmala UI" w:eastAsia="Nirmala UI" w:cs="Nirmala UI"/>
        </w:rPr>
        <w:t>ᱧᱟᱢᱚᱜᱼᱟ।</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ᱫᱤᱵᱤᱱᱤᱴᱤ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ᱡᱩᱣᱟᱹᱱᱠᱚᱣᱟᱜ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ᱥᱤᱠᱷᱭᱟᱹᱣᱤᱡ</w:t>
      </w:r>
      <w:r>
        <w:rPr>
          <w:rFonts w:ascii="Times New Roman" w:hAnsi="Times New Roman" w:eastAsia="Times New Roman" w:cs="Times New Roman"/>
        </w:rPr>
        <w:t xml:space="preserve"> </w:t>
      </w:r>
      <w:r>
        <w:rPr>
          <w:rFonts w:ascii="Nirmala UI" w:hAnsi="Nirmala UI" w:eastAsia="Nirmala UI" w:cs="Nirmala UI"/>
        </w:rPr>
        <w:t>ᱛᱟᱦᱮᱱ</w:t>
      </w:r>
      <w:r>
        <w:rPr>
          <w:rFonts w:ascii="Times New Roman" w:hAnsi="Times New Roman" w:eastAsia="Times New Roman" w:cs="Times New Roman"/>
        </w:rPr>
        <w:t xml:space="preserve"> </w:t>
      </w:r>
      <w:r>
        <w:rPr>
          <w:rFonts w:ascii="Nirmala UI" w:hAnsi="Nirmala UI" w:eastAsia="Nirmala UI" w:cs="Nirmala UI"/>
        </w:rPr>
        <w:t>ᱠᱷᱟᱱ</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ᱠᱟᱹᱵᱤᱞᱤᱭᱟᱹᱛ</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ᱵᱟᱰᱟᱭᱟ।</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ᱵᱷᱟᱞᱚ</w:t>
      </w:r>
      <w:r>
        <w:rPr>
          <w:rFonts w:ascii="Times New Roman" w:hAnsi="Times New Roman" w:eastAsia="Times New Roman" w:cs="Times New Roman"/>
        </w:rPr>
        <w:t xml:space="preserve"> </w:t>
      </w:r>
      <w:r>
        <w:rPr>
          <w:rFonts w:ascii="Nirmala UI" w:hAnsi="Nirmala UI" w:eastAsia="Nirmala UI" w:cs="Nirmala UI"/>
        </w:rPr>
        <w:t>ᱛᱟᱦᱮᱱ</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ᱩᱱᱠᱩᱠᱚ</w:t>
      </w:r>
      <w:r>
        <w:rPr>
          <w:rFonts w:ascii="Times New Roman" w:hAnsi="Times New Roman" w:eastAsia="Times New Roman" w:cs="Times New Roman"/>
        </w:rPr>
        <w:t xml:space="preserve"> </w:t>
      </w:r>
      <w:r>
        <w:rPr>
          <w:rFonts w:ascii="Nirmala UI" w:hAnsi="Nirmala UI" w:eastAsia="Nirmala UI" w:cs="Nirmala UI"/>
        </w:rPr>
        <w:t>ᱵᱟᱭᱵᱮᱞ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ᱟᱯᱮ</w:t>
      </w:r>
      <w:r>
        <w:rPr>
          <w:rFonts w:ascii="Times New Roman" w:hAnsi="Times New Roman" w:eastAsia="Times New Roman" w:cs="Times New Roman"/>
        </w:rPr>
        <w:t xml:space="preserve"> </w:t>
      </w:r>
      <w:r>
        <w:rPr>
          <w:rFonts w:ascii="Nirmala UI" w:hAnsi="Nirmala UI" w:eastAsia="Nirmala UI" w:cs="Nirmala UI"/>
        </w:rPr>
        <w:t>ᱠᱷᱚᱡ</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ᱥᱮᱫ</w:t>
      </w:r>
      <w:r>
        <w:rPr>
          <w:rFonts w:ascii="Times New Roman" w:hAnsi="Times New Roman" w:eastAsia="Times New Roman" w:cs="Times New Roman"/>
        </w:rPr>
        <w:t xml:space="preserve"> </w:t>
      </w:r>
      <w:r>
        <w:rPr>
          <w:rFonts w:ascii="Nirmala UI" w:hAnsi="Nirmala UI" w:eastAsia="Nirmala UI" w:cs="Nirmala UI"/>
        </w:rPr>
        <w:t>ᱥᱤᱠᱷᱭᱟᱹᱣᱟ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ᱚᱰᱚᱜ</w:t>
      </w:r>
      <w:r>
        <w:rPr>
          <w:rFonts w:ascii="Times New Roman" w:hAnsi="Times New Roman" w:eastAsia="Times New Roman" w:cs="Times New Roman"/>
        </w:rPr>
        <w:t xml:space="preserve"> </w:t>
      </w:r>
      <w:r>
        <w:rPr>
          <w:rFonts w:ascii="Nirmala UI" w:hAnsi="Nirmala UI" w:eastAsia="Nirmala UI" w:cs="Nirmala UI"/>
        </w:rPr>
        <w:t>ᱡᱟᱜᱟᱛ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ᱵᱷᱟᱞᱚ</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ᱠᱟᱢᱤ</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ᱥᱟᱫᱷᱤᱱ</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ᱠᱩᱞᱤᱭᱟ।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ᱵᱟᱹᱱᱩᱜᱼᱟ</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ᱩᱱᱠᱩᱠᱚ</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ᱪᱷᱟᱯ</w:t>
      </w:r>
      <w:r>
        <w:rPr>
          <w:rFonts w:ascii="Times New Roman" w:hAnsi="Times New Roman" w:eastAsia="Times New Roman" w:cs="Times New Roman"/>
        </w:rPr>
        <w:t xml:space="preserve"> </w:t>
      </w:r>
      <w:r>
        <w:rPr>
          <w:rFonts w:ascii="Nirmala UI" w:hAnsi="Nirmala UI" w:eastAsia="Nirmala UI" w:cs="Nirmala UI"/>
        </w:rPr>
        <w:t>ᱮᱢᱟ</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ᱞᱟᱛᱟᱨ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‘bigot’ </w:t>
      </w:r>
      <w:r>
        <w:rPr>
          <w:rFonts w:ascii="Nirmala UI" w:hAnsi="Nirmala UI" w:eastAsia="Nirmala UI" w:cs="Nirmala UI"/>
        </w:rPr>
        <w:t>ᱚᱞ</w:t>
      </w:r>
      <w:r>
        <w:rPr>
          <w:rFonts w:ascii="Times New Roman" w:hAnsi="Times New Roman" w:eastAsia="Times New Roman" w:cs="Times New Roman"/>
        </w:rPr>
        <w:t xml:space="preserve"> </w:t>
      </w:r>
      <w:r>
        <w:rPr>
          <w:rFonts w:ascii="Nirmala UI" w:hAnsi="Nirmala UI" w:eastAsia="Nirmala UI" w:cs="Nirmala UI"/>
        </w:rPr>
        <w:t>ᱚᱪᱚᱭᱟ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ᱠᱩᱞᱤᱭᱟ</w:t>
      </w:r>
      <w:r>
        <w:rPr>
          <w:rFonts w:ascii="Times New Roman" w:hAnsi="Times New Roman" w:eastAsia="Times New Roman" w:cs="Times New Roman"/>
        </w:rPr>
        <w:t xml:space="preserve"> </w:t>
      </w:r>
      <w:r>
        <w:rPr>
          <w:rFonts w:ascii="Nirmala UI" w:hAnsi="Nirmala UI" w:eastAsia="Nirmala UI" w:cs="Nirmala UI"/>
        </w:rPr>
        <w:t>ᱡᱮᱞᱠᱟ</w:t>
      </w:r>
      <w:r>
        <w:rPr>
          <w:rFonts w:ascii="Times New Roman" w:hAnsi="Times New Roman" w:eastAsia="Times New Roman" w:cs="Times New Roman"/>
        </w:rPr>
        <w:t xml:space="preserve"> </w:t>
      </w:r>
      <w:r>
        <w:rPr>
          <w:rFonts w:ascii="Nirmala UI" w:hAnsi="Nirmala UI" w:eastAsia="Nirmala UI" w:cs="Nirmala UI"/>
        </w:rPr>
        <w:t>ᱫᱟᱥ</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William Miller, Miller’s Works, volume 1, 24.</w:t>
      </w:r>
    </w:p>
    <w:p>
      <w:pPr>
        <w:pStyle w:val="ArticleBody"/>
        <w:jc w:val="left"/>
      </w:pPr>
      <w:r>
        <w:rPr>
          <w:rFonts w:ascii="Times New Roman" w:hAnsi="Times New Roman" w:eastAsia="Times New Roman" w:cs="Times New Roman"/>
        </w:rPr>
        <w:t>Յովհաննէս Հայտնիչի ապրելուց անմիջապէս յետոյ եղած ժամանակաշրջանում, եւ Բարեփոխման օրերում, Սատանան գործունէաբար արտադրում էր կեղծ մարգարէական մեթոդաբանութիւն՝ ճշմարիտ աստուածաշնչական վերլուծութիւնը շփոթեցնելու եւ կործանելու համար։ Այն, ինչ երբեմն վրիպում է այս պատմական փաստերի մէջ, այն է, որ այդ բոլոր սատանայական մեթոդաբանութիւնները ուղղակիօրէն նպատակադրուած էին ոչ մի այլ գրքի, քան միայն Հայտնութեան գրքի դէմ։ Այդ էր այս սատանայական շփոթութեան տարածողների իւրաքանչիւրի նիւթը։ Հայտնութեան գիրքը միշտ եղել է Սատանայի թիրախը։ Սատանան գիտի, որ այն գիրքը, որի դէմ ինքը պէտք է պատերազմ մղի, Հայտնութեան գիրքն է։ Երբ մենք ճանաչում ենք այս փաստը, այնժամ կարող ենք ճանաչել նաեւ մի այլ անտեսանելի իրականութիւն, որ մթագնուած է մէկ այլ նշանակալից ճշմարտութեամբ։</w:t>
      </w:r>
    </w:p>
    <w:p>
      <w:pPr>
        <w:pStyle w:val="ArticleBody"/>
        <w:jc w:val="left"/>
      </w:pPr>
      <w:r>
        <w:rPr>
          <w:rFonts w:ascii="Times New Roman" w:hAnsi="Times New Roman" w:eastAsia="Times New Roman" w:cs="Times New Roman"/>
        </w:rPr>
        <w:t>جی‌سوئیتوں کا جھوٹا منہج اس غرض سے وضع کیا گیا تھا کہ اس واضح فہم کو روکا جائے کہ رومی کلیسیا کا پوپ بائبل کی نبوت کا مخالفِ مسیح ہے۔ ہر ایک پروٹسٹنٹ مصلح نے بالآخر اس حقیقت کو پہچانا اور اس کی نشان دہی کی۔ لہٰذا، جب ماضی میں ریبیرا اور لوئی دی الکازار جیسے اشخاص کی درست تاریخ کو تقریر اور اشاعت کے ذریعے علانیہ پیش کیا گیا، تو ریبیرا اور لوئی دی الکازار جیسے لوگوں کی تاریخ اس مقصد کے لیے استعمال کی گئی کہ اس بات کو ظاہر کیا جائے کہ یہ “مردِ گناہ” کی صحیح پہچان کو روکنے کے لیے شیطانی کوششیں تھیں۔ ان تحریری یا زبانی شہادتوں نے، جو ان شیطانی مناہج کے متعارف کرائے جانے کے مقصد کو بے نقاب کرتی ہیں، جہاں تک وہ جاتی ہیں درست ہیں، لیکن شیطان صرف ان بائبلی ثبوتوں ہی کو نہیں چھپانا چاہتا تھا جو مخالفِ مسیح کی شناخت روم کے پوپ کے طور پر کرتے ہیں۔</w:t>
      </w:r>
    </w:p>
    <w:p>
      <w:pPr>
        <w:pStyle w:val="ArticleBody"/>
        <w:jc w:val="left"/>
      </w:pPr>
      <w:r>
        <w:rPr>
          <w:rFonts w:ascii="Times New Roman" w:hAnsi="Times New Roman" w:eastAsia="Times New Roman" w:cs="Times New Roman"/>
        </w:rPr>
        <w:t>Ay may mga katotohanan sa aklat ng Pahayag na natabunan ng kalituhang ibinunga ng mga huwad na sistemang ito ng pagpapakahulugan sa Biblia na nasa labas ng paksa ng taong ang bilang ay anim, anim, anim. Isa sa mga katotohanang iyon ay tiyak na ang katotohanang inihahayag kapag ang pitong iglesia ay nauunawaan sa kanilang lubos na pag-unlad. May mga katotohanang masusumpungan sa loob ng pitong iglesia na tuwirang nagsasalita hinggil sa kasaysayang nagsimula noong Setyembre 11, 2001 at nagwawakas sa krisis ng batas ng Linggo. Pinagsisikapan ni Satanas na panatilihing nakalibing ang liwanag na ito, at inimbento niya ang mga satanikong metodolohiyang iyon upang palabuin ang ilang hiyas ng katotohanang masusumpungan sa aklat ng Pahayag, hindi lamang ang pagkakakilanlan sa papa ng Roma bilang anticristo.</w:t>
      </w:r>
    </w:p>
    <w:p>
      <w:pPr>
        <w:pStyle w:val="ArticleBody"/>
        <w:jc w:val="left"/>
      </w:pPr>
      <w:r>
        <w:rPr>
          <w:rFonts w:ascii="Nirmala UI" w:hAnsi="Nirmala UI" w:eastAsia="Nirmala UI" w:cs="Nirmala UI"/>
        </w:rPr>
        <w:t>૫૩૮માં</w:t>
      </w:r>
      <w:r>
        <w:rPr>
          <w:rFonts w:ascii="Times New Roman" w:hAnsi="Times New Roman" w:eastAsia="Times New Roman" w:cs="Times New Roman"/>
        </w:rPr>
        <w:t xml:space="preserve"> “</w:t>
      </w:r>
      <w:r>
        <w:rPr>
          <w:rFonts w:ascii="Nirmala UI" w:hAnsi="Nirmala UI" w:eastAsia="Nirmala UI" w:cs="Nirmala UI"/>
        </w:rPr>
        <w:t>પાપનો</w:t>
      </w:r>
      <w:r>
        <w:rPr>
          <w:rFonts w:ascii="Times New Roman" w:hAnsi="Times New Roman" w:eastAsia="Times New Roman" w:cs="Times New Roman"/>
        </w:rPr>
        <w:t xml:space="preserve"> </w:t>
      </w:r>
      <w:r>
        <w:rPr>
          <w:rFonts w:ascii="Nirmala UI" w:hAnsi="Nirmala UI" w:eastAsia="Nirmala UI" w:cs="Nirmala UI"/>
        </w:rPr>
        <w:t>માણસ</w:t>
      </w:r>
      <w:r>
        <w:rPr>
          <w:rFonts w:ascii="Times New Roman" w:hAnsi="Times New Roman" w:eastAsia="Times New Roman" w:cs="Times New Roman"/>
        </w:rPr>
        <w:t xml:space="preserve">”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યુસેબિયસ</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વિક્ટોરિનસ</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પુરુષોએ</w:t>
      </w:r>
      <w:r>
        <w:rPr>
          <w:rFonts w:ascii="Times New Roman" w:hAnsi="Times New Roman" w:eastAsia="Times New Roman" w:cs="Times New Roman"/>
        </w:rPr>
        <w:t xml:space="preserve"> </w:t>
      </w:r>
      <w:r>
        <w:rPr>
          <w:rFonts w:ascii="Nirmala UI" w:hAnsi="Nirmala UI" w:eastAsia="Nirmala UI" w:cs="Nirmala UI"/>
        </w:rPr>
        <w:t>પાપાઈ</w:t>
      </w:r>
      <w:r>
        <w:rPr>
          <w:rFonts w:ascii="Times New Roman" w:hAnsi="Times New Roman" w:eastAsia="Times New Roman" w:cs="Times New Roman"/>
        </w:rPr>
        <w:t xml:space="preserve"> </w:t>
      </w:r>
      <w:r>
        <w:rPr>
          <w:rFonts w:ascii="Nirmala UI" w:hAnsi="Nirmala UI" w:eastAsia="Nirmala UI" w:cs="Nirmala UI"/>
        </w:rPr>
        <w:t>સત્તાના</w:t>
      </w:r>
      <w:r>
        <w:rPr>
          <w:rFonts w:ascii="Times New Roman" w:hAnsi="Times New Roman" w:eastAsia="Times New Roman" w:cs="Times New Roman"/>
        </w:rPr>
        <w:t xml:space="preserve"> </w:t>
      </w:r>
      <w:r>
        <w:rPr>
          <w:rFonts w:ascii="Nirmala UI" w:hAnsi="Nirmala UI" w:eastAsia="Nirmala UI" w:cs="Nirmala UI"/>
        </w:rPr>
        <w:t>ઉદયને</w:t>
      </w:r>
      <w:r>
        <w:rPr>
          <w:rFonts w:ascii="Times New Roman" w:hAnsi="Times New Roman" w:eastAsia="Times New Roman" w:cs="Times New Roman"/>
        </w:rPr>
        <w:t xml:space="preserve"> </w:t>
      </w:r>
      <w:r>
        <w:rPr>
          <w:rFonts w:ascii="Nirmala UI" w:hAnsi="Nirmala UI" w:eastAsia="Nirmala UI" w:cs="Nirmala UI"/>
        </w:rPr>
        <w:t>અસ્પષ્ટ</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પ્રકાશનના</w:t>
      </w:r>
      <w:r>
        <w:rPr>
          <w:rFonts w:ascii="Times New Roman" w:hAnsi="Times New Roman" w:eastAsia="Times New Roman" w:cs="Times New Roman"/>
        </w:rPr>
        <w:t xml:space="preserve"> </w:t>
      </w:r>
      <w:r>
        <w:rPr>
          <w:rFonts w:ascii="Nirmala UI" w:hAnsi="Nirmala UI" w:eastAsia="Nirmala UI" w:cs="Nirmala UI"/>
        </w:rPr>
        <w:t>પુસ્તક</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આક્રમણ</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થિયાતીરાને</w:t>
      </w:r>
      <w:r>
        <w:rPr>
          <w:rFonts w:ascii="Times New Roman" w:hAnsi="Times New Roman" w:eastAsia="Times New Roman" w:cs="Times New Roman"/>
        </w:rPr>
        <w:t xml:space="preserve"> </w:t>
      </w:r>
      <w:r>
        <w:rPr>
          <w:rFonts w:ascii="Nirmala UI" w:hAnsi="Nirmala UI" w:eastAsia="Nirmala UI" w:cs="Nirmala UI"/>
        </w:rPr>
        <w:t>આપેલું</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સુધારણાનો</w:t>
      </w:r>
      <w:r>
        <w:rPr>
          <w:rFonts w:ascii="Times New Roman" w:hAnsi="Times New Roman" w:eastAsia="Times New Roman" w:cs="Times New Roman"/>
        </w:rPr>
        <w:t xml:space="preserve"> </w:t>
      </w:r>
      <w:r>
        <w:rPr>
          <w:rFonts w:ascii="Nirmala UI" w:hAnsi="Nirmala UI" w:eastAsia="Nirmala UI" w:cs="Nirmala UI"/>
        </w:rPr>
        <w:t>પ્રભાતતારો</w:t>
      </w:r>
      <w:r>
        <w:rPr>
          <w:rFonts w:ascii="Times New Roman" w:hAnsi="Times New Roman" w:eastAsia="Times New Roman" w:cs="Times New Roman"/>
        </w:rPr>
        <w:t xml:space="preserve"> (</w:t>
      </w:r>
      <w:r>
        <w:rPr>
          <w:rFonts w:ascii="Nirmala UI" w:hAnsi="Nirmala UI" w:eastAsia="Nirmala UI" w:cs="Nirmala UI"/>
        </w:rPr>
        <w:t>વાયક્લિફ</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સમર્થન</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આગળ</w:t>
      </w:r>
      <w:r>
        <w:rPr>
          <w:rFonts w:ascii="Times New Roman" w:hAnsi="Times New Roman" w:eastAsia="Times New Roman" w:cs="Times New Roman"/>
        </w:rPr>
        <w:t xml:space="preserve"> </w:t>
      </w:r>
      <w:r>
        <w:rPr>
          <w:rFonts w:ascii="Nirmala UI" w:hAnsi="Nirmala UI" w:eastAsia="Nirmala UI" w:cs="Nirmala UI"/>
        </w:rPr>
        <w:t>વધારવા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પ્રખ્યાત</w:t>
      </w:r>
      <w:r>
        <w:rPr>
          <w:rFonts w:ascii="Times New Roman" w:hAnsi="Times New Roman" w:eastAsia="Times New Roman" w:cs="Times New Roman"/>
        </w:rPr>
        <w:t xml:space="preserve"> </w:t>
      </w:r>
      <w:r>
        <w:rPr>
          <w:rFonts w:ascii="Nirmala UI" w:hAnsi="Nirmala UI" w:eastAsia="Nirmala UI" w:cs="Nirmala UI"/>
        </w:rPr>
        <w:t>ઐતિહાસિક</w:t>
      </w:r>
      <w:r>
        <w:rPr>
          <w:rFonts w:ascii="Times New Roman" w:hAnsi="Times New Roman" w:eastAsia="Times New Roman" w:cs="Times New Roman"/>
        </w:rPr>
        <w:t xml:space="preserve"> </w:t>
      </w:r>
      <w:r>
        <w:rPr>
          <w:rFonts w:ascii="Nirmala UI" w:hAnsi="Nirmala UI" w:eastAsia="Nirmala UI" w:cs="Nirmala UI"/>
        </w:rPr>
        <w:t>વ્યક્તિઓને</w:t>
      </w:r>
      <w:r>
        <w:rPr>
          <w:rFonts w:ascii="Times New Roman" w:hAnsi="Times New Roman" w:eastAsia="Times New Roman" w:cs="Times New Roman"/>
        </w:rPr>
        <w:t xml:space="preserve"> </w:t>
      </w:r>
      <w:r>
        <w:rPr>
          <w:rFonts w:ascii="Nirmala UI" w:hAnsi="Nirmala UI" w:eastAsia="Nirmala UI" w:cs="Nirmala UI"/>
        </w:rPr>
        <w:t>ઉપસ્થિત</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વિકાસને</w:t>
      </w:r>
      <w:r>
        <w:rPr>
          <w:rFonts w:ascii="Times New Roman" w:hAnsi="Times New Roman" w:eastAsia="Times New Roman" w:cs="Times New Roman"/>
        </w:rPr>
        <w:t xml:space="preserve"> </w:t>
      </w:r>
      <w:r>
        <w:rPr>
          <w:rFonts w:ascii="Nirmala UI" w:hAnsi="Nirmala UI" w:eastAsia="Nirmala UI" w:cs="Nirmala UI"/>
        </w:rPr>
        <w:t>લઈને</w:t>
      </w:r>
      <w:r>
        <w:rPr>
          <w:rFonts w:ascii="Times New Roman" w:hAnsi="Times New Roman" w:eastAsia="Times New Roman" w:cs="Times New Roman"/>
        </w:rPr>
        <w:t xml:space="preserve"> </w:t>
      </w:r>
      <w:r>
        <w:rPr>
          <w:rFonts w:ascii="Nirmala UI" w:hAnsi="Nirmala UI" w:eastAsia="Nirmala UI" w:cs="Nirmala UI"/>
        </w:rPr>
        <w:t>ચાલતું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દીર્ઘકાલીન</w:t>
      </w:r>
      <w:r>
        <w:rPr>
          <w:rFonts w:ascii="Times New Roman" w:hAnsi="Times New Roman" w:eastAsia="Times New Roman" w:cs="Times New Roman"/>
        </w:rPr>
        <w:t xml:space="preserve"> </w:t>
      </w:r>
      <w:r>
        <w:rPr>
          <w:rFonts w:ascii="Nirmala UI" w:hAnsi="Nirmala UI" w:eastAsia="Nirmala UI" w:cs="Nirmala UI"/>
        </w:rPr>
        <w:t>યુદ્ધ</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પ્રકાશનના</w:t>
      </w:r>
      <w:r>
        <w:rPr>
          <w:rFonts w:ascii="Times New Roman" w:hAnsi="Times New Roman" w:eastAsia="Times New Roman" w:cs="Times New Roman"/>
        </w:rPr>
        <w:t xml:space="preserve"> </w:t>
      </w:r>
      <w:r>
        <w:rPr>
          <w:rFonts w:ascii="Nirmala UI" w:hAnsi="Nirmala UI" w:eastAsia="Nirmala UI" w:cs="Nirmala UI"/>
        </w:rPr>
        <w:t>પુસ્તકનું</w:t>
      </w:r>
      <w:r>
        <w:rPr>
          <w:rFonts w:ascii="Times New Roman" w:hAnsi="Times New Roman" w:eastAsia="Times New Roman" w:cs="Times New Roman"/>
        </w:rPr>
        <w:t xml:space="preserve"> </w:t>
      </w:r>
      <w:r>
        <w:rPr>
          <w:rFonts w:ascii="Nirmala UI" w:hAnsi="Nirmala UI" w:eastAsia="Nirmala UI" w:cs="Nirmala UI"/>
        </w:rPr>
        <w:t>રહસ્ય</w:t>
      </w:r>
      <w:r>
        <w:rPr>
          <w:rFonts w:ascii="Times New Roman" w:hAnsi="Times New Roman" w:eastAsia="Times New Roman" w:cs="Times New Roman"/>
        </w:rPr>
        <w:t xml:space="preserve"> </w:t>
      </w:r>
      <w:r>
        <w:rPr>
          <w:rFonts w:ascii="Nirmala UI" w:hAnsi="Nirmala UI" w:eastAsia="Nirmala UI" w:cs="Nirmala UI"/>
        </w:rPr>
        <w:t>ખુલ્લું</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w:t>
      </w:r>
      <w:r>
        <w:rPr>
          <w:rFonts w:ascii="Nirmala UI" w:hAnsi="Nirmala UI" w:eastAsia="Nirmala UI" w:cs="Nirmala UI"/>
        </w:rPr>
        <w:t>કૃપાકાળ</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થવાનાં</w:t>
      </w:r>
      <w:r>
        <w:rPr>
          <w:rFonts w:ascii="Times New Roman" w:hAnsi="Times New Roman" w:eastAsia="Times New Roman" w:cs="Times New Roman"/>
        </w:rPr>
        <w:t xml:space="preserve"> </w:t>
      </w:r>
      <w:r>
        <w:rPr>
          <w:rFonts w:ascii="Nirmala UI" w:hAnsi="Nirmala UI" w:eastAsia="Nirmala UI" w:cs="Nirmala UI"/>
        </w:rPr>
        <w:t>થોડાં</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પરાકાષ્ઠા</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પહોંચે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કલીસિયાઓમાંથી</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પ્રકાશ</w:t>
      </w:r>
      <w:r>
        <w:rPr>
          <w:rFonts w:ascii="Times New Roman" w:hAnsi="Times New Roman" w:eastAsia="Times New Roman" w:cs="Times New Roman"/>
        </w:rPr>
        <w:t xml:space="preserve"> </w:t>
      </w:r>
      <w:r>
        <w:rPr>
          <w:rFonts w:ascii="Nirmala UI" w:hAnsi="Nirmala UI" w:eastAsia="Nirmala UI" w:cs="Nirmala UI"/>
        </w:rPr>
        <w:t>સમાવેશ</w:t>
      </w:r>
      <w:r>
        <w:rPr>
          <w:rFonts w:ascii="Times New Roman" w:hAnsi="Times New Roman" w:eastAsia="Times New Roman" w:cs="Times New Roman"/>
        </w:rPr>
        <w:t xml:space="preserve"> </w:t>
      </w:r>
      <w:r>
        <w:rPr>
          <w:rFonts w:ascii="Nirmala UI" w:hAnsi="Nirmala UI" w:eastAsia="Nirmala UI" w:cs="Nirmala UI"/>
        </w:rPr>
        <w:t>પામે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ક્યારેય</w:t>
      </w:r>
      <w:r>
        <w:rPr>
          <w:rFonts w:ascii="Times New Roman" w:hAnsi="Times New Roman" w:eastAsia="Times New Roman" w:cs="Times New Roman"/>
        </w:rPr>
        <w:t xml:space="preserve"> </w:t>
      </w:r>
      <w:r>
        <w:rPr>
          <w:rFonts w:ascii="Nirmala UI" w:hAnsi="Nirmala UI" w:eastAsia="Nirmala UI" w:cs="Nirmala UI"/>
        </w:rPr>
        <w:t>ઓળખ્યો</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સિસટર</w:t>
      </w:r>
      <w:r>
        <w:rPr>
          <w:rFonts w:ascii="Times New Roman" w:hAnsi="Times New Roman" w:eastAsia="Times New Roman" w:cs="Times New Roman"/>
        </w:rPr>
        <w:t xml:space="preserve"> </w:t>
      </w:r>
      <w:r>
        <w:rPr>
          <w:rFonts w:ascii="Nirmala UI" w:hAnsi="Nirmala UI" w:eastAsia="Nirmala UI" w:cs="Nirmala UI"/>
        </w:rPr>
        <w:t>વ્હાઇટે</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સહેલાઈથી</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શકાય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આત્મા</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સમર્થન</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પ્રકાશ</w:t>
      </w:r>
      <w:r>
        <w:rPr>
          <w:rFonts w:ascii="Times New Roman" w:hAnsi="Times New Roman" w:eastAsia="Times New Roman" w:cs="Times New Roman"/>
        </w:rPr>
        <w:t xml:space="preserve"> </w:t>
      </w:r>
      <w:r>
        <w:rPr>
          <w:rFonts w:ascii="Nirmala UI" w:hAnsi="Nirmala UI" w:eastAsia="Nirmala UI" w:cs="Nirmala UI"/>
        </w:rPr>
        <w:t>ક્યારેય</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વિરોધ</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ᏱᏗᏓᏂᏂᏴᎯ</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ᎤᎾᏓᏂᏱᏍᎬ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ᏗᎦᎵᏍᏙᏗ</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ᎬᏩᏖᎸᎾ</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ᏞᏍᏗ</w:t>
      </w:r>
      <w:r>
        <w:rPr>
          <w:rFonts w:ascii="Times New Roman" w:hAnsi="Times New Roman" w:eastAsia="Times New Roman" w:cs="Times New Roman"/>
        </w:rPr>
        <w:t xml:space="preserve"> </w:t>
      </w:r>
      <w:r>
        <w:rPr>
          <w:rFonts w:ascii="Gadugi" w:hAnsi="Gadugi" w:eastAsia="Gadugi" w:cs="Gadugi"/>
        </w:rPr>
        <w:t>ᏱᏗᏓᏅᏟ</w:t>
      </w:r>
      <w:r>
        <w:rPr>
          <w:rFonts w:ascii="Times New Roman" w:hAnsi="Times New Roman" w:eastAsia="Times New Roman" w:cs="Times New Roman"/>
        </w:rPr>
        <w:t xml:space="preserve"> </w:t>
      </w:r>
      <w:r>
        <w:rPr>
          <w:rFonts w:ascii="Gadugi" w:hAnsi="Gadugi" w:eastAsia="Gadugi" w:cs="Gadugi"/>
        </w:rPr>
        <w:t>ᎢᏳᏛ</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ᎠᏤᎵ</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ᎢᎦᏂᏏ</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ᏱᏂᎦᏛᎦ</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ᏲᎩᎪᎯᏳ</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ᎠᏤᎵ</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ᏧᏩᏒ</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ᎢᏗᎩᏒ</w:t>
      </w:r>
      <w:r>
        <w:rPr>
          <w:rFonts w:ascii="Times New Roman" w:hAnsi="Times New Roman" w:eastAsia="Times New Roman" w:cs="Times New Roman"/>
        </w:rPr>
        <w:t xml:space="preserve"> </w:t>
      </w:r>
      <w:r>
        <w:rPr>
          <w:rFonts w:ascii="Gadugi" w:hAnsi="Gadugi" w:eastAsia="Gadugi" w:cs="Gadugi"/>
        </w:rPr>
        <w:t>ᎢᏧᎾᏓᏂᏩᏛᎲ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ᎥᏃᏍᏓ</w:t>
      </w:r>
      <w:r>
        <w:rPr>
          <w:rFonts w:ascii="Times New Roman" w:hAnsi="Times New Roman" w:eastAsia="Times New Roman" w:cs="Times New Roman"/>
        </w:rPr>
        <w:t xml:space="preserve"> </w:t>
      </w:r>
      <w:r>
        <w:rPr>
          <w:rFonts w:ascii="Gadugi" w:hAnsi="Gadugi" w:eastAsia="Gadugi" w:cs="Gadugi"/>
        </w:rPr>
        <w:t>ᏱᏗᏙᎯᏳᎯ</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ᎢᏓᏁᎸ</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ᎦᏬᎯᏳ</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ᎤᏬᎯᏳ</w:t>
      </w:r>
      <w:r>
        <w:rPr>
          <w:rFonts w:ascii="Times New Roman" w:hAnsi="Times New Roman" w:eastAsia="Times New Roman" w:cs="Times New Roman"/>
        </w:rPr>
        <w:t xml:space="preserve"> </w:t>
      </w:r>
      <w:r>
        <w:rPr>
          <w:rFonts w:ascii="Gadugi" w:hAnsi="Gadugi" w:eastAsia="Gadugi" w:cs="Gadugi"/>
        </w:rPr>
        <w:t>ᎠᏂᏍᎩ</w:t>
      </w:r>
      <w:r>
        <w:rPr>
          <w:rFonts w:ascii="Times New Roman" w:hAnsi="Times New Roman" w:eastAsia="Times New Roman" w:cs="Times New Roman"/>
        </w:rPr>
        <w:t xml:space="preserve"> </w:t>
      </w:r>
      <w:r>
        <w:rPr>
          <w:rFonts w:ascii="Gadugi" w:hAnsi="Gadugi" w:eastAsia="Gadugi" w:cs="Gadugi"/>
        </w:rPr>
        <w:t>ᎢᏗᎬᏩᎭ</w:t>
      </w:r>
      <w:r>
        <w:rPr>
          <w:rFonts w:ascii="Times New Roman" w:hAnsi="Times New Roman" w:eastAsia="Times New Roman" w:cs="Times New Roman"/>
        </w:rPr>
        <w:t xml:space="preserve"> </w:t>
      </w:r>
      <w:r>
        <w:rPr>
          <w:rFonts w:ascii="Gadugi" w:hAnsi="Gadugi" w:eastAsia="Gadugi" w:cs="Gadugi"/>
        </w:rPr>
        <w:t>ᎤᏍᎦᎸᎢ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ᏂᎦᏔᎲᎾ</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ᎤᏪᎵ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ᎤᏢᎨ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ᎤᏰᎸᎾ</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ᎠᏂᏰᎸᏍᎩ</w:t>
      </w:r>
      <w:r>
        <w:rPr>
          <w:rFonts w:ascii="Times New Roman" w:hAnsi="Times New Roman" w:eastAsia="Times New Roman" w:cs="Times New Roman"/>
        </w:rPr>
        <w:t xml:space="preserve"> </w:t>
      </w:r>
      <w:r>
        <w:rPr>
          <w:rFonts w:ascii="Gadugi" w:hAnsi="Gadugi" w:eastAsia="Gadugi" w:cs="Gadugi"/>
        </w:rPr>
        <w:t>ᏥᎩᎤᏲᎢ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ᏧᏂᎶᏎᎢ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ᎤᏂᎬᏩᎶᏗ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ᎠᏂᏰᎸᏍᎬ</w:t>
      </w:r>
      <w:r>
        <w:rPr>
          <w:rFonts w:ascii="Times New Roman" w:hAnsi="Times New Roman" w:eastAsia="Times New Roman" w:cs="Times New Roman"/>
        </w:rPr>
        <w:t xml:space="preserve"> </w:t>
      </w:r>
      <w:r>
        <w:rPr>
          <w:rFonts w:ascii="Gadugi" w:hAnsi="Gadugi" w:eastAsia="Gadugi" w:cs="Gadugi"/>
        </w:rPr>
        <w:t>ᎤᏂᎬᏩᎶᏗ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ᎤᎾᏚᎸᎾ</w:t>
      </w:r>
      <w:r>
        <w:rPr>
          <w:rFonts w:ascii="Times New Roman" w:hAnsi="Times New Roman" w:eastAsia="Times New Roman" w:cs="Times New Roman"/>
        </w:rPr>
        <w:t xml:space="preserve">, </w:t>
      </w:r>
      <w:r>
        <w:rPr>
          <w:rFonts w:ascii="Gadugi" w:hAnsi="Gadugi" w:eastAsia="Gadugi" w:cs="Gadugi"/>
        </w:rPr>
        <w:t>ᎠᏂᏯᎢ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ᎤᏂᏢᎬ</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ᎤᎾᏓᏅᏛ</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ᏱᏂᎦᏔᎭ</w:t>
      </w:r>
      <w:r>
        <w:rPr>
          <w:rFonts w:ascii="Times New Roman" w:hAnsi="Times New Roman" w:eastAsia="Times New Roman" w:cs="Times New Roman"/>
        </w:rPr>
        <w:t>.” Review and Herald, August 7, 1894.</w:t>
      </w:r>
    </w:p>
    <w:p>
      <w:pPr>
        <w:pStyle w:val="ArticleBody"/>
        <w:jc w:val="left"/>
      </w:pPr>
      <w:r>
        <w:rPr>
          <w:rFonts w:ascii="Times New Roman" w:hAnsi="Times New Roman" w:eastAsia="Times New Roman" w:cs="Times New Roman"/>
        </w:rPr>
        <w:t>Жаңа нұрды сынаудың басты өлшемі — оның орныққан ақиқатқа қайшы келетін-келмейтіні және іргелі ақиқаттарды қолдайтын-қолдамайтыны.</w:t>
      </w:r>
    </w:p>
    <w:p>
      <w:pPr>
        <w:pStyle w:val="ArticleScripture"/>
        <w:jc w:val="left"/>
      </w:pP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परमेश्वरस्य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सत्यम्</w:t>
      </w:r>
      <w:r>
        <w:rPr>
          <w:rFonts w:ascii="Times New Roman" w:hAnsi="Times New Roman" w:eastAsia="Times New Roman" w:cs="Times New Roman"/>
        </w:rPr>
        <w:t xml:space="preserve"> </w:t>
      </w:r>
      <w:r>
        <w:rPr>
          <w:rFonts w:ascii="Nirmala UI" w:hAnsi="Nirmala UI" w:eastAsia="Nirmala UI" w:cs="Nirmala UI"/>
        </w:rPr>
        <w:t>इति</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ददाति</w:t>
      </w:r>
      <w:r>
        <w:rPr>
          <w:rFonts w:ascii="Times New Roman" w:hAnsi="Times New Roman" w:eastAsia="Times New Roman" w:cs="Times New Roman"/>
        </w:rPr>
        <w:t xml:space="preserve">, </w:t>
      </w:r>
      <w:r>
        <w:rPr>
          <w:rFonts w:ascii="Nirmala UI" w:hAnsi="Nirmala UI" w:eastAsia="Nirmala UI" w:cs="Nirmala UI"/>
        </w:rPr>
        <w:t>तदा</w:t>
      </w:r>
      <w:r>
        <w:rPr>
          <w:rFonts w:ascii="Times New Roman" w:hAnsi="Times New Roman" w:eastAsia="Times New Roman" w:cs="Times New Roman"/>
        </w:rPr>
        <w:t xml:space="preserve"> </w:t>
      </w:r>
      <w:r>
        <w:rPr>
          <w:rFonts w:ascii="Nirmala UI" w:hAnsi="Nirmala UI" w:eastAsia="Nirmala UI" w:cs="Nirmala UI"/>
        </w:rPr>
        <w:t>तत्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सत्यरूपेण</w:t>
      </w:r>
      <w:r>
        <w:rPr>
          <w:rFonts w:ascii="Times New Roman" w:hAnsi="Times New Roman" w:eastAsia="Times New Roman" w:cs="Times New Roman"/>
        </w:rPr>
        <w:t xml:space="preserve"> </w:t>
      </w:r>
      <w:r>
        <w:rPr>
          <w:rFonts w:ascii="Nirmala UI" w:hAnsi="Nirmala UI" w:eastAsia="Nirmala UI" w:cs="Nirmala UI"/>
        </w:rPr>
        <w:t>सर्वदा</w:t>
      </w:r>
      <w:r>
        <w:rPr>
          <w:rFonts w:ascii="Times New Roman" w:hAnsi="Times New Roman" w:eastAsia="Times New Roman" w:cs="Times New Roman"/>
        </w:rPr>
        <w:t xml:space="preserve"> </w:t>
      </w:r>
      <w:r>
        <w:rPr>
          <w:rFonts w:ascii="Nirmala UI" w:hAnsi="Nirmala UI" w:eastAsia="Nirmala UI" w:cs="Nirmala UI"/>
        </w:rPr>
        <w:t>स्थातव्यम्।</w:t>
      </w:r>
      <w:r>
        <w:rPr>
          <w:rFonts w:ascii="Times New Roman" w:hAnsi="Times New Roman" w:eastAsia="Times New Roman" w:cs="Times New Roman"/>
        </w:rPr>
        <w:t xml:space="preserve"> </w:t>
      </w:r>
      <w:r>
        <w:rPr>
          <w:rFonts w:ascii="Nirmala UI" w:hAnsi="Nirmala UI" w:eastAsia="Nirmala UI" w:cs="Nirmala UI"/>
        </w:rPr>
        <w:t>परमेश्वरेण</w:t>
      </w:r>
      <w:r>
        <w:rPr>
          <w:rFonts w:ascii="Times New Roman" w:hAnsi="Times New Roman" w:eastAsia="Times New Roman" w:cs="Times New Roman"/>
        </w:rPr>
        <w:t xml:space="preserve"> </w:t>
      </w:r>
      <w:r>
        <w:rPr>
          <w:rFonts w:ascii="Nirmala UI" w:hAnsi="Nirmala UI" w:eastAsia="Nirmala UI" w:cs="Nirmala UI"/>
        </w:rPr>
        <w:t>दत्तस्य</w:t>
      </w:r>
      <w:r>
        <w:rPr>
          <w:rFonts w:ascii="Times New Roman" w:hAnsi="Times New Roman" w:eastAsia="Times New Roman" w:cs="Times New Roman"/>
        </w:rPr>
        <w:t xml:space="preserve"> </w:t>
      </w:r>
      <w:r>
        <w:rPr>
          <w:rFonts w:ascii="Nirmala UI" w:hAnsi="Nirmala UI" w:eastAsia="Nirmala UI" w:cs="Nirmala UI"/>
        </w:rPr>
        <w:t>प्रकाशस्य</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 xml:space="preserve"> </w:t>
      </w:r>
      <w:r>
        <w:rPr>
          <w:rFonts w:ascii="Nirmala UI" w:hAnsi="Nirmala UI" w:eastAsia="Nirmala UI" w:cs="Nirmala UI"/>
        </w:rPr>
        <w:t>अनन्तरकल्पनाः</w:t>
      </w:r>
      <w:r>
        <w:rPr>
          <w:rFonts w:ascii="Times New Roman" w:hAnsi="Times New Roman" w:eastAsia="Times New Roman" w:cs="Times New Roman"/>
        </w:rPr>
        <w:t xml:space="preserve"> </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ग्राह्याः।</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शास्त्रस्य</w:t>
      </w:r>
      <w:r>
        <w:rPr>
          <w:rFonts w:ascii="Times New Roman" w:hAnsi="Times New Roman" w:eastAsia="Times New Roman" w:cs="Times New Roman"/>
        </w:rPr>
        <w:t xml:space="preserve"> </w:t>
      </w:r>
      <w:r>
        <w:rPr>
          <w:rFonts w:ascii="Nirmala UI" w:hAnsi="Nirmala UI" w:eastAsia="Nirmala UI" w:cs="Nirmala UI"/>
        </w:rPr>
        <w:t>तादृशैः</w:t>
      </w:r>
      <w:r>
        <w:rPr>
          <w:rFonts w:ascii="Times New Roman" w:hAnsi="Times New Roman" w:eastAsia="Times New Roman" w:cs="Times New Roman"/>
        </w:rPr>
        <w:t xml:space="preserve"> </w:t>
      </w:r>
      <w:r>
        <w:rPr>
          <w:rFonts w:ascii="Nirmala UI" w:hAnsi="Nirmala UI" w:eastAsia="Nirmala UI" w:cs="Nirmala UI"/>
        </w:rPr>
        <w:t>व्याख्यानैः</w:t>
      </w:r>
      <w:r>
        <w:rPr>
          <w:rFonts w:ascii="Times New Roman" w:hAnsi="Times New Roman" w:eastAsia="Times New Roman" w:cs="Times New Roman"/>
        </w:rPr>
        <w:t xml:space="preserve"> </w:t>
      </w:r>
      <w:r>
        <w:rPr>
          <w:rFonts w:ascii="Nirmala UI" w:hAnsi="Nirmala UI" w:eastAsia="Nirmala UI" w:cs="Nirmala UI"/>
        </w:rPr>
        <w:t>उद्भविष्यन्ति</w:t>
      </w:r>
      <w:r>
        <w:rPr>
          <w:rFonts w:ascii="Times New Roman" w:hAnsi="Times New Roman" w:eastAsia="Times New Roman" w:cs="Times New Roman"/>
        </w:rPr>
        <w:t xml:space="preserve"> </w:t>
      </w:r>
      <w:r>
        <w:rPr>
          <w:rFonts w:ascii="Nirmala UI" w:hAnsi="Nirmala UI" w:eastAsia="Nirmala UI" w:cs="Nirmala UI"/>
        </w:rPr>
        <w:t>येषां</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सत्यानि</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सत्यानि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अस्मिन्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तत्</w:t>
      </w:r>
      <w:r>
        <w:rPr>
          <w:rFonts w:ascii="Times New Roman" w:hAnsi="Times New Roman" w:eastAsia="Times New Roman" w:cs="Times New Roman"/>
        </w:rPr>
        <w:t xml:space="preserve"> </w:t>
      </w:r>
      <w:r>
        <w:rPr>
          <w:rFonts w:ascii="Nirmala UI" w:hAnsi="Nirmala UI" w:eastAsia="Nirmala UI" w:cs="Nirmala UI"/>
        </w:rPr>
        <w:t>परमेश्वरेण</w:t>
      </w:r>
      <w:r>
        <w:rPr>
          <w:rFonts w:ascii="Times New Roman" w:hAnsi="Times New Roman" w:eastAsia="Times New Roman" w:cs="Times New Roman"/>
        </w:rPr>
        <w:t xml:space="preserve"> </w:t>
      </w:r>
      <w:r>
        <w:rPr>
          <w:rFonts w:ascii="Nirmala UI" w:hAnsi="Nirmala UI" w:eastAsia="Nirmala UI" w:cs="Nirmala UI"/>
        </w:rPr>
        <w:t>अस्मभ्यं</w:t>
      </w:r>
      <w:r>
        <w:rPr>
          <w:rFonts w:ascii="Times New Roman" w:hAnsi="Times New Roman" w:eastAsia="Times New Roman" w:cs="Times New Roman"/>
        </w:rPr>
        <w:t xml:space="preserve"> </w:t>
      </w:r>
      <w:r>
        <w:rPr>
          <w:rFonts w:ascii="Nirmala UI" w:hAnsi="Nirmala UI" w:eastAsia="Nirmala UI" w:cs="Nirmala UI"/>
        </w:rPr>
        <w:t>अस्माकं</w:t>
      </w:r>
      <w:r>
        <w:rPr>
          <w:rFonts w:ascii="Times New Roman" w:hAnsi="Times New Roman" w:eastAsia="Times New Roman" w:cs="Times New Roman"/>
        </w:rPr>
        <w:t xml:space="preserve"> </w:t>
      </w:r>
      <w:r>
        <w:rPr>
          <w:rFonts w:ascii="Nirmala UI" w:hAnsi="Nirmala UI" w:eastAsia="Nirmala UI" w:cs="Nirmala UI"/>
        </w:rPr>
        <w:t>विश्वासस्य</w:t>
      </w:r>
      <w:r>
        <w:rPr>
          <w:rFonts w:ascii="Times New Roman" w:hAnsi="Times New Roman" w:eastAsia="Times New Roman" w:cs="Times New Roman"/>
        </w:rPr>
        <w:t xml:space="preserve"> </w:t>
      </w:r>
      <w:r>
        <w:rPr>
          <w:rFonts w:ascii="Nirmala UI" w:hAnsi="Nirmala UI" w:eastAsia="Nirmala UI" w:cs="Nirmala UI"/>
        </w:rPr>
        <w:t>आधाररूपेण</w:t>
      </w:r>
      <w:r>
        <w:rPr>
          <w:rFonts w:ascii="Times New Roman" w:hAnsi="Times New Roman" w:eastAsia="Times New Roman" w:cs="Times New Roman"/>
        </w:rPr>
        <w:t xml:space="preserve"> </w:t>
      </w:r>
      <w:r>
        <w:rPr>
          <w:rFonts w:ascii="Nirmala UI" w:hAnsi="Nirmala UI" w:eastAsia="Nirmala UI" w:cs="Nirmala UI"/>
        </w:rPr>
        <w:t>दत्तम्।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अस्मान्</w:t>
      </w:r>
      <w:r>
        <w:rPr>
          <w:rFonts w:ascii="Times New Roman" w:hAnsi="Times New Roman" w:eastAsia="Times New Roman" w:cs="Times New Roman"/>
        </w:rPr>
        <w:t xml:space="preserve"> </w:t>
      </w:r>
      <w:r>
        <w:rPr>
          <w:rFonts w:ascii="Nirmala UI" w:hAnsi="Nirmala UI" w:eastAsia="Nirmala UI" w:cs="Nirmala UI"/>
        </w:rPr>
        <w:t>शिक्षितवान्</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कश्चिदुत्थास्यति</w:t>
      </w:r>
      <w:r>
        <w:rPr>
          <w:rFonts w:ascii="Times New Roman" w:hAnsi="Times New Roman" w:eastAsia="Times New Roman" w:cs="Times New Roman"/>
        </w:rPr>
        <w:t xml:space="preserve">, </w:t>
      </w:r>
      <w:r>
        <w:rPr>
          <w:rFonts w:ascii="Nirmala UI" w:hAnsi="Nirmala UI" w:eastAsia="Nirmala UI" w:cs="Nirmala UI"/>
        </w:rPr>
        <w:t>ततः</w:t>
      </w:r>
      <w:r>
        <w:rPr>
          <w:rFonts w:ascii="Times New Roman" w:hAnsi="Times New Roman" w:eastAsia="Times New Roman" w:cs="Times New Roman"/>
        </w:rPr>
        <w:t xml:space="preserve"> </w:t>
      </w:r>
      <w:r>
        <w:rPr>
          <w:rFonts w:ascii="Nirmala UI" w:hAnsi="Nirmala UI" w:eastAsia="Nirmala UI" w:cs="Nirmala UI"/>
        </w:rPr>
        <w:t>अपरश्च</w:t>
      </w:r>
      <w:r>
        <w:rPr>
          <w:rFonts w:ascii="Times New Roman" w:hAnsi="Times New Roman" w:eastAsia="Times New Roman" w:cs="Times New Roman"/>
        </w:rPr>
        <w:t xml:space="preserve">, </w:t>
      </w:r>
      <w:r>
        <w:rPr>
          <w:rFonts w:ascii="Nirmala UI" w:hAnsi="Nirmala UI" w:eastAsia="Nirmala UI" w:cs="Nirmala UI"/>
        </w:rPr>
        <w:t>नूतनप्रकाशमिति</w:t>
      </w:r>
      <w:r>
        <w:rPr>
          <w:rFonts w:ascii="Times New Roman" w:hAnsi="Times New Roman" w:eastAsia="Times New Roman" w:cs="Times New Roman"/>
        </w:rPr>
        <w:t xml:space="preserve"> </w:t>
      </w:r>
      <w:r>
        <w:rPr>
          <w:rFonts w:ascii="Nirmala UI" w:hAnsi="Nirmala UI" w:eastAsia="Nirmala UI" w:cs="Nirmala UI"/>
        </w:rPr>
        <w:t>वदन्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परमेश्वरेण</w:t>
      </w:r>
      <w:r>
        <w:rPr>
          <w:rFonts w:ascii="Times New Roman" w:hAnsi="Times New Roman" w:eastAsia="Times New Roman" w:cs="Times New Roman"/>
        </w:rPr>
        <w:t xml:space="preserve"> </w:t>
      </w:r>
      <w:r>
        <w:rPr>
          <w:rFonts w:ascii="Nirmala UI" w:hAnsi="Nirmala UI" w:eastAsia="Nirmala UI" w:cs="Nirmala UI"/>
        </w:rPr>
        <w:t>स्वस्य</w:t>
      </w:r>
      <w:r>
        <w:rPr>
          <w:rFonts w:ascii="Times New Roman" w:hAnsi="Times New Roman" w:eastAsia="Times New Roman" w:cs="Times New Roman"/>
        </w:rPr>
        <w:t xml:space="preserve"> </w:t>
      </w:r>
      <w:r>
        <w:rPr>
          <w:rFonts w:ascii="Nirmala UI" w:hAnsi="Nirmala UI" w:eastAsia="Nirmala UI" w:cs="Nirmala UI"/>
        </w:rPr>
        <w:t>पवित्रात्मनः</w:t>
      </w:r>
      <w:r>
        <w:rPr>
          <w:rFonts w:ascii="Times New Roman" w:hAnsi="Times New Roman" w:eastAsia="Times New Roman" w:cs="Times New Roman"/>
        </w:rPr>
        <w:t xml:space="preserve"> </w:t>
      </w:r>
      <w:r>
        <w:rPr>
          <w:rFonts w:ascii="Nirmala UI" w:hAnsi="Nirmala UI" w:eastAsia="Nirmala UI" w:cs="Nirmala UI"/>
        </w:rPr>
        <w:t>प्रत्यक्षप्रमाणेन</w:t>
      </w:r>
      <w:r>
        <w:rPr>
          <w:rFonts w:ascii="Times New Roman" w:hAnsi="Times New Roman" w:eastAsia="Times New Roman" w:cs="Times New Roman"/>
        </w:rPr>
        <w:t xml:space="preserve"> </w:t>
      </w:r>
      <w:r>
        <w:rPr>
          <w:rFonts w:ascii="Nirmala UI" w:hAnsi="Nirmala UI" w:eastAsia="Nirmala UI" w:cs="Nirmala UI"/>
        </w:rPr>
        <w:t>दत्तस्य</w:t>
      </w:r>
      <w:r>
        <w:rPr>
          <w:rFonts w:ascii="Times New Roman" w:hAnsi="Times New Roman" w:eastAsia="Times New Roman" w:cs="Times New Roman"/>
        </w:rPr>
        <w:t xml:space="preserve"> </w:t>
      </w:r>
      <w:r>
        <w:rPr>
          <w:rFonts w:ascii="Nirmala UI" w:hAnsi="Nirmala UI" w:eastAsia="Nirmala UI" w:cs="Nirmala UI"/>
        </w:rPr>
        <w:t>प्रकाशस्य</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Selected Messages, book 1, 162.</w:t>
      </w:r>
    </w:p>
    <w:p>
      <w:pPr>
        <w:pStyle w:val="ArticleBody"/>
        <w:jc w:val="left"/>
      </w:pPr>
      <w:r>
        <w:rPr>
          <w:rFonts w:ascii="Times New Roman" w:hAnsi="Times New Roman" w:eastAsia="Times New Roman" w:cs="Times New Roman"/>
        </w:rPr>
        <w:t>شیطان از همان زمانی که یوحنا پیام‌های مندرج در کتاب مکاشفه را به نگارش درآورد، این کتاب را آماجِ حملهٔ خود قرار داده است. عیسی فرمود:</w:t>
      </w:r>
    </w:p>
    <w:p>
      <w:pPr>
        <w:pStyle w:val="ArticleScripture"/>
        <w:jc w:val="left"/>
      </w:pPr>
      <w:r>
        <w:rPr>
          <w:rFonts w:ascii="Times New Roman" w:hAnsi="Times New Roman" w:eastAsia="Times New Roman" w:cs="Times New Roman"/>
        </w:rPr>
        <w:t>Ma ayünngechi am ñi ge, feymew kimkülelay; ka ayünngechi am ñi pilun, feymew allkülelay. Rüf dungu mew piymi kom, alü profeta ka feyentunche chem ñi adkintunmew mülelu ta iñche eymi ñi adkintuel, welu adkintulaygün; ka allkütunmew mülelu ta eymi ñi allkütuel, welu allkütulaygün. Mateo 13:16, 17.</w:t>
      </w:r>
    </w:p>
    <w:p>
      <w:pPr>
        <w:pStyle w:val="ArticleBody"/>
        <w:jc w:val="left"/>
      </w:pPr>
      <w:r>
        <w:rPr>
          <w:rFonts w:ascii="Times New Roman" w:hAnsi="Times New Roman" w:eastAsia="Times New Roman" w:cs="Times New Roman"/>
        </w:rPr>
        <w:t>A bendisión atachá a ver i oír es la bendisión de entender el mesaj de la Revelasión de Yeshua el Mashíaj. Kuando Yohanan representó a eyos de los “últimos días” ke ven i oyen el mesaj, él se echó para abasho para adorar al ángel Gavriel, ken de imediato informó a Yohanan ke no lo iziera.</w:t>
      </w:r>
    </w:p>
    <w:p>
      <w:pPr>
        <w:pStyle w:val="ArticleScripture"/>
        <w:jc w:val="left"/>
      </w:pPr>
      <w:r>
        <w:rPr>
          <w:rFonts w:ascii="Times New Roman" w:hAnsi="Times New Roman" w:eastAsia="Times New Roman" w:cs="Times New Roman"/>
        </w:rPr>
        <w:t>Na ayu Yon neŋa be wʋra la, la mini la. Ka m mini la la neŋa la yɛ, m yirisi na som malaika la nawuni nintan, on ka o yɛra maŋ be wʋra la. Ka o yeli maŋ wʋm ka, “Daŋ ka a teŋa wɔla; baŋ mini a nɔɔŋ tomdɔŋa, la a nabia nabiiba, la baŋ mini ka ba teŋi begeri la yeli la aheŋ pɔɩri ni, la som Wina’am.” La Revealation 22:8, 9.</w:t>
      </w:r>
    </w:p>
    <w:p>
      <w:pPr>
        <w:pStyle w:val="ArticleBody"/>
        <w:jc w:val="left"/>
      </w:pPr>
      <w:r>
        <w:rPr>
          <w:rFonts w:ascii="Times New Roman" w:hAnsi="Times New Roman" w:eastAsia="Times New Roman" w:cs="Times New Roman"/>
        </w:rPr>
        <w:t>ګبرییل او یوحنا دواړه مخلوق شوي موجودات دي، او یوازې د خالق عبادت باید وکړي. ډېرو پیغمبرانو او صدیقو سړیو، له فرښتو سره یوځای، هیله کړې ده چې د «نیمې شپې د فریاد» پیغام «وویني» او «واوري» کله چې هغه د نړۍ په پای کې بیا تکرارېږي.</w:t>
      </w:r>
    </w:p>
    <w:p>
      <w:pPr>
        <w:pStyle w:val="ArticleScripture"/>
        <w:jc w:val="left"/>
      </w:pPr>
      <w:r>
        <w:rPr>
          <w:rFonts w:ascii="Times New Roman" w:hAnsi="Times New Roman" w:eastAsia="Times New Roman" w:cs="Times New Roman"/>
        </w:rPr>
        <w:t>Krist gisæde: ‘Eadige syndon eowre eagan, forþam þe hi geseoþ; and eowre earan, forþam þe hi gehyraþ. Soþlice ic secge eow, þæt manega witegan and rihtwise men gewilnodon to geseonne þa þing þe ge geseoþ, and hi ne gesawon hi; and to gehyranne þa þing þe ge gehyraþ, and hi ne gehyrdon hi’ [Matthew 13:16, 17]. Eadige syndon þa eagan þe gesawon þa þing þe gesewene wæron on 1843 and 1844.</w:t>
      </w:r>
    </w:p>
    <w:p>
      <w:pPr>
        <w:pStyle w:val="ArticleScripture"/>
        <w:jc w:val="left"/>
      </w:pPr>
      <w:r>
        <w:rPr>
          <w:rFonts w:ascii="Times New Roman" w:hAnsi="Times New Roman" w:eastAsia="Times New Roman" w:cs="Times New Roman"/>
        </w:rPr>
        <w:t>«Amsgan ad ittwafkan. Ur ilaq ara ad yettuḥebbes deg usiweḍ n tikkelt-nniḍen n yizen-a, acku iselmaden n wakud la ttmuqulen; amahil amgaru ilaq ad yemmed. Amahil ameqqran ad yettwaxedem deg kra n wakud wezzilen. Yiwen yizen ad yettwafk s talɣut n Rebbi, ar tt-nnarnin alamma yuɣal d amesli ameqqran. Imiren Daniyel ad ibedd deg umkan-is, akken ad yefk anagi-is.» Manuscript Releases, volume 21, 437.</w:t>
      </w:r>
    </w:p>
    <w:p>
      <w:pPr>
        <w:pStyle w:val="ArticleBody"/>
        <w:jc w:val="left"/>
      </w:pPr>
      <w:r>
        <w:rPr>
          <w:rFonts w:ascii="Times New Roman" w:hAnsi="Times New Roman" w:eastAsia="Times New Roman" w:cs="Times New Roman"/>
        </w:rPr>
        <w:t>Aka nupan ralzat John leh an rawngbawlpuite (vântirhkohte) chuan hmuh an duh chu Adventism tawpah Zanlai Au thleng famkimna hnuhnung ber a ni a, chumi hunah chuan Pathian ropuina avângin lei hi êngin a lo khat ang. Chu thiltihtheihna lantîrna hnuhnung ber chu, ruah hnuhnungah, Isua Krista Thupuanin tihchhuah a nih avângin a lo thleng a ni.</w:t>
      </w:r>
    </w:p>
    <w:p>
      <w:pPr>
        <w:pStyle w:val="ArticleScripture"/>
        <w:jc w:val="left"/>
      </w:pPr>
      <w:r>
        <w:rPr>
          <w:rFonts w:ascii="Times New Roman" w:hAnsi="Times New Roman" w:eastAsia="Times New Roman" w:cs="Times New Roman"/>
        </w:rPr>
        <w:t>Анын куткаруусу тууралуу пайгамбарлар сураштырып, кылдат иликтешкен; алар силерге келүүгө тийиш болгон ырайым жөнүндө пайгамбарчылык кылышкан. Алар өздөрүнүн ичиндеги Машаяктын Руху Машаяктын азаптарын жана андан кийинки даңкты алдын ала күбөлөндүргөндө, кайсы убакытты же кандай мезгилди билдиргенин изилдешкен. Аларга бул нерселерди өздөрү үчүн эмес, биз үчүн кызмат кылып жатышканы ачылып берилген; ал нерселер азыр силерге асмандан жиберилген Ыйык Рух аркылуу силерге Жакшы Кабарды жарыялагандар тарабынан кабарланды; бул нерселерге периштелер да үңүлүп кароону эңсешет. Ошондуктан акылыңардын белин бек бууп, сергек болгула жана Иса Машаяктын аян болушунда силерге алып келине турган ырайымдан акырына чейин үмүтүңөрдү үзбөгүлө. 1 Петир 1:10–13.</w:t>
      </w:r>
    </w:p>
    <w:p>
      <w:pPr>
        <w:pStyle w:val="ArticleBody"/>
        <w:jc w:val="left"/>
      </w:pPr>
      <w:r>
        <w:rPr>
          <w:rFonts w:ascii="Myanmar Text" w:hAnsi="Myanmar Text" w:eastAsia="Myanmar Text" w:cs="Myanmar Text"/>
        </w:rPr>
        <w:t>အနာဂတ္တိဆရာများ၊</w:t>
      </w:r>
      <w:r>
        <w:rPr>
          <w:rFonts w:ascii="Times New Roman" w:hAnsi="Times New Roman" w:eastAsia="Times New Roman" w:cs="Times New Roman"/>
        </w:rPr>
        <w:t xml:space="preserve"> </w:t>
      </w:r>
      <w:r>
        <w:rPr>
          <w:rFonts w:ascii="Myanmar Text" w:hAnsi="Myanmar Text" w:eastAsia="Myanmar Text" w:cs="Myanmar Text"/>
        </w:rPr>
        <w:t>ဖြောင့်မတ်သောသူများနှင့်</w:t>
      </w:r>
      <w:r>
        <w:rPr>
          <w:rFonts w:ascii="Times New Roman" w:hAnsi="Times New Roman" w:eastAsia="Times New Roman" w:cs="Times New Roman"/>
        </w:rPr>
        <w:t xml:space="preserve"> </w:t>
      </w:r>
      <w:r>
        <w:rPr>
          <w:rFonts w:ascii="Myanmar Text" w:hAnsi="Myanmar Text" w:eastAsia="Myanmar Text" w:cs="Myanmar Text"/>
        </w:rPr>
        <w:t>ကောင်းကင်တမန်များသည်</w:t>
      </w:r>
      <w:r>
        <w:rPr>
          <w:rFonts w:ascii="Times New Roman" w:hAnsi="Times New Roman" w:eastAsia="Times New Roman" w:cs="Times New Roman"/>
        </w:rPr>
        <w:t xml:space="preserve"> “</w:t>
      </w:r>
      <w:r>
        <w:rPr>
          <w:rFonts w:ascii="Myanmar Text" w:hAnsi="Myanmar Text" w:eastAsia="Myanmar Text" w:cs="Myanmar Text"/>
        </w:rPr>
        <w:t>ကျေးဇူးတော်</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ဘုရားသခင်၏တန်ခိုးတော်ကို</w:t>
      </w:r>
      <w:r>
        <w:rPr>
          <w:rFonts w:ascii="Times New Roman" w:hAnsi="Times New Roman" w:eastAsia="Times New Roman" w:cs="Times New Roman"/>
        </w:rPr>
        <w:t xml:space="preserve"> </w:t>
      </w:r>
      <w:r>
        <w:rPr>
          <w:rFonts w:ascii="Myanmar Text" w:hAnsi="Myanmar Text" w:eastAsia="Myanmar Text" w:cs="Myanmar Text"/>
        </w:rPr>
        <w:t>သန်းခေါင်ယံကြွေးကြော်သံ၏</w:t>
      </w:r>
      <w:r>
        <w:rPr>
          <w:rFonts w:ascii="Times New Roman" w:hAnsi="Times New Roman" w:eastAsia="Times New Roman" w:cs="Times New Roman"/>
        </w:rPr>
        <w:t xml:space="preserve"> </w:t>
      </w:r>
      <w:r>
        <w:rPr>
          <w:rFonts w:ascii="Myanmar Text" w:hAnsi="Myanmar Text" w:eastAsia="Myanmar Text" w:cs="Myanmar Text"/>
        </w:rPr>
        <w:t>နောက်ဆုံးပြည့်စုံခြင်းအတွင်း</w:t>
      </w:r>
      <w:r>
        <w:rPr>
          <w:rFonts w:ascii="Times New Roman" w:hAnsi="Times New Roman" w:eastAsia="Times New Roman" w:cs="Times New Roman"/>
        </w:rPr>
        <w:t xml:space="preserve"> </w:t>
      </w:r>
      <w:r>
        <w:rPr>
          <w:rFonts w:ascii="Myanmar Text" w:hAnsi="Myanmar Text" w:eastAsia="Myanmar Text" w:cs="Myanmar Text"/>
        </w:rPr>
        <w:t>သွန်းလောင်းပေးသော</w:t>
      </w:r>
      <w:r>
        <w:rPr>
          <w:rFonts w:ascii="Times New Roman" w:hAnsi="Times New Roman" w:eastAsia="Times New Roman" w:cs="Times New Roman"/>
        </w:rPr>
        <w:t xml:space="preserve"> </w:t>
      </w:r>
      <w:r>
        <w:rPr>
          <w:rFonts w:ascii="Myanmar Text" w:hAnsi="Myanmar Text" w:eastAsia="Myanmar Text" w:cs="Myanmar Text"/>
        </w:rPr>
        <w:t>အချိန်ကာလတွင်</w:t>
      </w:r>
      <w:r>
        <w:rPr>
          <w:rFonts w:ascii="Times New Roman" w:hAnsi="Times New Roman" w:eastAsia="Times New Roman" w:cs="Times New Roman"/>
        </w:rPr>
        <w:t xml:space="preserve"> </w:t>
      </w:r>
      <w:r>
        <w:rPr>
          <w:rFonts w:ascii="Myanmar Text" w:hAnsi="Myanmar Text" w:eastAsia="Myanmar Text" w:cs="Myanmar Text"/>
        </w:rPr>
        <w:t>အသက်ရှင်နေထိုင်ရရန်</w:t>
      </w:r>
      <w:r>
        <w:rPr>
          <w:rFonts w:ascii="Times New Roman" w:hAnsi="Times New Roman" w:eastAsia="Times New Roman" w:cs="Times New Roman"/>
        </w:rPr>
        <w:t xml:space="preserve"> </w:t>
      </w:r>
      <w:r>
        <w:rPr>
          <w:rFonts w:ascii="Myanmar Text" w:hAnsi="Myanmar Text" w:eastAsia="Myanmar Text" w:cs="Myanmar Text"/>
        </w:rPr>
        <w:t>အလွန်အမင်းတောင့်တခဲ့ကြသည်။</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ဗျာဒိတ်တော်ကို</w:t>
      </w:r>
      <w:r>
        <w:rPr>
          <w:rFonts w:ascii="Times New Roman" w:hAnsi="Times New Roman" w:eastAsia="Times New Roman" w:cs="Times New Roman"/>
        </w:rPr>
        <w:t xml:space="preserve"> </w:t>
      </w:r>
      <w:r>
        <w:rPr>
          <w:rFonts w:ascii="Myanmar Text" w:hAnsi="Myanmar Text" w:eastAsia="Myanmar Text" w:cs="Myanmar Text"/>
        </w:rPr>
        <w:t>တံဆိပ်ဖြုတ်ဖွင့်လှစ်သောအခါ</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ဖန်ဆင်းခြင်းဆိုင်ရာ</w:t>
      </w:r>
      <w:r>
        <w:rPr>
          <w:rFonts w:ascii="Times New Roman" w:hAnsi="Times New Roman" w:eastAsia="Times New Roman" w:cs="Times New Roman"/>
        </w:rPr>
        <w:t xml:space="preserve"> </w:t>
      </w:r>
      <w:r>
        <w:rPr>
          <w:rFonts w:ascii="Myanmar Text" w:hAnsi="Myanmar Text" w:eastAsia="Myanmar Text" w:cs="Myanmar Text"/>
        </w:rPr>
        <w:t>တန်ခိုးတော်ဖြစ်သည့်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ကျေးဇူးတော်</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လူသားများထံ</w:t>
      </w:r>
      <w:r>
        <w:rPr>
          <w:rFonts w:ascii="Times New Roman" w:hAnsi="Times New Roman" w:eastAsia="Times New Roman" w:cs="Times New Roman"/>
        </w:rPr>
        <w:t xml:space="preserve"> </w:t>
      </w:r>
      <w:r>
        <w:rPr>
          <w:rFonts w:ascii="Myanmar Text" w:hAnsi="Myanmar Text" w:eastAsia="Myanmar Text" w:cs="Myanmar Text"/>
        </w:rPr>
        <w:t>ယူဆောင်ပေးသည်။</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ဖန်ဆင်းခြင်းတန်ခိုးတော်ကို</w:t>
      </w:r>
      <w:r>
        <w:rPr>
          <w:rFonts w:ascii="Times New Roman" w:hAnsi="Times New Roman" w:eastAsia="Times New Roman" w:cs="Times New Roman"/>
        </w:rPr>
        <w:t xml:space="preserve"> </w:t>
      </w:r>
      <w:r>
        <w:rPr>
          <w:rFonts w:ascii="Myanmar Text" w:hAnsi="Myanmar Text" w:eastAsia="Myanmar Text" w:cs="Myanmar Text"/>
        </w:rPr>
        <w:t>သူ၏လူမျိုးတော်ထံ</w:t>
      </w:r>
      <w:r>
        <w:rPr>
          <w:rFonts w:ascii="Times New Roman" w:hAnsi="Times New Roman" w:eastAsia="Times New Roman" w:cs="Times New Roman"/>
        </w:rPr>
        <w:t xml:space="preserve"> </w:t>
      </w:r>
      <w:r>
        <w:rPr>
          <w:rFonts w:ascii="Myanmar Text" w:hAnsi="Myanmar Text" w:eastAsia="Myanmar Text" w:cs="Myanmar Text"/>
        </w:rPr>
        <w:t>ပို့ဆောင်ရန်</w:t>
      </w:r>
      <w:r>
        <w:rPr>
          <w:rFonts w:ascii="Times New Roman" w:hAnsi="Times New Roman" w:eastAsia="Times New Roman" w:cs="Times New Roman"/>
        </w:rPr>
        <w:t xml:space="preserve"> </w:t>
      </w:r>
      <w:r>
        <w:rPr>
          <w:rFonts w:ascii="Myanmar Text" w:hAnsi="Myanmar Text" w:eastAsia="Myanmar Text" w:cs="Myanmar Text"/>
        </w:rPr>
        <w:t>လမ်းကြောင်းသည်</w:t>
      </w:r>
      <w:r>
        <w:rPr>
          <w:rFonts w:ascii="Times New Roman" w:hAnsi="Times New Roman" w:eastAsia="Times New Roman" w:cs="Times New Roman"/>
        </w:rPr>
        <w:t xml:space="preserve"> </w:t>
      </w:r>
      <w:r>
        <w:rPr>
          <w:rFonts w:ascii="Myanmar Text" w:hAnsi="Myanmar Text" w:eastAsia="Myanmar Text" w:cs="Myanmar Text"/>
        </w:rPr>
        <w:t>ဗျာဒိတ်ကျမ်းအတွင်း</w:t>
      </w:r>
      <w:r>
        <w:rPr>
          <w:rFonts w:ascii="Times New Roman" w:hAnsi="Times New Roman" w:eastAsia="Times New Roman" w:cs="Times New Roman"/>
        </w:rPr>
        <w:t xml:space="preserve"> </w:t>
      </w:r>
      <w:r>
        <w:rPr>
          <w:rFonts w:ascii="Myanmar Text" w:hAnsi="Myanmar Text" w:eastAsia="Myanmar Text" w:cs="Myanmar Text"/>
        </w:rPr>
        <w:t>တံဆိပ်ဖြုတ်ဖွင့်လှစ်ထားသော</w:t>
      </w:r>
      <w:r>
        <w:rPr>
          <w:rFonts w:ascii="Times New Roman" w:hAnsi="Times New Roman" w:eastAsia="Times New Roman" w:cs="Times New Roman"/>
        </w:rPr>
        <w:t xml:space="preserve"> </w:t>
      </w:r>
      <w:r>
        <w:rPr>
          <w:rFonts w:ascii="Myanmar Text" w:hAnsi="Myanmar Text" w:eastAsia="Myanmar Text" w:cs="Myanmar Text"/>
        </w:rPr>
        <w:t>သတင်းစကားအားဖြင့်</w:t>
      </w:r>
      <w:r>
        <w:rPr>
          <w:rFonts w:ascii="Times New Roman" w:hAnsi="Times New Roman" w:eastAsia="Times New Roman" w:cs="Times New Roman"/>
        </w:rPr>
        <w:t xml:space="preserve"> </w:t>
      </w:r>
      <w:r>
        <w:rPr>
          <w:rFonts w:ascii="Myanmar Text" w:hAnsi="Myanmar Text" w:eastAsia="Myanmar Text" w:cs="Myanmar Text"/>
        </w:rPr>
        <w:t>ပြည့်စုံစေခြင်းဖြစ်ကြောင်း</w:t>
      </w:r>
      <w:r>
        <w:rPr>
          <w:rFonts w:ascii="Times New Roman" w:hAnsi="Times New Roman" w:eastAsia="Times New Roman" w:cs="Times New Roman"/>
        </w:rPr>
        <w:t xml:space="preserve"> </w:t>
      </w:r>
      <w:r>
        <w:rPr>
          <w:rFonts w:ascii="Myanmar Text" w:hAnsi="Myanmar Text" w:eastAsia="Myanmar Text" w:cs="Myanmar Text"/>
        </w:rPr>
        <w:t>သိရှိသဖြင့်၊</w:t>
      </w:r>
      <w:r>
        <w:rPr>
          <w:rFonts w:ascii="Times New Roman" w:hAnsi="Times New Roman" w:eastAsia="Times New Roman" w:cs="Times New Roman"/>
        </w:rPr>
        <w:t xml:space="preserve"> </w:t>
      </w:r>
      <w:r>
        <w:rPr>
          <w:rFonts w:ascii="Myanmar Text" w:hAnsi="Myanmar Text" w:eastAsia="Myanmar Text" w:cs="Myanmar Text"/>
        </w:rPr>
        <w:t>ဗျာဒိတ်ကျမ်းအတွင်း</w:t>
      </w:r>
      <w:r>
        <w:rPr>
          <w:rFonts w:ascii="Times New Roman" w:hAnsi="Times New Roman" w:eastAsia="Times New Roman" w:cs="Times New Roman"/>
        </w:rPr>
        <w:t xml:space="preserve"> </w:t>
      </w:r>
      <w:r>
        <w:rPr>
          <w:rFonts w:ascii="Myanmar Text" w:hAnsi="Myanmar Text" w:eastAsia="Myanmar Text" w:cs="Myanmar Text"/>
        </w:rPr>
        <w:t>ပါဝင်သော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ရှုပ်ထွေးစေခြင်း၊</w:t>
      </w:r>
      <w:r>
        <w:rPr>
          <w:rFonts w:ascii="Times New Roman" w:hAnsi="Times New Roman" w:eastAsia="Times New Roman" w:cs="Times New Roman"/>
        </w:rPr>
        <w:t xml:space="preserve"> </w:t>
      </w:r>
      <w:r>
        <w:rPr>
          <w:rFonts w:ascii="Myanmar Text" w:hAnsi="Myanmar Text" w:eastAsia="Myanmar Text" w:cs="Myanmar Text"/>
        </w:rPr>
        <w:t>ဖိနှိပ်ချုပ်ချယ်ခြင်းနှင့်</w:t>
      </w:r>
      <w:r>
        <w:rPr>
          <w:rFonts w:ascii="Times New Roman" w:hAnsi="Times New Roman" w:eastAsia="Times New Roman" w:cs="Times New Roman"/>
        </w:rPr>
        <w:t xml:space="preserve"> </w:t>
      </w:r>
      <w:r>
        <w:rPr>
          <w:rFonts w:ascii="Myanmar Text" w:hAnsi="Myanmar Text" w:eastAsia="Myanmar Text" w:cs="Myanmar Text"/>
        </w:rPr>
        <w:t>ဖုံးကွယ်ထားခြင်းတို့၌</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အမြင့်ဆုံးကြိုးပမ်းအားထုတ်မှုကို</w:t>
      </w:r>
      <w:r>
        <w:rPr>
          <w:rFonts w:ascii="Times New Roman" w:hAnsi="Times New Roman" w:eastAsia="Times New Roman" w:cs="Times New Roman"/>
        </w:rPr>
        <w:t xml:space="preserve"> </w:t>
      </w:r>
      <w:r>
        <w:rPr>
          <w:rFonts w:ascii="Myanmar Text" w:hAnsi="Myanmar Text" w:eastAsia="Myanmar Text" w:cs="Myanmar Text"/>
        </w:rPr>
        <w:t>ပြုခဲ့လေသည်။</w:t>
      </w:r>
      <w:r>
        <w:rPr>
          <w:rFonts w:ascii="Times New Roman" w:hAnsi="Times New Roman" w:eastAsia="Times New Roman" w:cs="Times New Roman"/>
        </w:rPr>
        <w:t xml:space="preserve"> </w:t>
      </w:r>
      <w:r>
        <w:rPr>
          <w:rFonts w:ascii="Myanmar Text" w:hAnsi="Myanmar Text" w:eastAsia="Myanmar Text" w:cs="Myanmar Text"/>
        </w:rPr>
        <w:t>ထိုအလင်းသည်</w:t>
      </w:r>
      <w:r>
        <w:rPr>
          <w:rFonts w:ascii="Times New Roman" w:hAnsi="Times New Roman" w:eastAsia="Times New Roman" w:cs="Times New Roman"/>
        </w:rPr>
        <w:t xml:space="preserve"> </w:t>
      </w:r>
      <w:r>
        <w:rPr>
          <w:rFonts w:ascii="Myanmar Text" w:hAnsi="Myanmar Text" w:eastAsia="Myanmar Text" w:cs="Myanmar Text"/>
        </w:rPr>
        <w:t>အပြစ်၏လူကို</w:t>
      </w:r>
      <w:r>
        <w:rPr>
          <w:rFonts w:ascii="Times New Roman" w:hAnsi="Times New Roman" w:eastAsia="Times New Roman" w:cs="Times New Roman"/>
        </w:rPr>
        <w:t xml:space="preserve"> </w:t>
      </w:r>
      <w:r>
        <w:rPr>
          <w:rFonts w:ascii="Myanmar Text" w:hAnsi="Myanmar Text" w:eastAsia="Myanmar Text" w:cs="Myanmar Text"/>
        </w:rPr>
        <w:t>သတ်မှတ်ဖော်ထုတ်ခြင်းသာမဟုတ်ပေ၊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ထိုအမှန်တရားကို</w:t>
      </w:r>
      <w:r>
        <w:rPr>
          <w:rFonts w:ascii="Times New Roman" w:hAnsi="Times New Roman" w:eastAsia="Times New Roman" w:cs="Times New Roman"/>
        </w:rPr>
        <w:t xml:space="preserve"> </w:t>
      </w:r>
      <w:r>
        <w:rPr>
          <w:rFonts w:ascii="Myanmar Text" w:hAnsi="Myanmar Text" w:eastAsia="Myanmar Text" w:cs="Myanmar Text"/>
        </w:rPr>
        <w:t>ပရိုတက်စတင့်</w:t>
      </w:r>
      <w:r>
        <w:rPr>
          <w:rFonts w:ascii="Times New Roman" w:hAnsi="Times New Roman" w:eastAsia="Times New Roman" w:cs="Times New Roman"/>
        </w:rPr>
        <w:t xml:space="preserve"> </w:t>
      </w:r>
      <w:r>
        <w:rPr>
          <w:rFonts w:ascii="Myanmar Text" w:hAnsi="Myanmar Text" w:eastAsia="Myanmar Text" w:cs="Myanmar Text"/>
        </w:rPr>
        <w:t>ပြုပြင်ပြောင်းလဲရေးဆရာများအားလုံးက</w:t>
      </w:r>
      <w:r>
        <w:rPr>
          <w:rFonts w:ascii="Times New Roman" w:hAnsi="Times New Roman" w:eastAsia="Times New Roman" w:cs="Times New Roman"/>
        </w:rPr>
        <w:t xml:space="preserve"> </w:t>
      </w:r>
      <w:r>
        <w:rPr>
          <w:rFonts w:ascii="Myanmar Text" w:hAnsi="Myanmar Text" w:eastAsia="Myanmar Text" w:cs="Myanmar Text"/>
        </w:rPr>
        <w:t>ရာစုနှစ်များစွာ</w:t>
      </w:r>
      <w:r>
        <w:rPr>
          <w:rFonts w:ascii="Times New Roman" w:hAnsi="Times New Roman" w:eastAsia="Times New Roman" w:cs="Times New Roman"/>
        </w:rPr>
        <w:t xml:space="preserve"> </w:t>
      </w:r>
      <w:r>
        <w:rPr>
          <w:rFonts w:ascii="Myanmar Text" w:hAnsi="Myanmar Text" w:eastAsia="Myanmar Text" w:cs="Myanmar Text"/>
        </w:rPr>
        <w:t>မတိုင်မီကပင်</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မှတ်တမ်းတင်ထားပြီးဖြစ်သောကြောင့်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Ez Jaungoikoaren egunean Espirituan nengoen, eta nire atzetik ahots handi bat entzun nuen, tronpeta baten antzekoa, zioena: Ni naiz Alfa eta Omega, lehena eta azkena; eta, ikusten duzuna, idatz ezazu liburu batean, eta bidal iezaiezu Asian diren zazpi elizei: Efesori, eta Esmirnari, eta Pergamori, eta Tiatirari, eta Sardesi, eta Filadelfiari, eta Laodizeari. Eta itzuli nintzen nirekin mintzo zen ahotsa ikustera. Eta itzulirik, urrezko zazpi argimutil ikusi nituen; eta zazpi argimutilen erdian, Gizonaren Semearen antzeko bat, oinetarainoko jantzi batez jantzia, eta bular inguruan urrezko gerriko batez gerritua. Haren burua eta ileak artilea bezala zuriak ziren, elurra bezain zuriak; eta haren begiak su-gar baten antzekoak; eta haren oinak brontze finduaren antzekoak, labe batean gorituak balira bezala; eta haren ahotsa ur askoren hotsaren antzekoa. Eta bere eskuineko eskuan zazpi izar zituen; eta haren ahotik bi ahoko ezpata zorrotz bat ateratzen zen; eta haren aurpegiera indarrean distiratzen duen eguzkia bezalakoa zen. Eta hura ikusi nuenean, haren oinetara erori nintzen, hilik bezala. Eta hark bere eskuineko eskua nire gain ezarri zuen, niri esanez: Ez izan beldurrik; ni naiz lehena eta azkena: bizi dena naiz, eta hila izan nintzen; eta, hara, bizi naiz mendeetan zehar, Amen; eta infernuaren eta heriotzaren giltzak ditut. Idatz itzazu ikusi dituzun gauzak, eta direnak, eta gerora izango direnak. Apokalipsia 1:10–19.</w:t>
      </w:r>
    </w:p>
    <w:p>
      <w:pPr>
        <w:pStyle w:val="ArticleBody"/>
        <w:jc w:val="left"/>
      </w:pPr>
      <w:r>
        <w:rPr>
          <w:rFonts w:ascii="Times New Roman" w:hAnsi="Times New Roman" w:eastAsia="Times New Roman" w:cs="Times New Roman"/>
        </w:rPr>
        <w:t>Erga Adventismus historizistische Methodologie tuta esset, agnoverunt omnes ecclesias Apocalypsis secundi et tertii capituli in ultima ecclesia iterum repeti. Infeliciter, exeunte saeculo undevicesimo, Satanas iam oculos Adventismi claudebat ad sacram methodologiam, ad eius tutelam, atque ad eius usum tamquam partem essentialem officii eorum qui sunt “depositarii magnarum veritatum prophetiae.” Etiam dum haec methodologia in Adventismo ponebatur seorsum, erant tamen qui sacram methodologiam adhiberent. Librum, Story of the Seer of Patmos, adhibemus ut testimonium illius rei, scilicet quod applicatio omnium ecclesiarum ad historiam Laodiceae sit legitima prophetiae applicatio. Sequentia sunt excerpta ex illo libro quae rem, ad quam refero, demonstrant.</w:t>
      </w:r>
    </w:p>
    <w:p>
      <w:pPr>
        <w:pStyle w:val="ArticleScripture"/>
        <w:jc w:val="left"/>
      </w:pPr>
      <w:r>
        <w:rPr>
          <w:rFonts w:ascii="Times New Roman" w:hAnsi="Times New Roman" w:eastAsia="Times New Roman" w:cs="Times New Roman"/>
        </w:rPr>
        <w:t>«کمہ یاد رکہنا چاہیے کہ جس طرح افسس، سمرنہ، اور پرگمس کا تجربہ مسیح کی دوسری آمد سے پہلے آخری کلیسیا میں دہرایا جائے گا، اسی طرح تھیاتیرہ کی تاریخ کا بھی آخری نسل میں ایک مماثل نظیر ہوگا۔» اسٹیفن این۔ ہاسکل، اسٹوری آف دی سیئر آف پتموس، 69۔</w:t>
      </w:r>
    </w:p>
    <w:p>
      <w:pPr>
        <w:pStyle w:val="ArticleBody"/>
        <w:jc w:val="left"/>
      </w:pPr>
      <w:r>
        <w:rPr>
          <w:rFonts w:ascii="Times New Roman" w:hAnsi="Times New Roman" w:eastAsia="Times New Roman" w:cs="Times New Roman"/>
        </w:rPr>
        <w:t>Հասքելը ճիշտ կերպով նշում է, որ առաջին չորս եկեղեցիների փորձառությունը կրկնվում է, կամ, ինչպես ինքն է ասում, «իր համապատասխանությունը կունենա վերջին սերնդի մեջ»։</w:t>
      </w:r>
    </w:p>
    <w:p>
      <w:pPr>
        <w:pStyle w:val="ArticleScripture"/>
        <w:jc w:val="left"/>
      </w:pPr>
      <w:r>
        <w:rPr>
          <w:rFonts w:ascii="Times New Roman" w:hAnsi="Times New Roman" w:eastAsia="Times New Roman" w:cs="Times New Roman"/>
        </w:rPr>
        <w:t>“Han använde prövostenen, men allt pekade framåt mot år 1843 såsom den tid då världen måste välkomna sin Frälsare. Folkets tillstånd vid Kristi första ankomst upprepades nu.” Stephen N. Haskell, Story of the Seer of Patmos, 75.</w:t>
      </w:r>
    </w:p>
    <w:p>
      <w:pPr>
        <w:pStyle w:val="ArticleBody"/>
        <w:jc w:val="left"/>
      </w:pPr>
      <w:r>
        <w:rPr>
          <w:rFonts w:ascii="Sylfaen" w:hAnsi="Sylfaen" w:eastAsia="Sylfaen" w:cs="Sylfaen"/>
        </w:rPr>
        <w:t>ჰასკელი</w:t>
      </w:r>
      <w:r>
        <w:rPr>
          <w:rFonts w:ascii="Times New Roman" w:hAnsi="Times New Roman" w:eastAsia="Times New Roman" w:cs="Times New Roman"/>
        </w:rPr>
        <w:t xml:space="preserve"> </w:t>
      </w:r>
      <w:r>
        <w:rPr>
          <w:rFonts w:ascii="Sylfaen" w:hAnsi="Sylfaen" w:eastAsia="Sylfaen" w:cs="Sylfaen"/>
        </w:rPr>
        <w:t>საუბრობდა</w:t>
      </w:r>
      <w:r>
        <w:rPr>
          <w:rFonts w:ascii="Times New Roman" w:hAnsi="Times New Roman" w:eastAsia="Times New Roman" w:cs="Times New Roman"/>
        </w:rPr>
        <w:t xml:space="preserve"> </w:t>
      </w:r>
      <w:r>
        <w:rPr>
          <w:rFonts w:ascii="Sylfaen" w:hAnsi="Sylfaen" w:eastAsia="Sylfaen" w:cs="Sylfaen"/>
        </w:rPr>
        <w:t>იმაზე</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უილიამ</w:t>
      </w:r>
      <w:r>
        <w:rPr>
          <w:rFonts w:ascii="Times New Roman" w:hAnsi="Times New Roman" w:eastAsia="Times New Roman" w:cs="Times New Roman"/>
        </w:rPr>
        <w:t xml:space="preserve"> </w:t>
      </w:r>
      <w:r>
        <w:rPr>
          <w:rFonts w:ascii="Sylfaen" w:hAnsi="Sylfaen" w:eastAsia="Sylfaen" w:cs="Sylfaen"/>
        </w:rPr>
        <w:t>მილერმა</w:t>
      </w:r>
      <w:r>
        <w:rPr>
          <w:rFonts w:ascii="Times New Roman" w:hAnsi="Times New Roman" w:eastAsia="Times New Roman" w:cs="Times New Roman"/>
        </w:rPr>
        <w:t xml:space="preserve"> 1843 </w:t>
      </w:r>
      <w:r>
        <w:rPr>
          <w:rFonts w:ascii="Sylfaen" w:hAnsi="Sylfaen" w:eastAsia="Sylfaen" w:cs="Sylfaen"/>
        </w:rPr>
        <w:t>წელი</w:t>
      </w:r>
      <w:r>
        <w:rPr>
          <w:rFonts w:ascii="Times New Roman" w:hAnsi="Times New Roman" w:eastAsia="Times New Roman" w:cs="Times New Roman"/>
        </w:rPr>
        <w:t xml:space="preserve"> </w:t>
      </w: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მეორედ</w:t>
      </w:r>
      <w:r>
        <w:rPr>
          <w:rFonts w:ascii="Times New Roman" w:hAnsi="Times New Roman" w:eastAsia="Times New Roman" w:cs="Times New Roman"/>
        </w:rPr>
        <w:t xml:space="preserve"> </w:t>
      </w:r>
      <w:r>
        <w:rPr>
          <w:rFonts w:ascii="Sylfaen" w:hAnsi="Sylfaen" w:eastAsia="Sylfaen" w:cs="Sylfaen"/>
        </w:rPr>
        <w:t>მოსვლის</w:t>
      </w:r>
      <w:r>
        <w:rPr>
          <w:rFonts w:ascii="Times New Roman" w:hAnsi="Times New Roman" w:eastAsia="Times New Roman" w:cs="Times New Roman"/>
        </w:rPr>
        <w:t xml:space="preserve"> </w:t>
      </w:r>
      <w:r>
        <w:rPr>
          <w:rFonts w:ascii="Sylfaen" w:hAnsi="Sylfaen" w:eastAsia="Sylfaen" w:cs="Sylfaen"/>
        </w:rPr>
        <w:t>წლად</w:t>
      </w:r>
      <w:r>
        <w:rPr>
          <w:rFonts w:ascii="Times New Roman" w:hAnsi="Times New Roman" w:eastAsia="Times New Roman" w:cs="Times New Roman"/>
        </w:rPr>
        <w:t xml:space="preserve"> </w:t>
      </w:r>
      <w:r>
        <w:rPr>
          <w:rFonts w:ascii="Sylfaen" w:hAnsi="Sylfaen" w:eastAsia="Sylfaen" w:cs="Sylfaen"/>
        </w:rPr>
        <w:t>განსაზღვრა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აღნიშნავდა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მოსვლის</w:t>
      </w:r>
      <w:r>
        <w:rPr>
          <w:rFonts w:ascii="Times New Roman" w:hAnsi="Times New Roman" w:eastAsia="Times New Roman" w:cs="Times New Roman"/>
        </w:rPr>
        <w:t xml:space="preserve"> </w:t>
      </w:r>
      <w:r>
        <w:rPr>
          <w:rFonts w:ascii="Sylfaen" w:hAnsi="Sylfaen" w:eastAsia="Sylfaen" w:cs="Sylfaen"/>
        </w:rPr>
        <w:t>პირობები</w:t>
      </w:r>
      <w:r>
        <w:rPr>
          <w:rFonts w:ascii="Times New Roman" w:hAnsi="Times New Roman" w:eastAsia="Times New Roman" w:cs="Times New Roman"/>
        </w:rPr>
        <w:t xml:space="preserve"> </w:t>
      </w:r>
      <w:r>
        <w:rPr>
          <w:rFonts w:ascii="Sylfaen" w:hAnsi="Sylfaen" w:eastAsia="Sylfaen" w:cs="Sylfaen"/>
        </w:rPr>
        <w:t>მილერიტთა</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განმეორდა</w:t>
      </w:r>
      <w:r>
        <w:rPr>
          <w:rFonts w:ascii="Times New Roman" w:hAnsi="Times New Roman" w:eastAsia="Times New Roman" w:cs="Times New Roman"/>
        </w:rPr>
        <w:t xml:space="preserve">. </w:t>
      </w:r>
      <w:r>
        <w:rPr>
          <w:rFonts w:ascii="Sylfaen" w:hAnsi="Sylfaen" w:eastAsia="Sylfaen" w:cs="Sylfaen"/>
        </w:rPr>
        <w:t>ჰასკელი</w:t>
      </w:r>
      <w:r>
        <w:rPr>
          <w:rFonts w:ascii="Times New Roman" w:hAnsi="Times New Roman" w:eastAsia="Times New Roman" w:cs="Times New Roman"/>
        </w:rPr>
        <w:t xml:space="preserve"> </w:t>
      </w:r>
      <w:r>
        <w:rPr>
          <w:rFonts w:ascii="Sylfaen" w:hAnsi="Sylfaen" w:eastAsia="Sylfaen" w:cs="Sylfaen"/>
        </w:rPr>
        <w:t>მართალი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უაიტი</w:t>
      </w:r>
      <w:r>
        <w:rPr>
          <w:rFonts w:ascii="Times New Roman" w:hAnsi="Times New Roman" w:eastAsia="Times New Roman" w:cs="Times New Roman"/>
        </w:rPr>
        <w:t xml:space="preserve"> </w:t>
      </w:r>
      <w:r>
        <w:rPr>
          <w:rFonts w:ascii="Sylfaen" w:hAnsi="Sylfaen" w:eastAsia="Sylfaen" w:cs="Sylfaen"/>
        </w:rPr>
        <w:t>ადასტურებს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თავად</w:t>
      </w:r>
      <w:r>
        <w:rPr>
          <w:rFonts w:ascii="Times New Roman" w:hAnsi="Times New Roman" w:eastAsia="Times New Roman" w:cs="Times New Roman"/>
        </w:rPr>
        <w:t xml:space="preserve"> </w:t>
      </w:r>
      <w:r>
        <w:rPr>
          <w:rFonts w:ascii="Sylfaen" w:hAnsi="Sylfaen" w:eastAsia="Sylfaen" w:cs="Sylfaen"/>
        </w:rPr>
        <w:t>მილერი</w:t>
      </w:r>
      <w:r>
        <w:rPr>
          <w:rFonts w:ascii="Times New Roman" w:hAnsi="Times New Roman" w:eastAsia="Times New Roman" w:cs="Times New Roman"/>
        </w:rPr>
        <w:t xml:space="preserve"> </w:t>
      </w:r>
      <w:r>
        <w:rPr>
          <w:rFonts w:ascii="Sylfaen" w:hAnsi="Sylfaen" w:eastAsia="Sylfaen" w:cs="Sylfaen"/>
        </w:rPr>
        <w:t>იოანე</w:t>
      </w:r>
      <w:r>
        <w:rPr>
          <w:rFonts w:ascii="Times New Roman" w:hAnsi="Times New Roman" w:eastAsia="Times New Roman" w:cs="Times New Roman"/>
        </w:rPr>
        <w:t xml:space="preserve"> </w:t>
      </w:r>
      <w:r>
        <w:rPr>
          <w:rFonts w:ascii="Sylfaen" w:hAnsi="Sylfaen" w:eastAsia="Sylfaen" w:cs="Sylfaen"/>
        </w:rPr>
        <w:t>ნათლისმცემლით</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“Yuhanna Çömüldücü İsanın birinci gəlişini car çəkib Onun gəlişi üçün yolu hazırladığı kimi, William Miller və ona qoşulanlar da Allah Oğlunun ikinci gəlişini bəyan etdilər.” Early Writings, 229.</w:t>
      </w:r>
    </w:p>
    <w:p>
      <w:pPr>
        <w:pStyle w:val="ArticleBody"/>
        <w:jc w:val="left"/>
      </w:pPr>
      <w:r>
        <w:rPr>
          <w:rFonts w:ascii="Times New Roman" w:hAnsi="Times New Roman" w:eastAsia="Times New Roman" w:cs="Times New Roman"/>
        </w:rPr>
        <w:t>Хаскелл ҳатто муайян мекунад, ки дар ҷараёни таърихи Пергамус, (калисои сеюм, ки созиши насрониятро бо бутпарастӣ намояндагӣ мекунад), таърихи Сардис, яъне калисои панҷум, такрор гардид.</w:t>
      </w:r>
    </w:p>
    <w:p>
      <w:pPr>
        <w:pStyle w:val="ArticleScripture"/>
        <w:jc w:val="left"/>
      </w:pPr>
      <w:r>
        <w:rPr>
          <w:rFonts w:ascii="Times New Roman" w:hAnsi="Times New Roman" w:eastAsia="Times New Roman" w:cs="Times New Roman"/>
        </w:rPr>
        <w:t>«پرگاموس تاریخیندا مسیحیتِیگ خیال ایدیلردی کی، پوت‌پرستلیک اولموش‌دور؛ آمّا حقیقتده، ظاهراً مغلوب اولان دین غالب گل‌میشدی. واعظ‌لیق اولونموش پوت‌پرستلیک کلیسایه داخل اولدو. ساردیس‌ین گونلرینده بو تاریخ ینیدن تکرار اولوندو.» Stephen N. Haskell, Story of the Seer of Patmos, 75, 76.</w:t>
      </w:r>
    </w:p>
    <w:p>
      <w:pPr>
        <w:pStyle w:val="ArticleBody"/>
        <w:jc w:val="left"/>
      </w:pPr>
      <w:r>
        <w:rPr>
          <w:rFonts w:ascii="Times New Roman" w:hAnsi="Times New Roman" w:eastAsia="Times New Roman" w:cs="Times New Roman"/>
        </w:rPr>
        <w:t>Sardis ma ancýngsía Reformation ka a ni, papacy ci satanic fallacies a dohsak ih a tho tho a protesttu, asin an hna thawh a khar hlanah an tawh rim hmasa zo ve ringawt. Pergamos ancýngsía bangin, papalism cu a thi zo tiah an ruat, asin a taktak ah cun a nung lai ko. Haskell nih a fianter vivo in, remnant church cungah “kumkhua hlan pawl i a khawmmi engdan” a ceu ti a langter fawn.</w:t>
      </w:r>
    </w:p>
    <w:p>
      <w:pPr>
        <w:pStyle w:val="ArticleScripture"/>
        <w:jc w:val="left"/>
      </w:pPr>
      <w:r>
        <w:rPr>
          <w:rFonts w:ascii="Times New Roman" w:hAnsi="Times New Roman" w:eastAsia="Times New Roman" w:cs="Times New Roman"/>
        </w:rPr>
        <w:t>«Энэ эцсийн чуулган дээр—үлдэгсэд дээр—өнгөрсөн бүх эрин үеийн хуримтлагдсан туяанууд гэрэлтэнэ.» Stephen N. Haskell, Story of the Seer of Patmos, 69.</w:t>
      </w:r>
    </w:p>
    <w:p>
      <w:pPr>
        <w:pStyle w:val="ArticleBody"/>
        <w:jc w:val="left"/>
      </w:pPr>
      <w:r>
        <w:rPr>
          <w:rFonts w:ascii="Times New Roman" w:hAnsi="Times New Roman" w:eastAsia="Times New Roman" w:cs="Times New Roman"/>
        </w:rPr>
        <w:t>Ndzi nga vuli leswaku Haskell a a lemukile leswaku matimu lama yaka emahlweni lama yimeriwaka hi mavandla ya nkombo ya kereke, na wona ma hetisekile ematin’wini ya Israele wa khale, kambe hakunene u tiyisisa ntiyiso wolowo loko a tsala leswaku “miseve leyi hlengeletiweke ya minkarhi hinkwayo ya khale” yi “vangama” ehenhla ka “kereke yo hetelela.” Israele wa khale u katsiwa eka “miseve ya” “minkarhi ya khale.” Kutani hambileswi a tiyisisaka milawu-mikongomelo leyi lavekaka leswaku ku lemukiwa vuyimeri bya mavandla ya nkombo ya kereke ematin’wini ya Israele wa khale, a ndzi tiyiseki leswaku u byi lemukile hi ku enta ku yini ku yelana loku yimeriwaka hi swikombiso sweswo. Nakambe ndzi tiyisile leswaku a nga xi lemukanga xiyenge xin’wana lexi tlulaka hi nkoka xa matimu lama yimeriwaka hi mavandla ya nkombo ya kereke, ku nga xiyenge lexi hi kongomaka eka xona.</w:t>
      </w:r>
    </w:p>
    <w:p>
      <w:pPr>
        <w:pStyle w:val="ArticleBody"/>
        <w:jc w:val="left"/>
      </w:pPr>
      <w:r>
        <w:rPr>
          <w:rFonts w:ascii="Times New Roman" w:hAnsi="Times New Roman" w:eastAsia="Times New Roman" w:cs="Times New Roman"/>
        </w:rPr>
        <w:t>Aɗa nana sallam kaŋ ga no sobu woo jine 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Number Three</dc:title>
  <dc:subject>Ngepu me kwanje?</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