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ឡាអូឌីសេ</w:t>
      </w:r>
      <w:r>
        <w:rPr>
          <w:rFonts w:ascii="Arial" w:hAnsi="Arial" w:eastAsia="Arial" w:cs="Arial"/>
        </w:rPr>
        <w:t xml:space="preserve"> — </w:t>
      </w: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ប្រាំ</w:t>
      </w:r>
    </w:p>
    <w:p>
      <w:pPr>
        <w:pStyle w:val="ArticleSubtitle"/>
        <w:jc w:val="left"/>
      </w:pPr>
      <w:r>
        <w:rPr>
          <w:rFonts w:ascii="Arial" w:hAnsi="Arial" w:eastAsia="Arial" w:cs="Arial"/>
        </w:rPr>
        <w:t>Pe Lote Mbohapy Ipahaevegua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بِهترين حالتدا، يەتتە چېركاۋ بىلەن يەتتە مۆھۈرنى ئوخشاش بىر تارىخنىڭ ئىچكى ۋە تاشقى لىنىيەلىرىنى ئىپادىلەيدىغان پاراللېل بەلگىلەر سۈپىتىدە چۈشىنىش كېرەك. شۇنداقلا، ئاخىرقى ئۈچ چېركاۋ ۋە ئاخىرقى ئۈچ مۆھۈرنى كۆزدىن كەچۈرگەندە، ئىلگىرىلەشچان تارىخنى ئىپادىلەيدىغان تارىخىي لىنىيەنىڭ بۇ بەلگىلەرنىڭ ئاساسىي تېمىسى ئەمەسلىكىنىمۇ ئەھمىيەت بىلەن قەيت قىلىش لازىم. چېركاۋلار پاراللېل تارىخلار مەزمۇنىدا قوللىنىلغاندا، تارىخنىڭ ئىلگىرىلىشى بۇ بەلگىلىكنىڭ مۇھىم بىر تەركىبى بولىدۇ؛ بىراق ئاخىرقى ئۈچ چېركاۋ بىلەن مۆھۈر ئۆز ئالدىغا بىر بەلگە سۈپىتىدە مۇئامىلە قىلىنغاندا، ئەھۋال بۇنداق ئەمەس.</w:t>
      </w:r>
    </w:p>
    <w:p>
      <w:pPr>
        <w:pStyle w:val="ArticleBody"/>
        <w:jc w:val="left"/>
      </w:pPr>
      <w:r>
        <w:rPr>
          <w:rFonts w:ascii="Times New Roman" w:hAnsi="Times New Roman" w:eastAsia="Times New Roman" w:cs="Times New Roman"/>
        </w:rPr>
        <w:t>Ín nómu soytján it sjamhald snaru um sambandið millum tríggjar bólkar og um tað samspæl, ið er millum teir tríggjar bólkarnar av tilbiðjarum, sum teir ymisku samkomurnar umboða. Ín nómu soytján innsiglini eyðmerkja fólk Guds, soleiðis sum tey eru umboðað av Mósesi og Elia. Elia umboðar tær hundrað fjøruti og fýra túsund, og Móses tey rættvísu deyðu.</w:t>
      </w:r>
    </w:p>
    <w:p>
      <w:pPr>
        <w:pStyle w:val="ArticleScripture"/>
        <w:jc w:val="left"/>
      </w:pPr>
      <w:r>
        <w:rPr>
          <w:rFonts w:ascii="Times New Roman" w:hAnsi="Times New Roman" w:eastAsia="Times New Roman" w:cs="Times New Roman"/>
        </w:rPr>
        <w:t>A ni mgbe o meghere akara nke-ise, ahụrụ m n’okpuru ebe ịchụàjà mkpụrụ-obi ndị e gburu n’ihi okwu Chineke na n’ihi àmà ahụ ha jidesiri ike: Ha wee tie mkpu n’oké olu, na-asị, Ruo ole mgbe, Onyenwe anyị, onye dị nsọ na onye eziokwu, ka ị na-adịghị ekpe ikpe ma na-abọ ọbara anyị ọbọ n’aka ndị bi n’elu ụwa? E nyekwaara onye ọ bụla n’ime ha uwe ọcha; a gwakwara ha na ha ga-ezu ike obere oge ọzọ, ruo mgbe a ga-emezu ọnụ ọgụgụ ndị ozi ibe ha na ụmụnna ha kwa, ndị a ga-egbu dịka e gburu ha. A ni mgbe o meghere akara nke-isii, lee, e nwere nnukwu ala ọma jijiji; anyanwụ wee ghọọ oji dịka akwa iru-ụjụ nke ajị-isi, ọnwa wee dị ka ọbara; Kpakpando nke eluigwe wee daa n’elu ụwa, dịka osisi fig na-awụsa fig ya ndị na-erubeghị oge ha mgbe oke ifufe na-ama ya jijiji. Eluigwe wee pụọ dịka akwụkwọ mpịakọta mgbe a na-apịkọta ya ọnụ; ugwu ọ bụla na agwaetiti ọ bụla wee si n’ebe ha dị kwaga. Ndị eze nke ụwa, na ndị ukwu, na ndị ọgaranya, na ndị isi agha, na ndị dike, na ohu ọ bụla, na onye nwe onwe ya ọ bụla, zoro onwe ha n’ime ọgba na n’ime nkume nke ugwu; Ha wee sị ugwu na nkume ndị ahụ, Daa n’elu anyị, zoo anyị pụọ n’ihu Onye ahụ nke nọ ọdụ n’ocheeze, nakwa n’ihu iwe nke Nwa Atụrụ ahụ: N’ihi na nnukwu ụbọchị nke iwe ya eruola; ònye ga-enwe ike iguzo? Mkpughe 6:9–17.</w:t>
      </w:r>
    </w:p>
    <w:p>
      <w:pPr>
        <w:pStyle w:val="ArticleBody"/>
        <w:jc w:val="left"/>
      </w:pPr>
      <w:r>
        <w:rPr>
          <w:rFonts w:ascii="Times New Roman" w:hAnsi="Times New Roman" w:eastAsia="Times New Roman" w:cs="Times New Roman"/>
        </w:rPr>
        <w:t>Sister White ne effirmenys ki li sinkim selo adresis “un periode de tenp in li avinir.” Li versis del sinkim selo demandan kande Déu vell judja li papasie pro murdrar li popul de Déu durant li Etis Obscuris. Li response va essi donat ki in li “last deis” Déu vell judja li papasie pro lor murdre e anc pro un altri gruppe de papal martiris qui anc vell essi murdrat del papasie durant li crise del lei de sundi.</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사가</w:t>
      </w:r>
      <w:r>
        <w:rPr>
          <w:rFonts w:ascii="Times New Roman" w:hAnsi="Times New Roman" w:eastAsia="Times New Roman" w:cs="Times New Roman"/>
        </w:rPr>
        <w:t xml:space="preserve"> </w:t>
      </w:r>
      <w:r>
        <w:rPr>
          <w:rFonts w:ascii="Malgun Gothic" w:hAnsi="Malgun Gothic" w:eastAsia="Malgun Gothic" w:cs="Malgun Gothic"/>
        </w:rPr>
        <w:t>다섯째</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떼실</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w:t>
      </w:r>
      <w:r>
        <w:rPr>
          <w:rFonts w:ascii="Malgun Gothic" w:hAnsi="Malgun Gothic" w:eastAsia="Malgun Gothic" w:cs="Malgun Gothic"/>
        </w:rPr>
        <w:t>요한계시록</w:t>
      </w:r>
      <w:r>
        <w:rPr>
          <w:rFonts w:ascii="Times New Roman" w:hAnsi="Times New Roman" w:eastAsia="Times New Roman" w:cs="Times New Roman"/>
        </w:rPr>
        <w:t xml:space="preserve"> 6:9–11]. </w:t>
      </w:r>
      <w:r>
        <w:rPr>
          <w:rFonts w:ascii="Malgun Gothic" w:hAnsi="Malgun Gothic" w:eastAsia="Malgun Gothic" w:cs="Malgun Gothic"/>
        </w:rPr>
        <w:t>여기에는</w:t>
      </w:r>
      <w:r>
        <w:rPr>
          <w:rFonts w:ascii="Times New Roman" w:hAnsi="Times New Roman" w:eastAsia="Times New Roman" w:cs="Times New Roman"/>
        </w:rPr>
        <w:t xml:space="preserve"> </w:t>
      </w:r>
      <w:r>
        <w:rPr>
          <w:rFonts w:ascii="Malgun Gothic" w:hAnsi="Malgun Gothic" w:eastAsia="Malgun Gothic" w:cs="Malgun Gothic"/>
        </w:rPr>
        <w:t>요한에게</w:t>
      </w:r>
      <w:r>
        <w:rPr>
          <w:rFonts w:ascii="Times New Roman" w:hAnsi="Times New Roman" w:eastAsia="Times New Roman" w:cs="Times New Roman"/>
        </w:rPr>
        <w:t xml:space="preserve"> </w:t>
      </w:r>
      <w:r>
        <w:rPr>
          <w:rFonts w:ascii="Malgun Gothic" w:hAnsi="Malgun Gothic" w:eastAsia="Malgun Gothic" w:cs="Malgun Gothic"/>
        </w:rPr>
        <w:t>실제로</w:t>
      </w:r>
      <w:r>
        <w:rPr>
          <w:rFonts w:ascii="Times New Roman" w:hAnsi="Times New Roman" w:eastAsia="Times New Roman" w:cs="Times New Roman"/>
        </w:rPr>
        <w:t xml:space="preserve"> </w:t>
      </w:r>
      <w:r>
        <w:rPr>
          <w:rFonts w:ascii="Malgun Gothic" w:hAnsi="Malgun Gothic" w:eastAsia="Malgun Gothic" w:cs="Malgun Gothic"/>
        </w:rPr>
        <w:t>일어난</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아니라</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미래의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시기에</w:t>
      </w:r>
      <w:r>
        <w:rPr>
          <w:rFonts w:ascii="Times New Roman" w:hAnsi="Times New Roman" w:eastAsia="Times New Roman" w:cs="Times New Roman"/>
        </w:rPr>
        <w:t xml:space="preserve"> </w:t>
      </w:r>
      <w:r>
        <w:rPr>
          <w:rFonts w:ascii="Malgun Gothic" w:hAnsi="Malgun Gothic" w:eastAsia="Malgun Gothic" w:cs="Malgun Gothic"/>
        </w:rPr>
        <w:t>있게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일이</w:t>
      </w:r>
      <w:r>
        <w:rPr>
          <w:rFonts w:ascii="Times New Roman" w:hAnsi="Times New Roman" w:eastAsia="Times New Roman" w:cs="Times New Roman"/>
        </w:rPr>
        <w:t xml:space="preserve"> </w:t>
      </w:r>
      <w:r>
        <w:rPr>
          <w:rFonts w:ascii="Malgun Gothic" w:hAnsi="Malgun Gothic" w:eastAsia="Malgun Gothic" w:cs="Malgun Gothic"/>
        </w:rPr>
        <w:t>장면들로</w:t>
      </w:r>
      <w:r>
        <w:rPr>
          <w:rFonts w:ascii="Times New Roman" w:hAnsi="Times New Roman" w:eastAsia="Times New Roman" w:cs="Times New Roman"/>
        </w:rPr>
        <w:t xml:space="preserve"> </w:t>
      </w:r>
      <w:r>
        <w:rPr>
          <w:rFonts w:ascii="Malgun Gothic" w:hAnsi="Malgun Gothic" w:eastAsia="Malgun Gothic" w:cs="Malgun Gothic"/>
        </w:rPr>
        <w:t>제시되었다</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Manuscript Releases</w:t>
      </w:r>
      <w:r>
        <w:rPr>
          <w:rFonts w:ascii="Microsoft YaHei" w:hAnsi="Microsoft YaHei" w:eastAsia="Microsoft YaHei" w:cs="Microsoft YaHei"/>
        </w:rPr>
        <w:t>』</w:t>
      </w:r>
      <w:r>
        <w:rPr>
          <w:rFonts w:ascii="Times New Roman" w:hAnsi="Times New Roman" w:eastAsia="Times New Roman" w:cs="Times New Roman"/>
        </w:rPr>
        <w:t>, volume 20, 197.</w:t>
      </w:r>
    </w:p>
    <w:p>
      <w:pPr>
        <w:pStyle w:val="ArticleBody"/>
        <w:jc w:val="left"/>
      </w:pPr>
      <w:r>
        <w:rPr>
          <w:rFonts w:ascii="Times New Roman" w:hAnsi="Times New Roman" w:eastAsia="Times New Roman" w:cs="Times New Roman"/>
        </w:rPr>
        <w:t>اسھام پڻ ھن ڳالھہ جي تصديق ڪري ٿو تہ قربان‌گاھہ ھيٺان جيڪي جانون اھو ڄاڻڻ جي خواھش رکن ٿيون تہ خدا پاپائيت تي ڪڏھن فيصلو ڪندو، سي وحي جي ارڙھين باب ۾ انھيءَ فرشتي جي ٻن آوازن سان لاڳاپيل آھن، جيڪو زمين کي پنھنجي جلال سان روشن ڪري ٿو۔</w:t>
      </w:r>
    </w:p>
    <w:p>
      <w:pPr>
        <w:pStyle w:val="ArticleScripture"/>
        <w:jc w:val="left"/>
      </w:pPr>
      <w:r>
        <w:rPr>
          <w:rFonts w:ascii="Times New Roman" w:hAnsi="Times New Roman" w:eastAsia="Times New Roman" w:cs="Times New Roman"/>
        </w:rPr>
        <w:t>«ئەللە ئاشۇرۇن بەشينچى تۈرى ئېچىلغاندا، يۇھاننا ۋەھيى ئالغۇچى كۆرۈنۈشتە قۇربانلىق سۇپىسىنىڭ ئاستىدا خۇدانىڭ سۆزى ۋە ئەيسا مەسىھنىڭ گۇۋاھلىقى ئۈچۈن ئۆلتۈرۈلگەنلەر جەمئىيىتىنى كۆردى. بۇنىڭدىن كېيىن ۋەھيى كىتابىنىڭ ئون سەككىزىنچى بابىدا بايان قىلىنغان كۆرۈنۈشلەر كەلدى؛ ئۇ يەردە سادىق ۋە ھەقىقىي بولغانلار بابىلوندىن چىقىشقا چاقىرىلىدۇ. Revelation 18:1–5 quoted.» Manuscript Releases، 20-توم، 14.</w:t>
      </w:r>
    </w:p>
    <w:p>
      <w:pPr>
        <w:pStyle w:val="ArticleBody"/>
        <w:jc w:val="left"/>
      </w:pPr>
      <w:r>
        <w:rPr>
          <w:rFonts w:ascii="Times New Roman" w:hAnsi="Times New Roman" w:eastAsia="Times New Roman" w:cs="Times New Roman"/>
        </w:rPr>
        <w:t>У «Відкритті» вісімнадцятому розділі суд над католицизмом є подвійним, бо там і тоді його покарано не лише за тих, кого він убиватиме в «останні дні», але й за жертв убивств упродовж темних віків папського панування.</w:t>
      </w:r>
    </w:p>
    <w:p>
      <w:pPr>
        <w:pStyle w:val="ArticleScripture"/>
        <w:jc w:val="left"/>
      </w:pPr>
      <w:r>
        <w:rPr>
          <w:rFonts w:ascii="Times New Roman" w:hAnsi="Times New Roman" w:eastAsia="Times New Roman" w:cs="Times New Roman"/>
        </w:rPr>
        <w:t>Ande kyng mÏteng nyi piny yenë wuɔk yi ci, Wɔɔtëk ku baai, ë pïrku, ba ye kedhiëëc kɔ̈kë raan cï luel kënë, ku ba ye raan cï laŋ në atɔ̈ɔ̈rke. Kë raan cï luel kënë acï rɔ̈t yök ba cäth piny, ku Nhial acï bɛ̈n guɔ̈pke piou. Ku kɔc kënë luŋ ku luŋ, alëu ku raan cï luŋ yïn; ku cɔk yi luŋ arëët ku arëët, cïk ku kɔ̈kë yi looi: në dho̱l cïk tuɔɔc, tuɔɔc ku yen arëët. Nyikek 18:4–6.</w:t>
      </w:r>
    </w:p>
    <w:p>
      <w:pPr>
        <w:pStyle w:val="ArticleBody"/>
        <w:jc w:val="left"/>
      </w:pPr>
      <w:r>
        <w:rPr>
          <w:rFonts w:ascii="Times New Roman" w:hAnsi="Times New Roman" w:eastAsia="Times New Roman" w:cs="Times New Roman"/>
        </w:rPr>
        <w:t>مُهر ششم یکی از نمونه‌های برجستۀ کتاب‌مقدس را از رویدادهایی که بی‌درنگ پیش از آمدن دوبارۀ مسیح، در خلال هفت بلای آخر، روی می‌دهند، ارائه می‌کند. این مُهر با دیباچۀ فصل هفتم مکاشفه پایان می‌یابد، فصلی که پاسخ پرسشی را فراهم می‌سازد که در آخرین آیۀ مُهر ششم مطرح شده است: «و کیست که بتواند بایستد؟» دو گروه هستند که در بحرانِ قانونِ یکشنبه، که با فرارسیدن هفت بلای آخر به پایان می‌رسد، به‌عنوان عَلَمِ خدا خواهند ایستاد. این دو گروه عبارت‌اند از صد و چهل و چهار هزار نفر که به‌وسیلۀ ایلیا نمادین شده‌اند، و «گروه عظیم» که به‌وسیلۀ موسی نمادین شده است. این دو نماد، یعنی موسی و ایلیا، پیش‌تر به‌عنوان کسانی شناسایی شدند که در پایان جهان می‌ایستند؛ زیرا هر دو با مسیح بر کوه تجلی ایستادند.</w:t>
      </w:r>
    </w:p>
    <w:p>
      <w:pPr>
        <w:pStyle w:val="ArticleBody"/>
        <w:jc w:val="left"/>
      </w:pPr>
      <w:r>
        <w:rPr>
          <w:rFonts w:ascii="Times New Roman" w:hAnsi="Times New Roman" w:eastAsia="Times New Roman" w:cs="Times New Roman"/>
        </w:rPr>
        <w:t>الگروه نخستِ شهیدانِ پاپی از اعصارِ تاریکی جامه‌های سفید به ایشان داده شد، و گروه دوم، که به آنان گفته شد تا کامل شدنِ آن گروه در انتظار بمانند، همان «جمیعِ کثیر» است که ایشان نیز جامه‌های سفید بر تن دارند. مُهر پنجم و ششم تاریخِ موازیِ کلیسای پنجم و ششم را ارائه نمی‌کنند، بلکه شهادتی دربارهٔ آن دو گروه عرضه می‌دارند که در «ایام آخر» به‌عنوان عَلَمی برای خداوند برمی‌خیزند. آن دو گروه همان کسانی هستند که پیام‌های آن دو صدا را در مکاشفه باب هجده اعلام می‌کنند. پیامی که آنگاه اعلام می‌شود با فرو‌ریزشِ روح‌القدس همراه است، چنان‌که در تاریخِ پنتیکاست و در تاریخِ ندای نیمه‌شب در آغازِ اَدوِنتیسم به‌گونه‌ای نمونه‌وار به تصویر کشیده شده است.</w:t>
      </w:r>
    </w:p>
    <w:p>
      <w:pPr>
        <w:pStyle w:val="ArticleScripture"/>
        <w:jc w:val="left"/>
      </w:pPr>
      <w:r>
        <w:rPr>
          <w:rFonts w:ascii="Times New Roman" w:hAnsi="Times New Roman" w:eastAsia="Times New Roman" w:cs="Times New Roman"/>
        </w:rPr>
        <w:t>«Үчинҗи пәриштиниң хәвирини җакарлашта бирлишидиған пәриштә пүткүл йәрни өз шан-шәрпи билән йорутуши керәк. Бу йәрдә дуня миқясида кәң қомуслуқ вә адәттин ташқири қудрәткә игә бир иш алдин-ала хәвәр қилиниду. 1840–44-йиллардики Мәсиһниң келиш һәрикити Худаниң қудритиниң шәрәплик бир намайәниси болди; биринчи пәриштиниң хәвири дунядики һәр бир миссионерлиқ нуқтисиғичә йәткүзүлди, вә бәзи мәмликәтләрдә он алтынчи әсирдики Ислаһаттин буян һәрқандақ бир земинда көрүлгәнләрниң ичидә әң зор диний қизиқиш мәйданға кәлди; бирақ буларниң һәммиси үчинҗи пәриштиниң ахирқи агаһландуруши астида болидиған қудрәтлик һәрикәт тәрипидин ешип чүшилиду.</w:t>
      </w:r>
    </w:p>
    <w:p>
      <w:pPr>
        <w:pStyle w:val="ArticleScripture"/>
        <w:jc w:val="left"/>
      </w:pPr>
      <w:r>
        <w:rPr>
          <w:rFonts w:ascii="Times New Roman" w:hAnsi="Times New Roman" w:eastAsia="Times New Roman" w:cs="Times New Roman"/>
        </w:rPr>
        <w:t>“Obra ukhamakïniwa kunjamatï Pentecostés Urun luräwipäkäna ukhama. Kunjamatï ‘nayrïr jallux’ churatäkäna, Qullan Ajayun warantäwipan, evangelio jist’artäwipan, wali askïki uka jathax mistuñapataki, ukhamaraki ‘qhipäx jallux’ churatäniwa tukuyañapan, yapu apthapiñax phuqhatañapataki. ‘Ukatsti yatipxäniwa, jiwasatix Tatitur uñtʼañatak arkaskakiñäni ukhaxa: mistuñapax alwjam wakichtʼatawa; jupasti jutaniw jiwasanakarux jalljam, uraqir qhipäx ukat nayrïr jalljam.’ Oseas 6:3. ‘Ukhamasti kusisipxam, Sionan wawanakapa, ukat Tatitu Diosaman kusisipxam; jupax churapxtamwa nayrïr jallux chiqaparjama, ukat jumanakatakix jallu apayaniniwa, nayrïr jallumpi qhipäx jallumpi.’ Joel 2:23. ‘Qhipa urunakanxa, siw Diosax, Ajayujat warantäyäwa taqi jaqinakaruxa.’ ‘Ukat pasaniwa, khititix Tatitun sutip artʼasini ukax qhispiyatäniwa.’ Hechos 2:17, 21.”</w:t>
      </w:r>
    </w:p>
    <w:p>
      <w:pPr>
        <w:pStyle w:val="ArticleScripture"/>
        <w:jc w:val="left"/>
      </w:pPr>
      <w:r>
        <w:rPr>
          <w:rFonts w:ascii="Times New Roman" w:hAnsi="Times New Roman" w:eastAsia="Times New Roman" w:cs="Times New Roman"/>
        </w:rPr>
        <w:t>“Wasam munay lamar qillqatan apachisqa allin willakuyqa mana tukunanichu Diospa kallpan rikuchikuynin pisi kaptin, imaynachus qallariyninpi rikuchikurqan chaymantaqa aswan pisiwan. Profeciakuna ñawpaq tamya urmayninwan hunt’akusqakuna allin willakuypa qallariyninpi, wakmanta hunt’akunan kachkan qhepa tamyapi tukukuyninpi. Kaypin kachkan ‘samaykuna kawsariypaq’ nisqakuna, apostol Pedro ñawpaqman qhawarirqan nispa: ‘Arrepentikuychik, chayrayku, kutirikuychikpas, huchaykichik pichasqa kananpaq, apamunankama Señormanta samaykuna kawsariypaq; paytaq Jesusta cachamunqa.’ Hechos 3:19, 20.” The Great Controversy, 611.</w:t>
      </w:r>
    </w:p>
    <w:p>
      <w:pPr>
        <w:pStyle w:val="ArticleBody"/>
        <w:jc w:val="left"/>
      </w:pPr>
      <w:r>
        <w:rPr>
          <w:rFonts w:ascii="Times New Roman" w:hAnsi="Times New Roman" w:eastAsia="Times New Roman" w:cs="Times New Roman"/>
        </w:rPr>
        <w:t>Tarawtmiṭṭ n aselsel wis sdis yeskar-d asteqsi ara d-yessenkaden Ilyas d Musa i d-yettwaselken deg yixef wis sa n Tira n Lweḥy, aselsel wis sa yettwarẓem u yeseglem afsusi n Rruḥ n Quddus ɣef snat taggayin-nni. Ilaq ad d-yettwazgen belli deg useglem-agi yella tsusmi i wazal n uzgen n usrag. Afsusi n ugeffur aneggaru, i d-yettwasegmen s uṛẓim n uselsel wis sa, yessemgirid akked tallit n tsusmi.</w:t>
      </w:r>
    </w:p>
    <w:p>
      <w:pPr>
        <w:pStyle w:val="ArticleScripture"/>
        <w:jc w:val="left"/>
      </w:pPr>
      <w:r>
        <w:rPr>
          <w:rFonts w:ascii="Times New Roman" w:hAnsi="Times New Roman" w:eastAsia="Times New Roman" w:cs="Times New Roman"/>
        </w:rPr>
        <w:t>ꞈꞅ ꞇ꞉ ꞁꞀꞆ ꞌꞁꞈ Ꞁꞇ꞊ꞅ ꞃ꞉ꞈ Ꞅ꞉Ꞇꞅ Ꞃ꞉Ꞁꞅ ꞃ꞉ꞅꞈ Ꞇ꞉Ꞃ ꞌꞀ Ꞅ꞉ꞅꞈ Ꞃ꞉Ꞁ ꞌꞀꞆ꞉ ꞁꞀꞆ꞉ ꞁꞀ ꞃ꞉ꞅꞆ. ꞈꞅ ꞇ꞉ ꞃ꞉Ꞁ Ꞅ꞉ꞈ ꞁꞀ Ꞅ꞉Ꞁ Ꞇ꞉ꞈꞅ ꞁꞀꞆ꞉ ꞃ꞉ꞅꞆ Ꞅ꞉Ꞁ; ꞈꞅ ꞈ꞉ ꞉Ꞁꞅ ꞃ꞉ꞂꞀꞅ ꞁꞀ Ꞇ꞉Ꞃꞅ Ꞇ꞉ꞈꞀꞅ. ꞈꞅ ꞃ꞉Ꞁ Ꞅ꞉ꞈ Ꞁꞇ꞊ꞅ Ꞇ꞉ꞈꞀꞅ ꞁꞀꞆ꞉ Ꞅ꞉ꞅꞆ Ꞅ꞉Ꞁ ꞉ꞀꞆ꞉, ꞈ꞉ ꞃ꞉Ꞁ ꞊ꞀꞂꞅꞈ Ꞇ꞉Ꞁꞅꞈ ꞁꞀꞆ꞉ Ꞅ꞉Ꞁ; ꞈꞅ ꞈ꞉ ꞉Ꞁꞅ ꞃ꞉ꞂꞀꞅ ꞇ꞉Ꞃꞅ ꞃ꞉ꞁꞂ ꞊ꞀꞇꞀꞂꞅ, ꞈꞅ ꞇ꞉ ꞃ꞉Ꞁ ꞊Ꞁꞁꞅ ꞈ꞉ ꞁꞀꞆ꞉ Ꞅ꞉Ꞁ ꞉ꞀꞆ꞉ Ꞃ꞉Ꞃ ꞃ꞉ꞅꞈ ꞃ꞉Ꞁ Ꞅ꞉ꞈ ꞁꞀ Ꞅ꞉ꞈꞀꞇ. ꞈꞅ ꞃ꞉Ꞁ ꞃ꞉ꞁꞂ ꞊ꞀꞇꞀꞂꞅ, Ꞅ꞉ꞈ ꞇ꞉ ꞃ꞉Ꞁ ꞊Ꞁꞁꞅ ꞈ꞉ ꞁꞀꞆ꞉ Ꞅ꞉Ꞁ ꞉ꞀꞆ꞉, ꞈ꞉ Ꞅ꞉ꞀꞂꞀꞂ ꞈ꞉ ꞃ꞉Ꞁ Ꞅ꞉Ꞁꞅ ꞁꞀ Ꞅ꞉ꞈꞀꞇ ꞈ꞉ Ꞃ꞉ꞈ. ꞈꞅ ꞃ꞉Ꞁ Ꞅ꞉ꞈ Ꞁꞇ꞊ꞅ Ꞇ꞉ꞈꞀꞅ ꞃ꞉Ꞁ ꞊ꞀꞂꞅꞈ Ꞇ꞉Ꞁꞅꞈ, ꞈꞅ ꞈ꞉ Ꞃ꞉Ꞃ ꞁꞀꞆ꞉ Ꞅ꞉Ꞁ Ꞅ꞉ꞅꞈ Ꞇ꞉Ꞃ Ꞅ꞉Ꞁ ꞉ꞀꞆ꞉, ꞈꞅ ꞈ꞉ ꞇꞅꞈ ꞈ꞉ ꞁꞀ Ꞅ꞉ꞀꞆ: ꞈꞅ ꞈ꞉ ꞃ꞉Ꞃꞅ, ꞈꞅ ꞃ꞉ꞇꞀꞂꞅꞈꞀꞂꞅ, ꞈꞅ ꞈꞀꞁꞂꞅꞈꞀꞂꞅ, ꞈꞅ ꞀꞇꞂꞅꞈꞅ ꞃ꞉Ꞇꞅ. Revelation 8:1–5.</w:t>
      </w:r>
    </w:p>
    <w:p>
      <w:pPr>
        <w:pStyle w:val="ArticleBody"/>
        <w:jc w:val="left"/>
      </w:pPr>
      <w:r>
        <w:rPr>
          <w:rFonts w:ascii="Times New Roman" w:hAnsi="Times New Roman" w:eastAsia="Times New Roman" w:cs="Times New Roman"/>
        </w:rPr>
        <w:t>Saghon a naibaga kadagiti naisurat iti The Great Controversy, ti uray itiudi ket inrugina a maibuybuya idi a timmayo baba ti mannakabalin nga anghel ket pinasilnaganna ti daga baba ti dayagna. Ti uray itiudi ket nangrugi idi a “naibabain dagiti dadakkel a bilding ti Siudad ti New York” idi Septiembre 11, 2001.</w:t>
      </w:r>
    </w:p>
    <w:p>
      <w:pPr>
        <w:pStyle w:val="ArticleScripture"/>
        <w:jc w:val="left"/>
      </w:pPr>
      <w:r>
        <w:rPr>
          <w:rFonts w:ascii="Times New Roman" w:hAnsi="Times New Roman" w:eastAsia="Times New Roman" w:cs="Times New Roman"/>
        </w:rPr>
        <w:t>“کوشنہ وہ بات آتی ہے جو میں نے اعلان کی ہے کہ نیو یارک ایک سمندری طغیانی سے بہا دیا جائے گا؟ یہ میں نے کبھی نہیں کہا۔ میں نے یہ کہا ہے کہ جب میں وہاں بلند ہوتی ہوئی عظیم عمارتوں کو، منزل پر منزل، دیکھتی تھی تو کہا، ‘کتنے ہولناک مناظر پیش آئیں گے جب خداوند زمین کو سختی سے ہلا دینے کے لیے اُٹھے گا! تب مکاشفہ 18:1–3 کے الفاظ پورے ہوں گے۔’ مکاشفہ کے اٹھارویں باب کا پورا حصہ اس بات کی تنبیہ ہے کہ زمین پر کیا آنے والا ہے۔ لیکن نیو یارک پر خصوصیت کے ساتھ کیا آنے والا ہے، اس کے بارے میں مجھے کوئی خاص روشنی نہیں دی گئی، صرف اتنا جانتی ہوں کہ ایک دن وہاں کی عظیم عمارتیں خدا کی قدرت کے پلٹنے اور اُلٹنے سے گرا دی جائیں گی۔ مجھے دی گئی روشنی سے میں جانتی ہوں کہ دنیا میں ہلاکت ہے۔ خداوند کا ایک ہی کلام، اُس کی زبردست قدرت کا ایک ہی لمس، اور یہ عظیم ڈھانچے گر پڑیں گے۔ ایسے مناظر پیش آئیں گے جن کی ہیبت کا ہم تصور بھی نہیں کر سکتے۔” ریویو اینڈ ہیرلڈ، 5 جولائی 1906۔</w:t>
      </w:r>
    </w:p>
    <w:p>
      <w:pPr>
        <w:pStyle w:val="ArticleBody"/>
        <w:jc w:val="left"/>
      </w:pPr>
      <w:r>
        <w:rPr>
          <w:rFonts w:ascii="Times New Roman" w:hAnsi="Times New Roman" w:eastAsia="Times New Roman" w:cs="Times New Roman"/>
        </w:rPr>
        <w:t>De setembro 11, 2001, a chuva serôdia começou a cair, e o derramamento dessa chuva cai sobre aqueles representados por Elias e Moisés, e inclui um tempo de silêncio. Um tempo de silêncio para Moisés e Elias também é representado no capítulo onze de Apocalipse, onde Moisés e Elias, aqueles dois profetas que atormentaram o mundo, foram “mortos” nas ruas. Mas, após três dias e meio, saíram da caverna de Horebe e ascenderam ao céu. Na história da chuva serôdia, a mensagem, representada por esses dois mensageiros, é morta e lançada na rua, mas não é sepultada até que sejam ressuscitados. Esta é uma das verdades primárias que o Leão da tribo de Judá está agora deslacrando.</w:t>
      </w:r>
    </w:p>
    <w:p>
      <w:pPr>
        <w:pStyle w:val="ArticleBody"/>
        <w:jc w:val="left"/>
      </w:pPr>
      <w:r>
        <w:rPr>
          <w:rFonts w:ascii="Times New Roman" w:hAnsi="Times New Roman" w:eastAsia="Times New Roman" w:cs="Times New Roman"/>
        </w:rPr>
        <w:t>ئەو سێ مۆرەی کۆتایی دۆخە کۆتاییەکەی گەلەکەی خودا دەناسێنن، وەک لەلایەن ئیلیاس و موسا نمایەندەکران. ئەو بزووتنەوەیە دەمرێت و هەڵدەستێتەوە. بزووتنەوەیەکە، چونکە ئەدفێنتیزم بە بزووتنەوەیەک دەستی پێکرد کە بەردەوام بوو هەتا ساڵی 1863، کاتێک یەکەم ڕاستییەکەیان لادا کە ویلیام میلەر ڕێنمایی کرابوو بۆ ناسینەوەی. لە ساڵی 1863دا ئەو بزووتنەوەیە کۆتایی هات، چونکە لە 1863دا بە شێوەی یاسایی بوونە کڵێسا. ئەلفا و ئۆمێگا پێداگری دەکات کە ئەگەر ئەو گەلە پاشماوەییەی خۆی وەک بزووتنەوەیەک دەست پێ کردبێت، هەروەها وەک بزووتنەوەیەکیش کۆتایی پێ دێنێت.</w:t>
      </w:r>
    </w:p>
    <w:p>
      <w:pPr>
        <w:pStyle w:val="ArticleBody"/>
        <w:jc w:val="left"/>
      </w:pPr>
      <w:r>
        <w:rPr>
          <w:rFonts w:ascii="Times New Roman" w:hAnsi="Times New Roman" w:eastAsia="Times New Roman" w:cs="Times New Roman"/>
        </w:rPr>
        <w:t>اكنون بر مرورِ هفت کلیسا و هفت مُهر پایان یافته‌ایم. در سه مُهرِ آخر، دو طبقه از رستگاران را می‌بینیم که به‌وسیلهٔ موسی و ایلیا نمایانده شده‌اند. آن مُهرها همگی دربارهٔ فرشتهٔ مقتدرِ مکاشفهٔ هجده شهادت می‌دهند. هنگامی که او در 11 سپتامبر 2001 فرود آمد، دو طبقه از رستگاران وارد فرایندِ تطهیری شدند که برای آشکار ساختن و جدا کردنِ دو طبقه از پرستندگان در درونِ آن جنبش در پایانِ ادونتیسم طراحی شده است، چنان‌که پیش‌تر به‌وسیلهٔ جنبش در آغازِ ادونتیسم پیش‌نموده شده بود. دانیال مشخص می‌سازد که یک طبقه، که آن را شریران می‌نامد، افزایشِ معرفت را درک نخواهند کرد، اما حکیمان درک می‌کنند. متی به ما آگاهی می‌دهد که آنان که از فهمِ معرفتی که از مُهر گشوده شده است بی‌بهره‌اند، باکره‌ای را به‌عنوان جاهل معرفی می‌کنند. باکرگانِ حکیم در بحرانِ نیمه‌شب نشان می‌دهند که افزایشِ معرفت را فهمیده‌اند و آن را در اختیار دارند. حکیمان و جاهلان به‌وسیلهٔ کلیسای فیلادلفیا یا کلیسای لائودکیه نمایانده می‌شوند. شریرانِ جاهل، یعنی باکرگانِ لائودکیه، باید از دهانِ خداوند بیرون افکنده شوند، و حکیمان نامِ خدا، یا خصلتِ او را، بر پیشانی‌های خود دریافت می‌کنند. اگر کلیسای ششم، یعنی فیلادلفیا، نمایندهٔ حکیمان است، پس چگونه است که کلیسای هفتم، یعنی لائودکیه، نمایندهٔ شریران است؟ اگر چنین است، ترتیب از نظم خارج شده است، مگر نه؟ پاسخ، البته، به‌وسیلهٔ آلفا و امگا حل می‌شود.</w:t>
      </w:r>
    </w:p>
    <w:p>
      <w:pPr>
        <w:pStyle w:val="ArticleBody"/>
        <w:jc w:val="left"/>
      </w:pPr>
      <w:r>
        <w:rPr>
          <w:rFonts w:ascii="Myanmar Text" w:hAnsi="Myanmar Text" w:eastAsia="Myanmar Text" w:cs="Myanmar Text"/>
        </w:rPr>
        <w:t>အမည်ခွဲခန့်ထားသော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ပထမဦးဆုံးလူမျိုးဖြစ်သည့်</w:t>
      </w:r>
      <w:r>
        <w:rPr>
          <w:rFonts w:ascii="Times New Roman" w:hAnsi="Times New Roman" w:eastAsia="Times New Roman" w:cs="Times New Roman"/>
        </w:rPr>
        <w:t xml:space="preserve"> </w:t>
      </w:r>
      <w:r>
        <w:rPr>
          <w:rFonts w:ascii="Myanmar Text" w:hAnsi="Myanmar Text" w:eastAsia="Myanmar Text" w:cs="Myanmar Text"/>
        </w:rPr>
        <w:t>ရှေးဟောင်းဣသရေလ၏</w:t>
      </w:r>
      <w:r>
        <w:rPr>
          <w:rFonts w:ascii="Times New Roman" w:hAnsi="Times New Roman" w:eastAsia="Times New Roman" w:cs="Times New Roman"/>
        </w:rPr>
        <w:t xml:space="preserve"> </w:t>
      </w:r>
      <w:r>
        <w:rPr>
          <w:rFonts w:ascii="Myanmar Text" w:hAnsi="Myanmar Text" w:eastAsia="Myanmar Text" w:cs="Myanmar Text"/>
        </w:rPr>
        <w:t>အစပိုင်း၌၊</w:t>
      </w:r>
      <w:r>
        <w:rPr>
          <w:rFonts w:ascii="Times New Roman" w:hAnsi="Times New Roman" w:eastAsia="Times New Roman" w:cs="Times New Roman"/>
        </w:rPr>
        <w:t xml:space="preserve"> </w:t>
      </w:r>
      <w:r>
        <w:rPr>
          <w:rFonts w:ascii="Myanmar Text" w:hAnsi="Myanmar Text" w:eastAsia="Myanmar Text" w:cs="Myanmar Text"/>
        </w:rPr>
        <w:t>မိုးရှေသည်</w:t>
      </w:r>
      <w:r>
        <w:rPr>
          <w:rFonts w:ascii="Times New Roman" w:hAnsi="Times New Roman" w:eastAsia="Times New Roman" w:cs="Times New Roman"/>
        </w:rPr>
        <w:t xml:space="preserve"> </w:t>
      </w:r>
      <w:r>
        <w:rPr>
          <w:rFonts w:ascii="Myanmar Text" w:hAnsi="Myanmar Text" w:eastAsia="Myanmar Text" w:cs="Myanmar Text"/>
        </w:rPr>
        <w:t>ထိုအမည်ခွဲခန့်ထားသော</w:t>
      </w:r>
      <w:r>
        <w:rPr>
          <w:rFonts w:ascii="Times New Roman" w:hAnsi="Times New Roman" w:eastAsia="Times New Roman" w:cs="Times New Roman"/>
        </w:rPr>
        <w:t xml:space="preserve"> </w:t>
      </w:r>
      <w:r>
        <w:rPr>
          <w:rFonts w:ascii="Myanmar Text" w:hAnsi="Myanmar Text" w:eastAsia="Myanmar Text" w:cs="Myanmar Text"/>
        </w:rPr>
        <w:t>လူမျိုး၏</w:t>
      </w:r>
      <w:r>
        <w:rPr>
          <w:rFonts w:ascii="Times New Roman" w:hAnsi="Times New Roman" w:eastAsia="Times New Roman" w:cs="Times New Roman"/>
        </w:rPr>
        <w:t xml:space="preserve"> </w:t>
      </w:r>
      <w:r>
        <w:rPr>
          <w:rFonts w:ascii="Myanmar Text" w:hAnsi="Myanmar Text" w:eastAsia="Myanmar Text" w:cs="Myanmar Text"/>
        </w:rPr>
        <w:t>အဆုံးကာလ၌ရှိသော</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ပုံရိပ်အဖြစ်</w:t>
      </w:r>
      <w:r>
        <w:rPr>
          <w:rFonts w:ascii="Times New Roman" w:hAnsi="Times New Roman" w:eastAsia="Times New Roman" w:cs="Times New Roman"/>
        </w:rPr>
        <w:t xml:space="preserve"> </w:t>
      </w:r>
      <w:r>
        <w:rPr>
          <w:rFonts w:ascii="Myanmar Text" w:hAnsi="Myanmar Text" w:eastAsia="Myanmar Text" w:cs="Myanmar Text"/>
        </w:rPr>
        <w:t>ရပ်တည်ခဲ့သည်။</w:t>
      </w:r>
    </w:p>
    <w:p>
      <w:pPr>
        <w:pStyle w:val="ArticleScripture"/>
        <w:jc w:val="left"/>
      </w:pPr>
      <w:r>
        <w:rPr>
          <w:rFonts w:ascii="Times New Roman" w:hAnsi="Times New Roman" w:eastAsia="Times New Roman" w:cs="Times New Roman"/>
        </w:rPr>
        <w:t>Moses babannoota dhuguma akkana jedheera: “Waaqayyo gooftaan keessan obboloota keessan keessaa ana fakkaatu raajii tokko isiniif ni kaasa; waan inni isinitti jedhu hundumaa keessatti isa dhagaʼaa. Kanaafis, namni kam iyyuu raajicha hin dhageenye saba keessaa ni balleeffama.” Hojii Ergamootaa 3:22, 23.</w:t>
      </w:r>
    </w:p>
    <w:p>
      <w:pPr>
        <w:pStyle w:val="ArticleBody"/>
        <w:jc w:val="left"/>
      </w:pP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नामाङ्कित</w:t>
      </w:r>
      <w:r>
        <w:rPr>
          <w:rFonts w:ascii="Times New Roman" w:hAnsi="Times New Roman" w:eastAsia="Times New Roman" w:cs="Times New Roman"/>
        </w:rPr>
        <w:t xml:space="preserve"> </w:t>
      </w:r>
      <w:r>
        <w:rPr>
          <w:rFonts w:ascii="Nirmala UI" w:hAnsi="Nirmala UI" w:eastAsia="Nirmala UI" w:cs="Nirmala UI"/>
        </w:rPr>
        <w:t>प्रजाको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एलियाहका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येशूले</w:t>
      </w:r>
      <w:r>
        <w:rPr>
          <w:rFonts w:ascii="Times New Roman" w:hAnsi="Times New Roman" w:eastAsia="Times New Roman" w:cs="Times New Roman"/>
        </w:rPr>
        <w:t xml:space="preserve"> </w:t>
      </w:r>
      <w:r>
        <w:rPr>
          <w:rFonts w:ascii="Nirmala UI" w:hAnsi="Nirmala UI" w:eastAsia="Nirmala UI" w:cs="Nirmala UI"/>
        </w:rPr>
        <w:t>क्रूसमा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कक्षमा</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महायाजकीय</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नामाङ्कित</w:t>
      </w:r>
      <w:r>
        <w:rPr>
          <w:rFonts w:ascii="Times New Roman" w:hAnsi="Times New Roman" w:eastAsia="Times New Roman" w:cs="Times New Roman"/>
        </w:rPr>
        <w:t xml:space="preserve"> </w:t>
      </w:r>
      <w:r>
        <w:rPr>
          <w:rFonts w:ascii="Nirmala UI" w:hAnsi="Nirmala UI" w:eastAsia="Nirmala UI" w:cs="Nirmala UI"/>
        </w:rPr>
        <w:t>प्रजाको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प्रारम्भमा</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एलियाहका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अकस्मात्</w:t>
      </w:r>
      <w:r>
        <w:rPr>
          <w:rFonts w:ascii="Times New Roman" w:hAnsi="Times New Roman" w:eastAsia="Times New Roman" w:cs="Times New Roman"/>
        </w:rPr>
        <w:t xml:space="preserve"> </w:t>
      </w:r>
      <w:r>
        <w:rPr>
          <w:rFonts w:ascii="Nirmala UI" w:hAnsi="Nirmala UI" w:eastAsia="Nirmala UI" w:cs="Nirmala UI"/>
        </w:rPr>
        <w:t>परमपवित्र</w:t>
      </w:r>
      <w:r>
        <w:rPr>
          <w:rFonts w:ascii="Times New Roman" w:hAnsi="Times New Roman" w:eastAsia="Times New Roman" w:cs="Times New Roman"/>
        </w:rPr>
        <w:t xml:space="preserve"> </w:t>
      </w:r>
      <w:r>
        <w:rPr>
          <w:rFonts w:ascii="Nirmala UI" w:hAnsi="Nirmala UI" w:eastAsia="Nirmala UI" w:cs="Nirmala UI"/>
        </w:rPr>
        <w:t>स्थानमा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न्यायकार्य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नामाङ्कित</w:t>
      </w:r>
      <w:r>
        <w:rPr>
          <w:rFonts w:ascii="Times New Roman" w:hAnsi="Times New Roman" w:eastAsia="Times New Roman" w:cs="Times New Roman"/>
        </w:rPr>
        <w:t xml:space="preserve"> </w:t>
      </w:r>
      <w:r>
        <w:rPr>
          <w:rFonts w:ascii="Nirmala UI" w:hAnsi="Nirmala UI" w:eastAsia="Nirmala UI" w:cs="Nirmala UI"/>
        </w:rPr>
        <w:t>प्रजाको</w:t>
      </w:r>
      <w:r>
        <w:rPr>
          <w:rFonts w:ascii="Times New Roman" w:hAnsi="Times New Roman" w:eastAsia="Times New Roman" w:cs="Times New Roman"/>
        </w:rPr>
        <w:t xml:space="preserve"> </w:t>
      </w:r>
      <w:r>
        <w:rPr>
          <w:rFonts w:ascii="Nirmala UI" w:hAnsi="Nirmala UI" w:eastAsia="Nirmala UI" w:cs="Nirmala UI"/>
        </w:rPr>
        <w:t>अन्त्यमा</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एलियाहका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दूतले</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जीवितहरूको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व्यवस्थाकाल</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महायाजकका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पारे।</w:t>
      </w:r>
    </w:p>
    <w:p>
      <w:pPr>
        <w:pStyle w:val="ArticleBody"/>
        <w:jc w:val="left"/>
      </w:pPr>
      <w:r>
        <w:rPr>
          <w:rFonts w:ascii="Times New Roman" w:hAnsi="Times New Roman" w:eastAsia="Times New Roman" w:cs="Times New Roman"/>
        </w:rPr>
        <w:t>ۋىليام مىللېر پەقەت خەۋەرچىنىلا ئەمەس، بەلكى ئۇ باغلانغان ھەرىكەتنىمۇ سىمۋوللاشتۇرىدۇ.</w:t>
      </w:r>
    </w:p>
    <w:p>
      <w:pPr>
        <w:pStyle w:val="ArticleScripture"/>
        <w:jc w:val="left"/>
      </w:pPr>
      <w:r>
        <w:rPr>
          <w:rFonts w:ascii="Times New Roman" w:hAnsi="Times New Roman" w:eastAsia="Times New Roman" w:cs="Times New Roman"/>
        </w:rPr>
        <w:t>Ցնցումով Ուիլյամ Միլլերը սկսեց ժողովրդին բացահայտել Աստծո արքայության խորհուրդները՝ իր ունկնդիրներին մարգարեությունների միջով առաջնորդելով մինչև Քրիստոսի երկրորդ գալուստը։ Ամեն մի ջանքով նա զորանում էր։ Ինչպես Հովհաննես Մկրտիչը ավետեց Հիսուսի առաջին գալուստը և պատրաստեց ճանապարհը Նրա գալստյան համար, այնպես էլ Ուիլյամ Միլլերը և նրանք, ովքեր միացան նրան, հռչակում էին Աստծո Որդու երկրորդ գալուստը…</w:t>
      </w:r>
    </w:p>
    <w:p>
      <w:pPr>
        <w:pStyle w:val="ArticleScripture"/>
        <w:jc w:val="left"/>
      </w:pPr>
      <w:r>
        <w:rPr>
          <w:rFonts w:ascii="Times New Roman" w:hAnsi="Times New Roman" w:eastAsia="Times New Roman" w:cs="Times New Roman"/>
        </w:rPr>
        <w:t>“</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উইলিয়াম</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প্রচারিত</w:t>
      </w:r>
      <w:r>
        <w:rPr>
          <w:rFonts w:ascii="Times New Roman" w:hAnsi="Times New Roman" w:eastAsia="Times New Roman" w:cs="Times New Roman"/>
        </w:rPr>
        <w:t xml:space="preserve"> </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ঈলিয়ার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শক্তিতে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দাসদের</w:t>
      </w:r>
      <w:r>
        <w:rPr>
          <w:rFonts w:ascii="Times New Roman" w:hAnsi="Times New Roman" w:eastAsia="Times New Roman" w:cs="Times New Roman"/>
        </w:rPr>
        <w:t xml:space="preserve"> </w:t>
      </w:r>
      <w:r>
        <w:rPr>
          <w:rFonts w:ascii="Nirmala UI" w:hAnsi="Nirmala UI" w:eastAsia="Nirmala UI" w:cs="Nirmala UI"/>
        </w:rPr>
        <w:t>উত্থিত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Early Writings, 229, 230, 233.</w:t>
      </w:r>
    </w:p>
    <w:p>
      <w:pPr>
        <w:pStyle w:val="ArticleBody"/>
        <w:jc w:val="left"/>
      </w:pPr>
      <w:r>
        <w:rPr>
          <w:rFonts w:ascii="Nirmala UI" w:hAnsi="Nirmala UI" w:eastAsia="Nirmala UI" w:cs="Nirmala UI"/>
        </w:rPr>
        <w:t>आद्यकालीन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भ्रष्टकारी</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जलती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खतना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धमकी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आद्यकालीन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w:t>
      </w:r>
      <w:r>
        <w:rPr>
          <w:rFonts w:ascii="Nirmala UI" w:hAnsi="Nirmala UI" w:eastAsia="Nirmala UI" w:cs="Nirmala UI"/>
        </w:rPr>
        <w:t>लक्षण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बुलाहट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आद्यकालीन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आद्यकालीन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फिलादेल्फिया</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ایدوینتیزمەکەس سەرەتا، وەلیام میلەر، کە لەلایەن ئەو کەمەی ناو ساردیسەوە نوێنەرایەتی دەکرا کە جلوبەرگەکانیان پیس نەکردبوو، فیلادێلفیایەک بوو؛ وەک هەمان شێوە، ئەو بزووتنەوەیەش کە پەیوەست بوو بە وی. لە کۆتایی ایدوینتیزمدا، ئەو بزووتنەوەیەی کە کاتی کۆتایی لە ساڵی 1989 ناسیکرد، هەمان ئەندازە لاودیکیا بوو وەک موسا. بزووتنەوەی میلەری، بزووتنەوەی Future for America نیشانە دەکات، بەو ئاگادارکردنەوە پێشبینییەی کە بزووتنەوەی یەکەم لەلایەن فیلادێلفیاییەکانەوە لە سەردەمی فیلادێلفیا تەواو بوو، و بزووتنەوەی دوا لەلایەن لاودیکیاییەکانەوە لە سەردەمی لاودیکیا تەواو دەبێت.</w:t>
      </w:r>
    </w:p>
    <w:p>
      <w:pPr>
        <w:pStyle w:val="ArticleBody"/>
        <w:jc w:val="left"/>
      </w:pPr>
      <w:r>
        <w:rPr>
          <w:rFonts w:ascii="Times New Roman" w:hAnsi="Times New Roman" w:eastAsia="Times New Roman" w:cs="Times New Roman"/>
        </w:rPr>
        <w:t>Mən 1989-cu ildən etibarən bu hərəkatın peyğəmbərlik tarixinin, Future for America tarixilə əlaqəli olan hər hansı digər şəxsdən daha çox şahidiyəm və şəhadət verirəm ki, mən şəxsən 1989-cu ildən başlayaraq bu tarixi təsdiqlənmiş Laodikeyalı Adventist olaraq keçmişəm. O yol boyunca mənim şəhadətimi təsdiq edəcək çoxlu canlar vardır. Mən həmçinin qətiyyətlə şəhadət verə bilərəm ki, Adventizmin sonundakı hərəkatla əlaqəli olanlar da təsdiqlənmiş Laodikeyalı Adventistlər idilər. Birinci adlandırılmış xalq Laodikeyalı ilə başlayır, Filadelfiyalıya çevrilir və Filadelfiyalı ilə başa çatır. İkinci adlandırılmış xalq Filadelfiyalı ilə başlayır və Filadelfiyalı olmağa çağırılan bir Laodikeyalı ilə başa çatır. Bu, Alfa və Omeqanın imzasıdır.</w:t>
      </w:r>
    </w:p>
    <w:p>
      <w:pPr>
        <w:pStyle w:val="ArticleBody"/>
        <w:jc w:val="left"/>
      </w:pP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ᎤᏫᏍᏛ</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ᎤᏂᎵᎪᎯᏍᏔᏁᎸᎯ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ᏧᏪᏘᏍᎨᎢ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ᏚᏭᎪᏔᏁᎢ</w:t>
      </w:r>
      <w:r>
        <w:rPr>
          <w:rFonts w:ascii="Times New Roman" w:hAnsi="Times New Roman" w:eastAsia="Times New Roman" w:cs="Times New Roman"/>
        </w:rPr>
        <w:t xml:space="preserve"> </w:t>
      </w:r>
      <w:r>
        <w:rPr>
          <w:rFonts w:ascii="Gadugi" w:hAnsi="Gadugi" w:eastAsia="Gadugi" w:cs="Gadugi"/>
        </w:rPr>
        <w:t>ᏕᎦᎧᎿᎭᏩᏛ</w:t>
      </w:r>
      <w:r>
        <w:rPr>
          <w:rFonts w:ascii="Times New Roman" w:hAnsi="Times New Roman" w:eastAsia="Times New Roman" w:cs="Times New Roman"/>
        </w:rPr>
        <w:t xml:space="preserve"> </w:t>
      </w:r>
      <w:r>
        <w:rPr>
          <w:rFonts w:ascii="Gadugi" w:hAnsi="Gadugi" w:eastAsia="Gadugi" w:cs="Gadugi"/>
        </w:rPr>
        <w:t>ᏗᏖᎸᎲ</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1989 </w:t>
      </w:r>
      <w:r>
        <w:rPr>
          <w:rFonts w:ascii="Gadugi" w:hAnsi="Gadugi" w:eastAsia="Gadugi" w:cs="Gadugi"/>
        </w:rPr>
        <w:t>ᎤᏕᏘᏴᏛ</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ᎤᏰᎸᎾᏍᏗ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ᎤᎿᎭᏛ</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ᎤᏂᎵᎪᎯᏍᏔᏁᎸᎯ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ᏕᏓᏘᏃᎮᎮᎢ</w:t>
      </w:r>
      <w:r>
        <w:rPr>
          <w:rFonts w:ascii="Times New Roman" w:hAnsi="Times New Roman" w:eastAsia="Times New Roman" w:cs="Times New Roman"/>
        </w:rPr>
        <w:t xml:space="preserve"> </w:t>
      </w:r>
      <w:r>
        <w:rPr>
          <w:rFonts w:ascii="Gadugi" w:hAnsi="Gadugi" w:eastAsia="Gadugi" w:cs="Gadugi"/>
        </w:rPr>
        <w:t>ᎤᏍᏚᎢᏍᏗᏱ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ᎤᏚᎵᏍᎨ</w:t>
      </w:r>
      <w:r>
        <w:rPr>
          <w:rFonts w:ascii="Times New Roman" w:hAnsi="Times New Roman" w:eastAsia="Times New Roman" w:cs="Times New Roman"/>
        </w:rPr>
        <w:t xml:space="preserve"> </w:t>
      </w:r>
      <w:r>
        <w:rPr>
          <w:rFonts w:ascii="Gadugi" w:hAnsi="Gadugi" w:eastAsia="Gadugi" w:cs="Gadugi"/>
        </w:rPr>
        <w:t>ᎤᏍᏚᎢᏍᏗᏱ</w:t>
      </w:r>
      <w:r>
        <w:rPr>
          <w:rFonts w:ascii="Times New Roman" w:hAnsi="Times New Roman" w:eastAsia="Times New Roman" w:cs="Times New Roman"/>
        </w:rPr>
        <w:t xml:space="preserve">. </w:t>
      </w:r>
      <w:r>
        <w:rPr>
          <w:rFonts w:ascii="Gadugi" w:hAnsi="Gadugi" w:eastAsia="Gadugi" w:cs="Gadugi"/>
        </w:rPr>
        <w:t>ᎤᏓᏙᎵᏣᏛ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ᎪᎯᏳᎯ</w:t>
      </w:r>
      <w:r>
        <w:rPr>
          <w:rFonts w:ascii="Times New Roman" w:hAnsi="Times New Roman" w:eastAsia="Times New Roman" w:cs="Times New Roman"/>
        </w:rPr>
        <w:t xml:space="preserve"> </w:t>
      </w:r>
      <w:r>
        <w:rPr>
          <w:rFonts w:ascii="Gadugi" w:hAnsi="Gadugi" w:eastAsia="Gadugi" w:cs="Gadugi"/>
        </w:rPr>
        <w:t>ᎾᏓᏠᎯᏍᏗᎾ</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ᎤᏛᏁᎢ</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ᎦᏅᎦᎸᏙᏗ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ᎤᏓᎴᏅᏙᏗᏍᎨ</w:t>
      </w:r>
      <w:r>
        <w:rPr>
          <w:rFonts w:ascii="Times New Roman" w:hAnsi="Times New Roman" w:eastAsia="Times New Roman" w:cs="Times New Roman"/>
        </w:rPr>
        <w:t xml:space="preserve"> </w:t>
      </w:r>
      <w:r>
        <w:rPr>
          <w:rFonts w:ascii="Gadugi" w:hAnsi="Gadugi" w:eastAsia="Gadugi" w:cs="Gadugi"/>
        </w:rPr>
        <w:t>ᎴᎣᏗᏏᎢᏂᏍᎩ</w:t>
      </w:r>
      <w:r>
        <w:rPr>
          <w:rFonts w:ascii="Times New Roman" w:hAnsi="Times New Roman" w:eastAsia="Times New Roman" w:cs="Times New Roman"/>
        </w:rPr>
        <w:t xml:space="preserve"> </w:t>
      </w:r>
      <w:r>
        <w:rPr>
          <w:rFonts w:ascii="Gadugi" w:hAnsi="Gadugi" w:eastAsia="Gadugi" w:cs="Gadugi"/>
        </w:rPr>
        <w:t>ᎠᏲᎱᎯᏍᏗᏱ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ᎣᏂᏃ</w:t>
      </w:r>
      <w:r>
        <w:rPr>
          <w:rFonts w:ascii="Times New Roman" w:hAnsi="Times New Roman" w:eastAsia="Times New Roman" w:cs="Times New Roman"/>
        </w:rPr>
        <w:t xml:space="preserve"> </w:t>
      </w:r>
      <w:r>
        <w:rPr>
          <w:rFonts w:ascii="Gadugi" w:hAnsi="Gadugi" w:eastAsia="Gadugi" w:cs="Gadugi"/>
        </w:rPr>
        <w:t>ᎢᎬᏱᏢ</w:t>
      </w:r>
      <w:r>
        <w:rPr>
          <w:rFonts w:ascii="Times New Roman" w:hAnsi="Times New Roman" w:eastAsia="Times New Roman" w:cs="Times New Roman"/>
        </w:rPr>
        <w:t xml:space="preserve"> </w:t>
      </w:r>
      <w:r>
        <w:rPr>
          <w:rFonts w:ascii="Gadugi" w:hAnsi="Gadugi" w:eastAsia="Gadugi" w:cs="Gadugi"/>
        </w:rPr>
        <w:t>ᎠᎴᏓᏅᏛᎢᏍᏗᏱ</w:t>
      </w:r>
      <w:r>
        <w:rPr>
          <w:rFonts w:ascii="Times New Roman" w:hAnsi="Times New Roman" w:eastAsia="Times New Roman" w:cs="Times New Roman"/>
        </w:rPr>
        <w:t xml:space="preserve"> </w:t>
      </w:r>
      <w:r>
        <w:rPr>
          <w:rFonts w:ascii="Gadugi" w:hAnsi="Gadugi" w:eastAsia="Gadugi" w:cs="Gadugi"/>
        </w:rPr>
        <w:t>ᏈᎳᏗᎵᏈᏂᏍᎩ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ᎤᎵᏍᏔᏅᎯ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ᎠᏲᎱᏒ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ᎠᎴᏅᏛ</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ᎤᏕᎶᏆᎥ</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ᎤᏂᏃᎮᏍᎩ</w:t>
      </w:r>
      <w:r>
        <w:rPr>
          <w:rFonts w:ascii="Times New Roman" w:hAnsi="Times New Roman" w:eastAsia="Times New Roman" w:cs="Times New Roman"/>
        </w:rPr>
        <w:t xml:space="preserve"> </w:t>
      </w:r>
      <w:r>
        <w:rPr>
          <w:rFonts w:ascii="Gadugi" w:hAnsi="Gadugi" w:eastAsia="Gadugi" w:cs="Gadugi"/>
        </w:rPr>
        <w:t>ᎤᏃᏪᎵ</w:t>
      </w:r>
      <w:r>
        <w:rPr>
          <w:rFonts w:ascii="Times New Roman" w:hAnsi="Times New Roman" w:eastAsia="Times New Roman" w:cs="Times New Roman"/>
        </w:rPr>
        <w:t xml:space="preserve"> </w:t>
      </w:r>
      <w:r>
        <w:rPr>
          <w:rFonts w:ascii="Gadugi" w:hAnsi="Gadugi" w:eastAsia="Gadugi" w:cs="Gadugi"/>
        </w:rPr>
        <w:t>ᏓᏂᏳᏂ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ᎦᎾᏄᎪᏫᏎᎸᎯ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ᎤᎾᏍᏗᎭ</w:t>
      </w:r>
      <w:r>
        <w:rPr>
          <w:rFonts w:ascii="Times New Roman" w:hAnsi="Times New Roman" w:eastAsia="Times New Roman" w:cs="Times New Roman"/>
        </w:rPr>
        <w:t xml:space="preserve"> </w:t>
      </w:r>
      <w:r>
        <w:rPr>
          <w:rFonts w:ascii="Gadugi" w:hAnsi="Gadugi" w:eastAsia="Gadugi" w:cs="Gadugi"/>
        </w:rPr>
        <w:t>ᎤᎾᏓᏤᎵᏛ</w:t>
      </w:r>
      <w:r>
        <w:rPr>
          <w:rFonts w:ascii="Times New Roman" w:hAnsi="Times New Roman" w:eastAsia="Times New Roman" w:cs="Times New Roman"/>
        </w:rPr>
        <w:t xml:space="preserve"> </w:t>
      </w:r>
      <w:r>
        <w:rPr>
          <w:rFonts w:ascii="Gadugi" w:hAnsi="Gadugi" w:eastAsia="Gadugi" w:cs="Gadugi"/>
        </w:rPr>
        <w:t>ᎠᏥᎸᎯ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ᎠᎴᏅᏛ</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ᎠᎴᏅᏛ</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ᎤᏁᏅᏒ</w:t>
      </w:r>
      <w:r>
        <w:rPr>
          <w:rFonts w:ascii="Times New Roman" w:hAnsi="Times New Roman" w:eastAsia="Times New Roman" w:cs="Times New Roman"/>
        </w:rPr>
        <w:t xml:space="preserve"> </w:t>
      </w:r>
      <w:r>
        <w:rPr>
          <w:rFonts w:ascii="Gadugi" w:hAnsi="Gadugi" w:eastAsia="Gadugi" w:cs="Gadugi"/>
        </w:rPr>
        <w:t>ᎤᏄᏔᏅ</w:t>
      </w:r>
      <w:r>
        <w:rPr>
          <w:rFonts w:ascii="Times New Roman" w:hAnsi="Times New Roman" w:eastAsia="Times New Roman" w:cs="Times New Roman"/>
        </w:rPr>
        <w:t xml:space="preserve"> </w:t>
      </w:r>
      <w:r>
        <w:rPr>
          <w:rFonts w:ascii="Gadugi" w:hAnsi="Gadugi" w:eastAsia="Gadugi" w:cs="Gadugi"/>
        </w:rPr>
        <w:t>ᏗᎦᎾᏥ</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ᎤᏔᎴᏒ</w:t>
      </w:r>
      <w:r>
        <w:rPr>
          <w:rFonts w:ascii="Times New Roman" w:hAnsi="Times New Roman" w:eastAsia="Times New Roman" w:cs="Times New Roman"/>
        </w:rPr>
        <w:t xml:space="preserve"> </w:t>
      </w:r>
      <w:r>
        <w:rPr>
          <w:rFonts w:ascii="Gadugi" w:hAnsi="Gadugi" w:eastAsia="Gadugi" w:cs="Gadugi"/>
        </w:rPr>
        <w:t>ᎠᏖᎵᏙ</w:t>
      </w:r>
      <w:r>
        <w:rPr>
          <w:rFonts w:ascii="Times New Roman" w:hAnsi="Times New Roman" w:eastAsia="Times New Roman" w:cs="Times New Roman"/>
        </w:rPr>
        <w:t xml:space="preserve"> </w:t>
      </w:r>
      <w:r>
        <w:rPr>
          <w:rFonts w:ascii="Gadugi" w:hAnsi="Gadugi" w:eastAsia="Gadugi" w:cs="Gadugi"/>
        </w:rPr>
        <w:t>ᎠᏥᏴᏫᏍᏔᏅᎯ</w:t>
      </w:r>
      <w:r>
        <w:rPr>
          <w:rFonts w:ascii="Times New Roman" w:hAnsi="Times New Roman" w:eastAsia="Times New Roman" w:cs="Times New Roman"/>
        </w:rPr>
        <w:t xml:space="preserve">, </w:t>
      </w:r>
      <w:r>
        <w:rPr>
          <w:rFonts w:ascii="Gadugi" w:hAnsi="Gadugi" w:eastAsia="Gadugi" w:cs="Gadugi"/>
        </w:rPr>
        <w:t>ᏓᏂᏳᏂ</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ᎤᎾᎣᎦ</w:t>
      </w:r>
      <w:r>
        <w:rPr>
          <w:rFonts w:ascii="Times New Roman" w:hAnsi="Times New Roman" w:eastAsia="Times New Roman" w:cs="Times New Roman"/>
        </w:rPr>
        <w:t xml:space="preserve"> </w:t>
      </w:r>
      <w:r>
        <w:rPr>
          <w:rFonts w:ascii="Gadugi" w:hAnsi="Gadugi" w:eastAsia="Gadugi" w:cs="Gadugi"/>
        </w:rPr>
        <w:t>ᏗᎦᏁᎸ</w:t>
      </w:r>
      <w:r>
        <w:rPr>
          <w:rFonts w:ascii="Times New Roman" w:hAnsi="Times New Roman" w:eastAsia="Times New Roman" w:cs="Times New Roman"/>
        </w:rPr>
        <w:t xml:space="preserve"> </w:t>
      </w:r>
      <w:r>
        <w:rPr>
          <w:rFonts w:ascii="Gadugi" w:hAnsi="Gadugi" w:eastAsia="Gadugi" w:cs="Gadugi"/>
        </w:rPr>
        <w:t>ᏫᎬᏩᏴᎸᎯ</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ᎠᏏᏴᏫᏒ</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ᎤᏂᎵᏍᏓᏴᏗᏍᎪ</w:t>
      </w:r>
      <w:r>
        <w:rPr>
          <w:rFonts w:ascii="Times New Roman" w:hAnsi="Times New Roman" w:eastAsia="Times New Roman" w:cs="Times New Roman"/>
        </w:rPr>
        <w:t xml:space="preserve"> </w:t>
      </w:r>
      <w:r>
        <w:rPr>
          <w:rFonts w:ascii="Gadugi" w:hAnsi="Gadugi" w:eastAsia="Gadugi" w:cs="Gadugi"/>
        </w:rPr>
        <w:t>ᎤᏣᘏᎯ</w:t>
      </w:r>
      <w:r>
        <w:rPr>
          <w:rFonts w:ascii="Times New Roman" w:hAnsi="Times New Roman" w:eastAsia="Times New Roman" w:cs="Times New Roman"/>
        </w:rPr>
        <w:t xml:space="preserve"> </w:t>
      </w:r>
      <w:r>
        <w:rPr>
          <w:rFonts w:ascii="Gadugi" w:hAnsi="Gadugi" w:eastAsia="Gadugi" w:cs="Gadugi"/>
        </w:rPr>
        <w:t>ᎤᏙᎯᏳᏒ</w:t>
      </w:r>
      <w:r>
        <w:rPr>
          <w:rFonts w:ascii="Times New Roman" w:hAnsi="Times New Roman" w:eastAsia="Times New Roman" w:cs="Times New Roman"/>
        </w:rPr>
        <w:t xml:space="preserve"> </w:t>
      </w:r>
      <w:r>
        <w:rPr>
          <w:rFonts w:ascii="Gadugi" w:hAnsi="Gadugi" w:eastAsia="Gadugi" w:cs="Gadugi"/>
        </w:rPr>
        <w:t>ᎠᏲᎱᏒ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ᎠᎴᏅᏛ</w:t>
      </w:r>
      <w:r>
        <w:rPr>
          <w:rFonts w:ascii="Times New Roman" w:hAnsi="Times New Roman" w:eastAsia="Times New Roman" w:cs="Times New Roman"/>
        </w:rPr>
        <w:t xml:space="preserve"> </w:t>
      </w:r>
      <w:r>
        <w:rPr>
          <w:rFonts w:ascii="Gadugi" w:hAnsi="Gadugi" w:eastAsia="Gadugi" w:cs="Gadugi"/>
        </w:rPr>
        <w:t>ᎠᏴᏛ</w:t>
      </w:r>
      <w:r>
        <w:rPr>
          <w:rFonts w:ascii="Times New Roman" w:hAnsi="Times New Roman" w:eastAsia="Times New Roman" w:cs="Times New Roman"/>
        </w:rPr>
        <w:t xml:space="preserve"> </w:t>
      </w:r>
      <w:r>
        <w:rPr>
          <w:rFonts w:ascii="Gadugi" w:hAnsi="Gadugi" w:eastAsia="Gadugi" w:cs="Gadugi"/>
        </w:rPr>
        <w:t>ᏓᎦᏘᏃᎮᎸᎯ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ᎦᎵᏍᏚᎢᏍᎬᎢ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Wakati harakati katika “siku za mwisho” za hukumu ya uchunguzi, (ambayo iliwakilishwa kwa mfano na harakati ya Millerite), zilipokaribia mwisho wa wakati, Mungu alikusudia kwamba kiongozi na harakati hiyo wauawe na baadaye wafufuliwe. Katika muktadha wa makanisa saba, Laodikia iliuawa tarehe 18 Julai, 2020 na ingefufuliwa kama Filadelfia kabla ya sheria ya Jumapili inayokaribia. Harakati iliyofufuliwa ingekuwa ya yale makanisa saba, lakini ingekuwa ya nane. Harakati hiyo ingekuwa ya nane, yaani, ya yale saba.</w:t>
      </w:r>
    </w:p>
    <w:p>
      <w:pPr>
        <w:pStyle w:val="ArticleBody"/>
        <w:jc w:val="left"/>
      </w:pPr>
      <w:r>
        <w:rPr>
          <w:rFonts w:ascii="Times New Roman" w:hAnsi="Times New Roman" w:eastAsia="Times New Roman" w:cs="Times New Roman"/>
        </w:rPr>
        <w:t>Umfihlo lo wesiprofeto uxhaswa encwadini yeSambulo ngamangqina amaninzi, nangona kude kube ngoku ubungaqatshelwanga. Kule xesha singena kulo ngoku, singena kuvavanyo lomfanekiso werhamncwa, elo uDade White asazisa ngalo ukuba luluvavanyo olufika phambi komthetho weCawa. Kusemthethweni weCawa apho itywina likaThixo libethelelwa kumaFiladelfiya aloo mbali. Kodwa bamele baluphumelele uvavanyo lomfanekiso werhamncwa olufika phambi kokuba kuvalwe ixesha lovavanyo.</w:t>
      </w:r>
    </w:p>
    <w:p>
      <w:pPr>
        <w:pStyle w:val="ArticleScripture"/>
        <w:jc w:val="left"/>
      </w:pPr>
      <w:r>
        <w:rPr>
          <w:rFonts w:ascii="Times New Roman" w:hAnsi="Times New Roman" w:eastAsia="Times New Roman" w:cs="Times New Roman"/>
        </w:rPr>
        <w:t>“Apun has shown me clearly that image bilong dat beast bai i kamap pinis bipo probation i pas; long wanem, em bai i stap olsem bikpela test bilong pipol bilong God, we long en bai ol i mekim disisen long en long ol bai kisim laip oltaim o nogat. Posisen bilong yu em i wanpela kain bikpela paul na planti samting i no wankain insait long en, olsem na liklik tasol bai ol i giaman long en.</w:t>
      </w:r>
    </w:p>
    <w:p>
      <w:pPr>
        <w:pStyle w:val="ArticleScripture"/>
        <w:jc w:val="left"/>
      </w:pPr>
      <w:r>
        <w:rPr>
          <w:rFonts w:ascii="Times New Roman" w:hAnsi="Times New Roman" w:eastAsia="Times New Roman" w:cs="Times New Roman"/>
        </w:rPr>
        <w:t>“Ay Byin-nyet 13 hma di a-kyaung-yin ko htan-shin-pyan-pyan pyan-lin-swa tin-pya htar de; [Revelation 13:11–17, quoted].”</w:t>
      </w:r>
    </w:p>
    <w:p>
      <w:pPr>
        <w:pStyle w:val="ArticleScripture"/>
        <w:jc w:val="left"/>
      </w:pPr>
      <w:r>
        <w:rPr>
          <w:rFonts w:ascii="Times New Roman" w:hAnsi="Times New Roman" w:eastAsia="Times New Roman" w:cs="Times New Roman"/>
        </w:rPr>
        <w:t>“Kay ti pannubok a masapul a maadda kadagiti tattao ti Dios sakbay a maikabil kadakuada ti sello. Amin dagidiay nangipakita iti kinamatalekda iti Dios babaen ti panagtungpalda iti Lintegna, ken panangikeddengda a saan nga awaten ti saan a pudno a sabbath, maibilangdanto iti sirok ti bandera ti Apo a Dios a Jehova, ket awatenda ti sello ti sibibiag a Dios. Dagidiay a mangisuko iti kinapudno a naggapu iti langit ken umawat iti Sunday sabbath, awatendanto ti marka ti animal” Manuscript Releases, volume 15, 15.</w:t>
      </w:r>
    </w:p>
    <w:p>
      <w:pPr>
        <w:pStyle w:val="ArticleBody"/>
        <w:jc w:val="left"/>
      </w:pPr>
      <w:r>
        <w:rPr>
          <w:rFonts w:ascii="Times New Roman" w:hAnsi="Times New Roman" w:eastAsia="Times New Roman" w:cs="Times New Roman"/>
        </w:rPr>
        <w:t>Тази настояща история, двата рога, по-рано определяни като републиканизъм и протестантизъм, вече са се променили в демокрация и отстъпнически протестантизъм. Когато тези два рога се съединят напълно, тогава те образуват една власт, един рог. В същия този период Бог ще посочи и издигне истинския рог на протестантизма, за да предупреждава против образа на звяра. Тези два рога вървят успоредно един на друг, докато Съединените щати не престанат да бъдат шестото царство в библейското пророчество.</w:t>
      </w:r>
    </w:p>
    <w:p>
      <w:pPr>
        <w:pStyle w:val="ArticleBody"/>
        <w:jc w:val="left"/>
      </w:pPr>
      <w:r>
        <w:rPr>
          <w:rFonts w:ascii="Nirmala UI" w:hAnsi="Nirmala UI" w:eastAsia="Nirmala UI" w:cs="Nirmala UI"/>
        </w:rPr>
        <w:t>ꯔꯦꯚꯦꯂꯦꯁꯟ</w:t>
      </w:r>
      <w:r>
        <w:rPr>
          <w:rFonts w:ascii="Times New Roman" w:hAnsi="Times New Roman" w:eastAsia="Times New Roman" w:cs="Times New Roman"/>
        </w:rPr>
        <w:t xml:space="preserve"> </w:t>
      </w:r>
      <w:r>
        <w:rPr>
          <w:rFonts w:ascii="Nirmala UI" w:hAnsi="Nirmala UI" w:eastAsia="Nirmala UI" w:cs="Nirmala UI"/>
        </w:rPr>
        <w:t>ꯁꯦꯚꯦꯟꯇꯤꯟꯗꯨ</w:t>
      </w:r>
      <w:r>
        <w:rPr>
          <w:rFonts w:ascii="Times New Roman" w:hAnsi="Times New Roman" w:eastAsia="Times New Roman" w:cs="Times New Roman"/>
        </w:rPr>
        <w:t xml:space="preserve"> </w:t>
      </w:r>
      <w:r>
        <w:rPr>
          <w:rFonts w:ascii="Nirmala UI" w:hAnsi="Nirmala UI" w:eastAsia="Nirmala UI" w:cs="Nirmala UI"/>
        </w:rPr>
        <w:t>ꯗ꯭ꯔꯥꯒꯟ</w:t>
      </w:r>
      <w:r>
        <w:rPr>
          <w:rFonts w:ascii="Times New Roman" w:hAnsi="Times New Roman" w:eastAsia="Times New Roman" w:cs="Times New Roman"/>
        </w:rPr>
        <w:t xml:space="preserve"> (</w:t>
      </w:r>
      <w:r>
        <w:rPr>
          <w:rFonts w:ascii="Nirmala UI" w:hAnsi="Nirmala UI" w:eastAsia="Nirmala UI" w:cs="Nirmala UI"/>
        </w:rPr>
        <w:t>ꯏꯎꯅꯥꯏꯇꯦꯗ</w:t>
      </w:r>
      <w:r>
        <w:rPr>
          <w:rFonts w:ascii="Times New Roman" w:hAnsi="Times New Roman" w:eastAsia="Times New Roman" w:cs="Times New Roman"/>
        </w:rPr>
        <w:t xml:space="preserve"> </w:t>
      </w:r>
      <w:r>
        <w:rPr>
          <w:rFonts w:ascii="Nirmala UI" w:hAnsi="Nirmala UI" w:eastAsia="Nirmala UI" w:cs="Nirmala UI"/>
        </w:rPr>
        <w:t>ꯅꯦꯁꯟꯁ</w:t>
      </w:r>
      <w:r>
        <w:rPr>
          <w:rFonts w:ascii="Times New Roman" w:hAnsi="Times New Roman" w:eastAsia="Times New Roman" w:cs="Times New Roman"/>
        </w:rPr>
        <w:t xml:space="preserve">), </w:t>
      </w:r>
      <w:r>
        <w:rPr>
          <w:rFonts w:ascii="Nirmala UI" w:hAnsi="Nirmala UI" w:eastAsia="Nirmala UI" w:cs="Nirmala UI"/>
        </w:rPr>
        <w:t>ꯕꯤꯁ꯭ꯇ</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ꯐꯣꯜꯁ</w:t>
      </w:r>
      <w:r>
        <w:rPr>
          <w:rFonts w:ascii="Times New Roman" w:hAnsi="Times New Roman" w:eastAsia="Times New Roman" w:cs="Times New Roman"/>
        </w:rPr>
        <w:t xml:space="preserve"> </w:t>
      </w:r>
      <w:r>
        <w:rPr>
          <w:rFonts w:ascii="Nirmala UI" w:hAnsi="Nirmala UI" w:eastAsia="Nirmala UI" w:cs="Nirmala UI"/>
        </w:rPr>
        <w:t>ꯄ꯭ꯔꯣꯐꯦꯠ</w:t>
      </w:r>
      <w:r>
        <w:rPr>
          <w:rFonts w:ascii="Times New Roman" w:hAnsi="Times New Roman" w:eastAsia="Times New Roman" w:cs="Times New Roman"/>
        </w:rPr>
        <w:t xml:space="preserve"> (</w:t>
      </w:r>
      <w:r>
        <w:rPr>
          <w:rFonts w:ascii="Nirmala UI" w:hAnsi="Nirmala UI" w:eastAsia="Nirmala UI" w:cs="Nirmala UI"/>
        </w:rPr>
        <w:t>ꯏꯎꯅꯥꯏꯇꯦꯗ</w:t>
      </w:r>
      <w:r>
        <w:rPr>
          <w:rFonts w:ascii="Times New Roman" w:hAnsi="Times New Roman" w:eastAsia="Times New Roman" w:cs="Times New Roman"/>
        </w:rPr>
        <w:t xml:space="preserve"> </w:t>
      </w:r>
      <w:r>
        <w:rPr>
          <w:rFonts w:ascii="Nirmala UI" w:hAnsi="Nirmala UI" w:eastAsia="Nirmala UI" w:cs="Nirmala UI"/>
        </w:rPr>
        <w:t>ꯁ꯭ꯇꯦꯠꯁ</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ꯑꯄꯨꯟꯕꯁꯤ</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ꯃꯌꯨꯝꯗꯒꯤ</w:t>
      </w:r>
      <w:r>
        <w:rPr>
          <w:rFonts w:ascii="Times New Roman" w:hAnsi="Times New Roman" w:eastAsia="Times New Roman" w:cs="Times New Roman"/>
        </w:rPr>
        <w:t xml:space="preserve"> </w:t>
      </w:r>
      <w:r>
        <w:rPr>
          <w:rFonts w:ascii="Nirmala UI" w:hAnsi="Nirmala UI" w:eastAsia="Nirmala UI" w:cs="Nirmala UI"/>
        </w:rPr>
        <w:t>ꯑꯑꯣꯏꯕ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ꯃꯆꯦꯠ</w:t>
      </w:r>
      <w:r>
        <w:rPr>
          <w:rFonts w:ascii="Times New Roman" w:hAnsi="Times New Roman" w:eastAsia="Times New Roman" w:cs="Times New Roman"/>
        </w:rPr>
        <w:t xml:space="preserve"> </w:t>
      </w:r>
      <w:r>
        <w:rPr>
          <w:rFonts w:ascii="Nirmala UI" w:hAnsi="Nirmala UI" w:eastAsia="Nirmala UI" w:cs="Nirmala UI"/>
        </w:rPr>
        <w:t>ꯑꯍꯨꯝꯁꯨꯕꯅꯤ꯫</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ꯂꯩꯈꯤꯕ</w:t>
      </w:r>
      <w:r>
        <w:rPr>
          <w:rFonts w:ascii="Times New Roman" w:hAnsi="Times New Roman" w:eastAsia="Times New Roman" w:cs="Times New Roman"/>
        </w:rPr>
        <w:t xml:space="preserve"> </w:t>
      </w:r>
      <w:r>
        <w:rPr>
          <w:rFonts w:ascii="Nirmala UI" w:hAnsi="Nirmala UI" w:eastAsia="Nirmala UI" w:cs="Nirmala UI"/>
        </w:rPr>
        <w:t>ꯂꯩꯄꯥꯛꯁꯤꯡꯅꯤ</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ꯕꯦꯕꯤꯂꯣꯟꯗꯒꯤ</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w:t>
      </w:r>
      <w:r>
        <w:rPr>
          <w:rFonts w:ascii="Nirmala UI" w:hAnsi="Nirmala UI" w:eastAsia="Nirmala UI" w:cs="Nirmala UI"/>
        </w:rPr>
        <w:t>ꯄꯔꯁꯤꯌꯥ</w:t>
      </w:r>
      <w:r>
        <w:rPr>
          <w:rFonts w:ascii="Times New Roman" w:hAnsi="Times New Roman" w:eastAsia="Times New Roman" w:cs="Times New Roman"/>
        </w:rPr>
        <w:t xml:space="preserve">, </w:t>
      </w:r>
      <w:r>
        <w:rPr>
          <w:rFonts w:ascii="Nirmala UI" w:hAnsi="Nirmala UI" w:eastAsia="Nirmala UI" w:cs="Nirmala UI"/>
        </w:rPr>
        <w:t>ꯒ꯭ꯔꯤꯁ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ꯄꯦꯒꯥꯟ</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ꯂꯩꯄꯥꯛ</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ꯄꯦꯄꯥꯜ</w:t>
      </w:r>
      <w:r>
        <w:rPr>
          <w:rFonts w:ascii="Times New Roman" w:hAnsi="Times New Roman" w:eastAsia="Times New Roman" w:cs="Times New Roman"/>
        </w:rPr>
        <w:t xml:space="preserve"> </w:t>
      </w:r>
      <w:r>
        <w:rPr>
          <w:rFonts w:ascii="Nirmala UI" w:hAnsi="Nirmala UI" w:eastAsia="Nirmala UI" w:cs="Nirmala UI"/>
        </w:rPr>
        <w:t>ꯔꯣꯝꯅꯤ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1798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ꯃꯇꯃ</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ꯂꯩꯄꯥꯛ</w:t>
      </w:r>
      <w:r>
        <w:rPr>
          <w:rFonts w:ascii="Times New Roman" w:hAnsi="Times New Roman" w:eastAsia="Times New Roman" w:cs="Times New Roman"/>
        </w:rPr>
        <w:t xml:space="preserve">, </w:t>
      </w:r>
      <w:r>
        <w:rPr>
          <w:rFonts w:ascii="Nirmala UI" w:hAnsi="Nirmala UI" w:eastAsia="Nirmala UI" w:cs="Nirmala UI"/>
        </w:rPr>
        <w:t>ꯏꯎꯅꯥꯏꯇꯦꯗ</w:t>
      </w:r>
      <w:r>
        <w:rPr>
          <w:rFonts w:ascii="Times New Roman" w:hAnsi="Times New Roman" w:eastAsia="Times New Roman" w:cs="Times New Roman"/>
        </w:rPr>
        <w:t xml:space="preserve"> </w:t>
      </w:r>
      <w:r>
        <w:rPr>
          <w:rFonts w:ascii="Nirmala UI" w:hAnsi="Nirmala UI" w:eastAsia="Nirmala UI" w:cs="Nirmala UI"/>
        </w:rPr>
        <w:t>ꯁ꯭ꯇꯦꯠꯁꯅ</w:t>
      </w:r>
      <w:r>
        <w:rPr>
          <w:rFonts w:ascii="Times New Roman" w:hAnsi="Times New Roman" w:eastAsia="Times New Roman" w:cs="Times New Roman"/>
        </w:rPr>
        <w:t xml:space="preserve"> </w:t>
      </w:r>
      <w:r>
        <w:rPr>
          <w:rFonts w:ascii="Nirmala UI" w:hAnsi="Nirmala UI" w:eastAsia="Nirmala UI" w:cs="Nirmala UI"/>
        </w:rPr>
        <w:t>ꯊ꯭ꯔꯣꯟ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ꯀꯥꯎꯊꯣꯔꯛꯈꯤ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ꯂꯣꯗꯥ</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ꯂꯩꯔꯤ꯫</w:t>
      </w:r>
    </w:p>
    <w:p>
      <w:pPr>
        <w:pStyle w:val="ArticleBody"/>
        <w:jc w:val="left"/>
      </w:pP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राष्ट्रसंघ</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विवश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राष्ट्रसंघ</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त्रिगुणी</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p>
    <w:p>
      <w:pPr>
        <w:pStyle w:val="ArticleScripture"/>
        <w:jc w:val="left"/>
      </w:pPr>
      <w:r>
        <w:rPr>
          <w:rFonts w:ascii="Times New Roman" w:hAnsi="Times New Roman" w:eastAsia="Times New Roman" w:cs="Times New Roman"/>
        </w:rPr>
        <w:t>And deceiveth them that dwell on the earth by the means of those miracles which he had power to do in the sight of the beast; saying to them that dwell on the earth, that they should make an image to the beast, which had the wound by a sword, and did live. And he had power to give life unto the image of the beast, that the image of the beast should both speak, and cause that as many as would not worship the image of the beast should be killed. Revelation 13:13, 14.</w:t>
      </w:r>
    </w:p>
    <w:p>
      <w:pPr>
        <w:pStyle w:val="ArticleBody"/>
        <w:jc w:val="left"/>
      </w:pPr>
      <w:r>
        <w:rPr>
          <w:rFonts w:ascii="Times New Roman" w:hAnsi="Times New Roman" w:eastAsia="Times New Roman" w:cs="Times New Roman"/>
        </w:rPr>
        <w:t>La única definición de la “imagen de la bestia” en la Inspiración es que representa la combinación de la iglesia (el poder papal) y el Estado (las Naciones Unidas, con los Estados Unidos controlando a los otros nueve reyes). Jezabel es el poder papal; Acab es los Estados Unidos, quien es rey de las diez tribus del norte.</w:t>
      </w:r>
    </w:p>
    <w:p>
      <w:pPr>
        <w:pStyle w:val="ArticleBody"/>
        <w:jc w:val="left"/>
      </w:pPr>
      <w:r>
        <w:rPr>
          <w:rFonts w:ascii="Times New Roman" w:hAnsi="Times New Roman" w:eastAsia="Times New Roman" w:cs="Times New Roman"/>
        </w:rPr>
        <w:t>عندما تسقط الولايات المتحدة عند قانون الأحد، تُذكَر صورُ (البابوية)، التي كانت منسيّة منذ سنة 1798، وتبدأ أغانيها الإغرائية. وبسبب الانهيار المالي المُصوَّر بصفته «خرابًا قوميًّا» في كتابات إلن وايت، تُضطَرّ الولايات المتحدة إلى جمع العالم بأسره لمعالجة تلك القوة الكتابية التي تجمع يد كل إنسان عليه. وتلك القوة هي الإسلام، كما يمثّله إسماعيل، أبي الإسلام.</w:t>
      </w:r>
    </w:p>
    <w:p>
      <w:pPr>
        <w:pStyle w:val="ArticleScripture"/>
        <w:jc w:val="left"/>
      </w:pPr>
      <w:r>
        <w:rPr>
          <w:rFonts w:ascii="Times New Roman" w:hAnsi="Times New Roman" w:eastAsia="Times New Roman" w:cs="Times New Roman"/>
        </w:rPr>
        <w:t>ملاەکەی یەزدان پێی وت: ئاگاداربە، تۆ دووگیانی، و کوڕێکت دەبێت، و ناوی دەناسی ئیسماعیل؛ چونکە یەزدان گوێی لە چەوسانەوەت بووە. ئەویش پیاوێکی کێویی دەبێت؛ دەستی ئەو دژ بە هەموو کەسێک دەبێت، و دەستی هەموو کەسێکیش دژ بە ئەو دەبێت؛ و لە بەردەم هەموو براکانی خۆی نیشتەجێ دەبێت. پیدایش 16:11، 12.</w:t>
      </w:r>
    </w:p>
    <w:p>
      <w:pPr>
        <w:pStyle w:val="ArticleBody"/>
        <w:jc w:val="left"/>
      </w:pPr>
      <w:r>
        <w:rPr>
          <w:rFonts w:ascii="Times New Roman" w:hAnsi="Times New Roman" w:eastAsia="Times New Roman" w:cs="Times New Roman"/>
        </w:rPr>
        <w:t>یونائیٹڈ اسٹیٹس دیگر نو بادشاہوں کے ساتھ اتحاد قائم کرتا ہے اور قیادت کی جگہ اختیار کرتا ہے۔ یہ صرف تھوڑے ہی عرصے کے لیے ایسا کرتا ہے، اور پھر اصرار کرے گا کہ پوپی اقتدار سب کا سربراہ بن جائے، جس طرح ایزبل نے احاب کو اپنے قابو میں رکھا تھا۔</w:t>
      </w:r>
    </w:p>
    <w:p>
      <w:pPr>
        <w:pStyle w:val="ArticleBody"/>
        <w:jc w:val="left"/>
      </w:pPr>
      <w:r>
        <w:rPr>
          <w:rFonts w:ascii="Times New Roman" w:hAnsi="Times New Roman" w:eastAsia="Times New Roman" w:cs="Times New Roman"/>
        </w:rPr>
        <w:t>Ase, li-tinlo thumile pamodzi ta chinjoka, chilombo, ndi mneneri wonyenga zipita limodzi ku Armagedo. Nambala eyiti imaimira kuuka, ndipo ufumu umene uneneri ukuwuzindikiritsa kuti unalandira chilonda chopha unali ufumu wachisanu, mphamvu ya upapa. Pamene upapa uuka kachiwiri, amakhala ufumu wachisanu ndi chitatu, ndipo amapatsidwa ulamuliro pa mgwirizano wa magulu atatuwo; ndipo ufumu wachisanu ndi chitatu umenewo ndi mutu umodzi wa maufumu asanu ndi awiri umene watsimikiziridwa kuti unalandira chilonda chopha, koma kudzoza kumazindikiritsanso kuchiritsidwa kwa chilonda chopha chimenecho.</w:t>
      </w:r>
    </w:p>
    <w:p>
      <w:pPr>
        <w:pStyle w:val="ArticleScripture"/>
        <w:jc w:val="left"/>
      </w:pPr>
      <w:r>
        <w:rPr>
          <w:rFonts w:ascii="Times New Roman" w:hAnsi="Times New Roman" w:eastAsia="Times New Roman" w:cs="Times New Roman"/>
        </w:rPr>
        <w:t>“Bɛrɛ ni a sɔn sí àjálù ìkẹyìn, ó ṣe pàtàkì gidigidi kí ìfaramọ́ àti ìṣọ̀kan wà láàárín àwọn irinṣẹ́ Olúwa. Ayé kún fún ìjì, ogun, àti ìyapa. Ṣùgbọ́n lábẹ́ orí kan—agbára pòòpù—àwọn ènìyàn yóò ṣọ̀kan láti tako Ọlọ́run nínú ẹni àwọn ẹlẹ́rìí Rẹ̀. Ìṣọ̀kan yìí ni apẹ̀yìndà ńlá náà fi di mímú. Bí ó ti ń wá ọ̀nà láti so àwọn aṣojú rẹ̀ pọ̀ ní ija sí òtítọ́, bẹ́ẹ̀ ni yóò ṣiṣẹ́ láti pín àti láti tú àwọn alátìlẹ́yìn rẹ̀ ká. Ìlara, èrò búburú sí ẹlòmíràn, ọ̀rọ̀ búburú síni, òun ló ń ru sókè láti mú àìbáṣepọ̀ àti ìyapa wá.” Testimonies, volume 7, 182.</w:t>
      </w:r>
    </w:p>
    <w:p>
      <w:pPr>
        <w:pStyle w:val="ArticleBody"/>
        <w:jc w:val="left"/>
      </w:pPr>
      <w:r>
        <w:rPr>
          <w:rFonts w:ascii="Times New Roman" w:hAnsi="Times New Roman" w:eastAsia="Times New Roman" w:cs="Times New Roman"/>
        </w:rPr>
        <w:t>Beşinci padîşahlık, altıncı padîşahlık ve yedinci padîşahlık o noktada kendi münferid padîşahlıklarını külliyen yitirmiş bulunduğundan, onlara ait padîşahlıkların her biri, ulûhiyyetin üçlü terkibini taklit eden, üç kısımdan mürekkep tek bir padîşahlık hâlinde hep birlikte diriltilir.</w:t>
      </w:r>
    </w:p>
    <w:p>
      <w:pPr>
        <w:pStyle w:val="ArticleBody"/>
        <w:jc w:val="left"/>
      </w:pPr>
      <w:r>
        <w:rPr>
          <w:rFonts w:ascii="Times New Roman" w:hAnsi="Times New Roman" w:eastAsia="Times New Roman" w:cs="Times New Roman"/>
        </w:rPr>
        <w:t>ملكوتِ شَشُم ڪه با دو شاخِ برّه‌مانند آغاز می‌شود و به یک شاخ که چون اژدها سخن می‌گوید پایان می‌یابد، ویژگیِ نبویِ قدرتِ پاپی را داراست، زیرا به تصویرِ وحش بدل می‌شود. این همان وحش، یعنی قدرتِ پاپی، است که در درجهٔ نخست به‌عنوان هشتمین ملکوتِ برخاسته از میان آن هفت، بازنمایی شده است. اما هرچند این قدرتِ پاپی است که به‌طور مستقیم‌تر معمای نبویِ «هشتم بودن و از آن هفت بودن» را تحقق می‌بخشد، ایالات متحده تصویری از پاپیّت پدید می‌آورد و ازاین‌رو از لحاظ نبوی همان ویژگی‌های قدرتِ پاپی را تولید می‌کند.</w:t>
      </w:r>
    </w:p>
    <w:p>
      <w:pPr>
        <w:pStyle w:val="ArticleBody"/>
        <w:jc w:val="left"/>
      </w:pPr>
      <w:r>
        <w:rPr>
          <w:rFonts w:ascii="Times New Roman" w:hAnsi="Times New Roman" w:eastAsia="Times New Roman" w:cs="Times New Roman"/>
        </w:rPr>
        <w:t>آمریکہ ہائے متحدہ کا آغاز 1798 میں ہوا، جب یسعیاہ تیئس کے مطابق صور، یعنی پاپائی اقتدار، چھٹی بادشاہی کے اختتام تک فراموش کیا جانا تھا۔ 1798 میلرائیٹوں کے نزدیک، ایڈونٹ ازم کے آغاز پر، وقتِ آخر تھا۔ 1844 کے موسمِ بہار تک، میلرائیٹ ایڈونٹ ازم نے پروٹسٹنٹ ازم کی چادر قبول کر لی تھی، جو ریپبلکن ازم کے اُس سینگ کے متوازی چلتی ہے جو امریکہ ہائے متحدہ کی حکومت کی نمائندگی کرتا ہے۔ دونوں سینگ ایک ہی حیوان پر ہیں، اس لیے وہ تاریخ میں ایک ساتھ آگے بڑھتے ہیں۔ ایڈونٹ ازم کا آغاز اور اختتام ریپبلکن سینگ کے متوازی چلتا ہے۔ 1798 کی تاریخ سے لے کر اُس وقت تک جب پروٹسٹنٹوں نے پہلے فرشتے کے پیغام کو رد کر دیا، وہ دور تھا جس میں خدا نے اُس پروٹسٹنٹ سینگ کو قائم کیا۔ اُس نے یہ کام ایک آزمائشی عمل کے ذریعے کیا، جیسے اُس نے ریپبلکن سینگ کے ساتھ کیا تھا۔ ان متوازی سینگوں کے بارے میں بہت کچھ کہا جا سکتا ہے، لیکن ابھی نہیں۔</w:t>
      </w:r>
    </w:p>
    <w:p>
      <w:pPr>
        <w:pStyle w:val="ArticleBody"/>
        <w:jc w:val="left"/>
      </w:pPr>
      <w:r>
        <w:rPr>
          <w:rFonts w:ascii="Times New Roman" w:hAnsi="Times New Roman" w:eastAsia="Times New Roman" w:cs="Times New Roman"/>
        </w:rPr>
        <w:t>جمهوری‌خواه شاخ با پروتستانتیزم مرتد زنا می‌کند، نه با شاخِ راستینِ پروتستان؛ زیرا شاخِ راستین عروسِ بره است و او باکره می‌باشد. از زمانِ آخر در سال ۱۹۸۹ تا کنون، هفت رئیس‌جمهور بوده‌اند. ششمینِ آن رئیس‌جمهوران، در همان سالی زخمِ مهلکی دریافت کرد که جنبشِ واقع در پایانِ ادونتیسم نیز زخمِ مهلکی دریافت نمود. هشتمین رئیس‌جمهور از زمانِ آخر در سال ۱۹۸۹، همان کسی خواهد بود که زخمِ مهلکی دریافت کرده و آن زخم شفا یافته است. او باید رئیس‌جمهوری باشد که از آن هفت است. در همان زمان، در سال ۲۰۲۰، هنگامی که ششمین رئیس‌جمهور زخمِ مهلکِ خود را دریافت کرد، آن شاخی نیز که اکنون پرچمِ پروتستان را بر دوش می‌کشد، کشته شد. همان‌گونه که دربارهٔ وحشِ کاتولیسیزم است، و همان‌گونه که دربارهٔ صورتِ وحشِ پروتستانتیزمِ مرتد است، دربارهٔ شاخِ حقیقیِ پروتستان نیز چنین است. شاخِ پروتستان به‌صورت کلیسای ششم به تصویر کشیده شده است، که هشتم می‌شود، اما از آن هفت است.</w:t>
      </w:r>
    </w:p>
    <w:p>
      <w:pPr>
        <w:pStyle w:val="ArticleBody"/>
        <w:jc w:val="left"/>
      </w:pPr>
      <w:r>
        <w:rPr>
          <w:rFonts w:ascii="Times New Roman" w:hAnsi="Times New Roman" w:eastAsia="Times New Roman" w:cs="Times New Roman"/>
        </w:rPr>
        <w:t>As u noticion estos reclamos, recorda que o mensaje que ye desellau xusto antes de que se peche o tempu de gracia ha ser con toa certeza presentau dientro del contestu de que o prencipio ilustra o fin. Ixe mensaje ha ser presentau cola metodoloxía de o “historicismo”, que emplega a historia bíblica alineada cola historia mundial ta identificar o fin d'o mundo. Ixe mensaje brota d'a tierra.</w:t>
      </w:r>
    </w:p>
    <w:p>
      <w:pPr>
        <w:pStyle w:val="ArticleScripture"/>
        <w:jc w:val="left"/>
      </w:pPr>
      <w:r>
        <w:rPr>
          <w:rFonts w:ascii="Times New Roman" w:hAnsi="Times New Roman" w:eastAsia="Times New Roman" w:cs="Times New Roman"/>
        </w:rPr>
        <w:t>Шындық жерден көктеп шығады; ал әділдік көктен төмен қарайды. Иә, Жаратқан Ие игілікті береді; сонда жеріміз өз өнімін береді. Әділдік Оның алдында жүреді; және бізді Оның іздерінің жолына салады. Забур 85:11–13.</w:t>
      </w:r>
    </w:p>
    <w:p>
      <w:pPr>
        <w:pStyle w:val="ArticleBody"/>
        <w:jc w:val="left"/>
      </w:pP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ଅଂଶରେ</w:t>
      </w:r>
      <w:r>
        <w:rPr>
          <w:rFonts w:ascii="Times New Roman" w:hAnsi="Times New Roman" w:eastAsia="Times New Roman" w:cs="Times New Roman"/>
        </w:rPr>
        <w:t xml:space="preserve"> “earth”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ମାତ୍ର</w:t>
      </w:r>
      <w:r>
        <w:rPr>
          <w:rFonts w:ascii="Times New Roman" w:hAnsi="Times New Roman" w:eastAsia="Times New Roman" w:cs="Times New Roman"/>
        </w:rPr>
        <w:t xml:space="preserve"> “land”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କରାଯାଇଛି</w:t>
      </w:r>
      <w:r>
        <w:rPr>
          <w:rFonts w:ascii="Times New Roman" w:hAnsi="Times New Roman" w:eastAsia="Times New Roman" w:cs="Times New Roman"/>
        </w:rPr>
        <w:t xml:space="preserve"> </w:t>
      </w:r>
      <w:r>
        <w:rPr>
          <w:rFonts w:ascii="Nirmala UI" w:hAnsi="Nirmala UI" w:eastAsia="Nirmala UI" w:cs="Nirmala UI"/>
        </w:rPr>
        <w:t>ଏମିତି</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ସ୍ତୋତ୍ରଗ୍ରନ୍ଥର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ଅଂଶ</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“land”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w:t>
      </w:r>
      <w:r>
        <w:rPr>
          <w:rFonts w:ascii="Nirmala UI" w:hAnsi="Nirmala UI" w:eastAsia="Nirmala UI" w:cs="Nirmala UI"/>
        </w:rPr>
        <w:t>ତେରୋ</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“earth”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ଲକ୍ଷ୍ୟ</w:t>
      </w:r>
      <w:r>
        <w:rPr>
          <w:rFonts w:ascii="Times New Roman" w:hAnsi="Times New Roman" w:eastAsia="Times New Roman" w:cs="Times New Roman"/>
        </w:rPr>
        <w:t xml:space="preserve"> </w:t>
      </w:r>
      <w:r>
        <w:rPr>
          <w:rFonts w:ascii="Nirmala UI" w:hAnsi="Nirmala UI" w:eastAsia="Nirmala UI" w:cs="Nirmala UI"/>
        </w:rPr>
        <w:t>କରାଏ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“truth” </w:t>
      </w:r>
      <w:r>
        <w:rPr>
          <w:rFonts w:ascii="Nirmala UI" w:hAnsi="Nirmala UI" w:eastAsia="Nirmala UI" w:cs="Nirmala UI"/>
        </w:rPr>
        <w:t>ପୃଥିବୀରୁ</w:t>
      </w:r>
      <w:r>
        <w:rPr>
          <w:rFonts w:ascii="Times New Roman" w:hAnsi="Times New Roman" w:eastAsia="Times New Roman" w:cs="Times New Roman"/>
        </w:rPr>
        <w:t xml:space="preserve"> “springs” </w:t>
      </w:r>
      <w:r>
        <w:rPr>
          <w:rFonts w:ascii="Nirmala UI" w:hAnsi="Nirmala UI" w:eastAsia="Nirmala UI" w:cs="Nirmala UI"/>
        </w:rPr>
        <w:t>ହୋଇ</w:t>
      </w:r>
      <w:r>
        <w:rPr>
          <w:rFonts w:ascii="Times New Roman" w:hAnsi="Times New Roman" w:eastAsia="Times New Roman" w:cs="Times New Roman"/>
        </w:rPr>
        <w:t xml:space="preserve"> </w:t>
      </w:r>
      <w:r>
        <w:rPr>
          <w:rFonts w:ascii="Nirmala UI" w:hAnsi="Nirmala UI" w:eastAsia="Nirmala UI" w:cs="Nirmala UI"/>
        </w:rPr>
        <w:t>ଉଦ୍ଭବ</w:t>
      </w:r>
      <w:r>
        <w:rPr>
          <w:rFonts w:ascii="Times New Roman" w:hAnsi="Times New Roman" w:eastAsia="Times New Roman" w:cs="Times New Roman"/>
        </w:rPr>
        <w:t xml:space="preserve"> </w:t>
      </w:r>
      <w:r>
        <w:rPr>
          <w:rFonts w:ascii="Nirmala UI" w:hAnsi="Nirmala UI" w:eastAsia="Nirmala UI" w:cs="Nirmala UI"/>
        </w:rPr>
        <w:t>କରେ।</w:t>
      </w:r>
    </w:p>
    <w:p>
      <w:pPr>
        <w:pStyle w:val="ArticleScripture"/>
        <w:jc w:val="left"/>
      </w:pPr>
      <w:r>
        <w:rPr>
          <w:rFonts w:ascii="Times New Roman" w:hAnsi="Times New Roman" w:eastAsia="Times New Roman" w:cs="Times New Roman"/>
        </w:rPr>
        <w:t>“1798-жылы Жаңы Дүйнөнүн кайсы улуту бийликке көтөрүлүп, күч-кубат менен улуулуктун үмүтүн берип, дүйнөнүн көңүлүн өзүнө буруп жаткан эле? Бул символдун колдонулушу эч кандай суроо туудурбайт. Бул пайгамбарлыктын белгилерине бир гана улут, жана жалгыз ошол улут, туура келет; ал жаңылыштыксыз Америка Кошмо Штаттарын көрсөтөт. Кайра-кайра ыйык жазуучунун ою, дээрлик анын так сөздөрү, бул улуттун өсүшү менен өнүгүшүн сүрөттөөдө чечен менен тарыхчы тарабынан аң-сезимсиз колдонулуп келген. Жырткыч «жерден чыгып келе жаткан» болуп көрүлгөн; ал эми котормочулардын айтымында, бул жерде «чыгып келе жаткан» деп берилген сөздүн түз мааниси «өсүү же өсүмдүк сыяктуу өнүп чыгуу» дегенди билдирет.” Улуу кармаш, 440.</w:t>
      </w:r>
    </w:p>
    <w:p>
      <w:pPr>
        <w:pStyle w:val="ArticleBody"/>
        <w:jc w:val="left"/>
      </w:pP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স্থলপশু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উদ্গত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প্রবন্ধসমূহে</w:t>
      </w:r>
      <w:r>
        <w:rPr>
          <w:rFonts w:ascii="Times New Roman" w:hAnsi="Times New Roman" w:eastAsia="Times New Roman" w:cs="Times New Roman"/>
        </w:rPr>
        <w:t xml:space="preserve"> </w:t>
      </w:r>
      <w:r>
        <w:rPr>
          <w:rFonts w:ascii="Nirmala UI" w:hAnsi="Nirmala UI" w:eastAsia="Nirmala UI" w:cs="Nirmala UI"/>
        </w:rPr>
        <w:t>উত্থাপিত</w:t>
      </w:r>
      <w:r>
        <w:rPr>
          <w:rFonts w:ascii="Times New Roman" w:hAnsi="Times New Roman" w:eastAsia="Times New Roman" w:cs="Times New Roman"/>
        </w:rPr>
        <w:t xml:space="preserve"> </w:t>
      </w:r>
      <w:r>
        <w:rPr>
          <w:rFonts w:ascii="Nirmala UI" w:hAnsi="Nirmala UI" w:eastAsia="Nirmala UI" w:cs="Nirmala UI"/>
        </w:rPr>
        <w:t>দাবিগুলি</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অনুপ্রেরণা</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w:t>
      </w:r>
      <w:r>
        <w:rPr>
          <w:rFonts w:ascii="Nirmala UI" w:hAnsi="Nirmala UI" w:eastAsia="Nirmala UI" w:cs="Nirmala UI"/>
        </w:rPr>
        <w:t>রেখার</w:t>
      </w:r>
      <w:r>
        <w:rPr>
          <w:rFonts w:ascii="Times New Roman" w:hAnsi="Times New Roman" w:eastAsia="Times New Roman" w:cs="Times New Roman"/>
        </w:rPr>
        <w:t xml:space="preserve"> </w:t>
      </w:r>
      <w:r>
        <w:rPr>
          <w:rFonts w:ascii="Nirmala UI" w:hAnsi="Nirmala UI" w:eastAsia="Nirmala UI" w:cs="Nirmala UI"/>
        </w:rPr>
        <w:t>প্রেক্ষাপটে</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যুক্তরাষ্ট্রস্থিত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কণ্ঠ</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আসতে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অভ্যন্তরে</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কণ্ঠও</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অনুযায়ী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কর্তৃত্বে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বার্তাবাহক</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পরিসেবা</w:t>
      </w:r>
      <w:r>
        <w:rPr>
          <w:rFonts w:ascii="Times New Roman" w:hAnsi="Times New Roman" w:eastAsia="Times New Roman" w:cs="Times New Roman"/>
        </w:rPr>
        <w:t>-</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বাইরে</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 xml:space="preserve">, </w:t>
      </w:r>
      <w:r>
        <w:rPr>
          <w:rFonts w:ascii="Nirmala UI" w:hAnsi="Nirmala UI" w:eastAsia="Nirmala UI" w:cs="Nirmala UI"/>
        </w:rPr>
        <w:t>অথবা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উৎপত্তি</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বাইরে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অ্যাডভেন্টবাদ</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ব্যক্তির</w:t>
      </w:r>
      <w:r>
        <w:rPr>
          <w:rFonts w:ascii="Times New Roman" w:hAnsi="Times New Roman" w:eastAsia="Times New Roman" w:cs="Times New Roman"/>
        </w:rPr>
        <w:t xml:space="preserve"> </w:t>
      </w:r>
      <w:r>
        <w:rPr>
          <w:rFonts w:ascii="Nirmala UI" w:hAnsi="Nirmala UI" w:eastAsia="Nirmala UI" w:cs="Nirmala UI"/>
        </w:rPr>
        <w:t>কণ্ঠস্বর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আন্দোলনের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সমাপ্তিকে</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করেন।</w:t>
      </w:r>
    </w:p>
    <w:p>
      <w:pPr>
        <w:pStyle w:val="ArticleBody"/>
        <w:jc w:val="left"/>
      </w:pPr>
      <w:r>
        <w:rPr>
          <w:rFonts w:ascii="Nirmala UI" w:hAnsi="Nirmala UI" w:eastAsia="Nirmala UI" w:cs="Nirmala UI"/>
        </w:rPr>
        <w:t>कर्णोऽस्ति</w:t>
      </w:r>
      <w:r>
        <w:rPr>
          <w:rFonts w:ascii="Times New Roman" w:hAnsi="Times New Roman" w:eastAsia="Times New Roman" w:cs="Times New Roman"/>
        </w:rPr>
        <w:t xml:space="preserve"> </w:t>
      </w:r>
      <w:r>
        <w:rPr>
          <w:rFonts w:ascii="Nirmala UI" w:hAnsi="Nirmala UI" w:eastAsia="Nirmala UI" w:cs="Nirmala UI"/>
        </w:rPr>
        <w:t>यस्य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श्रुणोतु</w:t>
      </w:r>
      <w:r>
        <w:rPr>
          <w:rFonts w:ascii="Times New Roman" w:hAnsi="Times New Roman" w:eastAsia="Times New Roman" w:cs="Times New Roman"/>
        </w:rPr>
        <w:t xml:space="preserve"> </w:t>
      </w:r>
      <w:r>
        <w:rPr>
          <w:rFonts w:ascii="Nirmala UI" w:hAnsi="Nirmala UI" w:eastAsia="Nirmala UI" w:cs="Nirmala UI"/>
        </w:rPr>
        <w:t>यदात्मा</w:t>
      </w:r>
      <w:r>
        <w:rPr>
          <w:rFonts w:ascii="Times New Roman" w:hAnsi="Times New Roman" w:eastAsia="Times New Roman" w:cs="Times New Roman"/>
        </w:rPr>
        <w:t xml:space="preserve"> </w:t>
      </w:r>
      <w:r>
        <w:rPr>
          <w:rFonts w:ascii="Nirmala UI" w:hAnsi="Nirmala UI" w:eastAsia="Nirmala UI" w:cs="Nirmala UI"/>
        </w:rPr>
        <w:t>कलीसियाभ्यः</w:t>
      </w:r>
      <w:r>
        <w:rPr>
          <w:rFonts w:ascii="Times New Roman" w:hAnsi="Times New Roman" w:eastAsia="Times New Roman" w:cs="Times New Roman"/>
        </w:rPr>
        <w:t xml:space="preserve"> </w:t>
      </w:r>
      <w:r>
        <w:rPr>
          <w:rFonts w:ascii="Nirmala UI" w:hAnsi="Nirmala UI" w:eastAsia="Nirmala UI" w:cs="Nirmala UI"/>
        </w:rPr>
        <w:t>वदति।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ឡាអូឌីសេ — លេខ ប្រាំ</dc:title>
  <dc:subject>Pe Lote Mbohapy Ipahaevegua</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