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Ukhwelele Umbono — Inamba Yetshumi</w:t>
      </w:r>
    </w:p>
    <w:p>
      <w:pPr>
        <w:pStyle w:val="ArticleSubtitle"/>
        <w:jc w:val="left"/>
      </w:pPr>
      <w:r>
        <w:rPr>
          <w:rFonts w:ascii="Segoe UI" w:hAnsi="Segoe UI" w:eastAsia="Segoe UI" w:cs="Segoe UI"/>
        </w:rPr>
        <w:t>آخرين</w:t>
      </w:r>
      <w:r>
        <w:rPr>
          <w:rFonts w:ascii="Arial" w:hAnsi="Arial" w:eastAsia="Arial" w:cs="Arial"/>
        </w:rPr>
        <w:t xml:space="preserve"> </w:t>
      </w:r>
      <w:r>
        <w:rPr>
          <w:rFonts w:ascii="Segoe UI" w:hAnsi="Segoe UI" w:eastAsia="Segoe UI" w:cs="Segoe UI"/>
        </w:rPr>
        <w:t>تڪرار</w:t>
      </w:r>
      <w:r>
        <w:rPr>
          <w:rFonts w:ascii="Arial" w:hAnsi="Arial" w:eastAsia="Arial" w:cs="Arial"/>
        </w:rPr>
        <w:t xml:space="preserve">: </w:t>
      </w:r>
      <w:r>
        <w:rPr>
          <w:rFonts w:ascii="Segoe UI" w:hAnsi="Segoe UI" w:eastAsia="Segoe UI" w:cs="Segoe UI"/>
        </w:rPr>
        <w:t>يوئيل</w:t>
      </w:r>
      <w:r>
        <w:rPr>
          <w:rFonts w:ascii="Arial" w:hAnsi="Arial" w:eastAsia="Arial" w:cs="Arial"/>
        </w:rPr>
        <w:t xml:space="preserve"> </w:t>
      </w:r>
      <w:r>
        <w:rPr>
          <w:rFonts w:ascii="Segoe UI" w:hAnsi="Segoe UI" w:eastAsia="Segoe UI" w:cs="Segoe UI"/>
        </w:rPr>
        <w:t>جو</w:t>
      </w:r>
      <w:r>
        <w:rPr>
          <w:rFonts w:ascii="Arial" w:hAnsi="Arial" w:eastAsia="Arial" w:cs="Arial"/>
        </w:rPr>
        <w:t xml:space="preserve"> </w:t>
      </w:r>
      <w:r>
        <w:rPr>
          <w:rFonts w:ascii="Segoe UI" w:hAnsi="Segoe UI" w:eastAsia="Segoe UI" w:cs="Segoe UI"/>
        </w:rPr>
        <w:t>ڪتاب،</w:t>
      </w:r>
      <w:r>
        <w:rPr>
          <w:rFonts w:ascii="Arial" w:hAnsi="Arial" w:eastAsia="Arial" w:cs="Arial"/>
        </w:rPr>
        <w:t xml:space="preserve"> </w:t>
      </w:r>
      <w:r>
        <w:rPr>
          <w:rFonts w:ascii="Segoe UI" w:hAnsi="Segoe UI" w:eastAsia="Segoe UI" w:cs="Segoe UI"/>
        </w:rPr>
        <w:t>نيو</w:t>
      </w:r>
      <w:r>
        <w:rPr>
          <w:rFonts w:ascii="Arial" w:hAnsi="Arial" w:eastAsia="Arial" w:cs="Arial"/>
        </w:rPr>
        <w:t xml:space="preserve"> </w:t>
      </w:r>
      <w:r>
        <w:rPr>
          <w:rFonts w:ascii="Segoe UI" w:hAnsi="Segoe UI" w:eastAsia="Segoe UI" w:cs="Segoe UI"/>
        </w:rPr>
        <w:t>يارڪ</w:t>
      </w:r>
      <w:r>
        <w:rPr>
          <w:rFonts w:ascii="Arial" w:hAnsi="Arial" w:eastAsia="Arial" w:cs="Arial"/>
        </w:rPr>
        <w:t xml:space="preserve"> </w:t>
      </w:r>
      <w:r>
        <w:rPr>
          <w:rFonts w:ascii="Segoe UI" w:hAnsi="Segoe UI" w:eastAsia="Segoe UI" w:cs="Segoe UI"/>
        </w:rPr>
        <w:t>جو</w:t>
      </w:r>
      <w:r>
        <w:rPr>
          <w:rFonts w:ascii="Arial" w:hAnsi="Arial" w:eastAsia="Arial" w:cs="Arial"/>
        </w:rPr>
        <w:t xml:space="preserve"> </w:t>
      </w:r>
      <w:r>
        <w:rPr>
          <w:rFonts w:ascii="Segoe UI" w:hAnsi="Segoe UI" w:eastAsia="Segoe UI" w:cs="Segoe UI"/>
        </w:rPr>
        <w:t>زوال،</w:t>
      </w:r>
      <w:r>
        <w:rPr>
          <w:rFonts w:ascii="Arial" w:hAnsi="Arial" w:eastAsia="Arial" w:cs="Arial"/>
        </w:rPr>
        <w:t xml:space="preserve"> </w:t>
      </w:r>
      <w:r>
        <w:rPr>
          <w:rFonts w:ascii="Segoe UI" w:hAnsi="Segoe UI" w:eastAsia="Segoe UI" w:cs="Segoe UI"/>
        </w:rPr>
        <w:t>۽</w:t>
      </w:r>
      <w:r>
        <w:rPr>
          <w:rFonts w:ascii="Arial" w:hAnsi="Arial" w:eastAsia="Arial" w:cs="Arial"/>
        </w:rPr>
        <w:t xml:space="preserve"> </w:t>
      </w:r>
      <w:r>
        <w:rPr>
          <w:rFonts w:ascii="Segoe UI" w:hAnsi="Segoe UI" w:eastAsia="Segoe UI" w:cs="Segoe UI"/>
        </w:rPr>
        <w:t>ايڊوينٽ</w:t>
      </w:r>
      <w:r>
        <w:rPr>
          <w:rFonts w:ascii="Arial" w:hAnsi="Arial" w:eastAsia="Arial" w:cs="Arial"/>
        </w:rPr>
        <w:t xml:space="preserve"> </w:t>
      </w:r>
      <w:r>
        <w:rPr>
          <w:rFonts w:ascii="Segoe UI" w:hAnsi="Segoe UI" w:eastAsia="Segoe UI" w:cs="Segoe UI"/>
        </w:rPr>
        <w:t>تاريخ</w:t>
      </w:r>
      <w:r>
        <w:rPr>
          <w:rFonts w:ascii="Arial" w:hAnsi="Arial" w:eastAsia="Arial" w:cs="Arial"/>
        </w:rPr>
        <w:t xml:space="preserve"> </w:t>
      </w:r>
      <w:r>
        <w:rPr>
          <w:rFonts w:ascii="Segoe UI" w:hAnsi="Segoe UI" w:eastAsia="Segoe UI" w:cs="Segoe UI"/>
        </w:rPr>
        <w:t>۾</w:t>
      </w:r>
      <w:r>
        <w:rPr>
          <w:rFonts w:ascii="Arial" w:hAnsi="Arial" w:eastAsia="Arial" w:cs="Arial"/>
        </w:rPr>
        <w:t xml:space="preserve"> </w:t>
      </w:r>
      <w:r>
        <w:rPr>
          <w:rFonts w:ascii="Segoe UI" w:hAnsi="Segoe UI" w:eastAsia="Segoe UI" w:cs="Segoe UI"/>
        </w:rPr>
        <w:t>روم</w:t>
      </w:r>
      <w:r>
        <w:rPr>
          <w:rFonts w:ascii="Arial" w:hAnsi="Arial" w:eastAsia="Arial" w:cs="Arial"/>
        </w:rPr>
        <w:t xml:space="preserve"> </w:t>
      </w:r>
      <w:r>
        <w:rPr>
          <w:rFonts w:ascii="Segoe UI" w:hAnsi="Segoe UI" w:eastAsia="Segoe UI" w:cs="Segoe UI"/>
        </w:rPr>
        <w:t>جي</w:t>
      </w:r>
      <w:r>
        <w:rPr>
          <w:rFonts w:ascii="Arial" w:hAnsi="Arial" w:eastAsia="Arial" w:cs="Arial"/>
        </w:rPr>
        <w:t xml:space="preserve"> </w:t>
      </w:r>
      <w:r>
        <w:rPr>
          <w:rFonts w:ascii="Segoe UI" w:hAnsi="Segoe UI" w:eastAsia="Segoe UI" w:cs="Segoe UI"/>
        </w:rPr>
        <w:t>علامت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Gadugi" w:hAnsi="Gadugi" w:eastAsia="Gadugi" w:cs="Gadugi"/>
        </w:rPr>
        <w:t>ᎤᎵᏍᏓᏴ</w:t>
      </w:r>
      <w:r>
        <w:rPr>
          <w:rFonts w:ascii="Times New Roman" w:hAnsi="Times New Roman" w:eastAsia="Times New Roman" w:cs="Times New Roman"/>
        </w:rPr>
        <w:t xml:space="preserve"> </w:t>
      </w:r>
      <w:r>
        <w:rPr>
          <w:rFonts w:ascii="Gadugi" w:hAnsi="Gadugi" w:eastAsia="Gadugi" w:cs="Gadugi"/>
        </w:rPr>
        <w:t>ᎠᏆᏚᎵᎭ</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ᎤᏂᎳᏫᎢᏍᏗ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ᎯᎦᏘᏴ</w:t>
      </w:r>
      <w:r>
        <w:rPr>
          <w:rFonts w:ascii="Times New Roman" w:hAnsi="Times New Roman" w:eastAsia="Times New Roman" w:cs="Times New Roman"/>
        </w:rPr>
        <w:t xml:space="preserve"> </w:t>
      </w:r>
      <w:r>
        <w:rPr>
          <w:rFonts w:ascii="Gadugi" w:hAnsi="Gadugi" w:eastAsia="Gadugi" w:cs="Gadugi"/>
        </w:rPr>
        <w:t>ᎤᏪᏟᎶᏍᏗ</w:t>
      </w:r>
      <w:r>
        <w:rPr>
          <w:rFonts w:ascii="Times New Roman" w:hAnsi="Times New Roman" w:eastAsia="Times New Roman" w:cs="Times New Roman"/>
        </w:rPr>
        <w:t xml:space="preserve"> </w:t>
      </w:r>
      <w:r>
        <w:rPr>
          <w:rFonts w:ascii="Gadugi" w:hAnsi="Gadugi" w:eastAsia="Gadugi" w:cs="Gadugi"/>
        </w:rPr>
        <w:t>ᎠᏂᏣᏔᏅᎯ</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ᎤᏙᎴᎰᏍᏗ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ᎠᏂᎠᏕᏂᎸᏫᏍᏓᏁᎲ</w:t>
      </w:r>
      <w:r>
        <w:rPr>
          <w:rFonts w:ascii="Times New Roman" w:hAnsi="Times New Roman" w:eastAsia="Times New Roman" w:cs="Times New Roman"/>
        </w:rPr>
        <w:t xml:space="preserve"> </w:t>
      </w:r>
      <w:r>
        <w:rPr>
          <w:rFonts w:ascii="Gadugi" w:hAnsi="Gadugi" w:eastAsia="Gadugi" w:cs="Gadugi"/>
        </w:rPr>
        <w:t>ᎥᏍᎩᏓᏍᏗ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ᏦᏫ</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ᎤᏂᏘᏲᎬ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ᎤᎵᏰᎢᎵᏒ</w:t>
      </w:r>
      <w:r>
        <w:rPr>
          <w:rFonts w:ascii="Times New Roman" w:hAnsi="Times New Roman" w:eastAsia="Times New Roman" w:cs="Times New Roman"/>
        </w:rPr>
        <w:t xml:space="preserve"> </w:t>
      </w:r>
      <w:r>
        <w:rPr>
          <w:rFonts w:ascii="Gadugi" w:hAnsi="Gadugi" w:eastAsia="Gadugi" w:cs="Gadugi"/>
        </w:rPr>
        <w:t>ᎤᎵᏆᏚᎯ</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2001, </w:t>
      </w:r>
      <w:r>
        <w:rPr>
          <w:rFonts w:ascii="Gadugi" w:hAnsi="Gadugi" w:eastAsia="Gadugi" w:cs="Gadugi"/>
        </w:rPr>
        <w:t>ᏓᎦᏓᏅᏛ</w:t>
      </w:r>
      <w:r>
        <w:rPr>
          <w:rFonts w:ascii="Times New Roman" w:hAnsi="Times New Roman" w:eastAsia="Times New Roman" w:cs="Times New Roman"/>
        </w:rPr>
        <w:t xml:space="preserve"> 11 </w:t>
      </w:r>
      <w:r>
        <w:rPr>
          <w:rFonts w:ascii="Gadugi" w:hAnsi="Gadugi" w:eastAsia="Gadugi" w:cs="Gadugi"/>
        </w:rPr>
        <w:t>ᎣᏏᏂᏙᏓᏆᏍᎬᎢ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ᎪᎯᏳᏗ</w:t>
      </w:r>
      <w:r>
        <w:rPr>
          <w:rFonts w:ascii="Times New Roman" w:hAnsi="Times New Roman" w:eastAsia="Times New Roman" w:cs="Times New Roman"/>
        </w:rPr>
        <w:t xml:space="preserve"> </w:t>
      </w:r>
      <w:r>
        <w:rPr>
          <w:rFonts w:ascii="Gadugi" w:hAnsi="Gadugi" w:eastAsia="Gadugi" w:cs="Gadugi"/>
        </w:rPr>
        <w:t>ᎠᏯᏙᎸᎢ</w:t>
      </w:r>
      <w:r>
        <w:rPr>
          <w:rFonts w:ascii="Times New Roman" w:hAnsi="Times New Roman" w:eastAsia="Times New Roman" w:cs="Times New Roman"/>
        </w:rPr>
        <w:t xml:space="preserve"> </w:t>
      </w:r>
      <w:r>
        <w:rPr>
          <w:rFonts w:ascii="Gadugi" w:hAnsi="Gadugi" w:eastAsia="Gadugi" w:cs="Gadugi"/>
        </w:rPr>
        <w:t>ᏂᎦᎵᏍᏗ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ᎠᏂᏍᎪᎸᏙᏗ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ᎤᏂᎶᏐᏅ</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ᏧᎵᏍᏗᎢ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ᎤᏍᏛᏗ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ᎠᏎᎢᏳ</w:t>
      </w:r>
      <w:r>
        <w:rPr>
          <w:rFonts w:ascii="Times New Roman" w:hAnsi="Times New Roman" w:eastAsia="Times New Roman" w:cs="Times New Roman"/>
        </w:rPr>
        <w:t xml:space="preserve"> </w:t>
      </w:r>
      <w:r>
        <w:rPr>
          <w:rFonts w:ascii="Gadugi" w:hAnsi="Gadugi" w:eastAsia="Gadugi" w:cs="Gadugi"/>
        </w:rPr>
        <w:t>ᎠᏓᏅᏖᏗ</w:t>
      </w:r>
      <w:r>
        <w:rPr>
          <w:rFonts w:ascii="Times New Roman" w:hAnsi="Times New Roman" w:eastAsia="Times New Roman" w:cs="Times New Roman"/>
        </w:rPr>
        <w:t xml:space="preserve"> </w:t>
      </w:r>
      <w:r>
        <w:rPr>
          <w:rFonts w:ascii="Gadugi" w:hAnsi="Gadugi" w:eastAsia="Gadugi" w:cs="Gadugi"/>
        </w:rPr>
        <w:t>ᎠᏗᎶᏍᏗ</w:t>
      </w:r>
      <w:r>
        <w:rPr>
          <w:rFonts w:ascii="Times New Roman" w:hAnsi="Times New Roman" w:eastAsia="Times New Roman" w:cs="Times New Roman"/>
        </w:rPr>
        <w:t xml:space="preserve"> </w:t>
      </w:r>
      <w:r>
        <w:rPr>
          <w:rFonts w:ascii="Gadugi" w:hAnsi="Gadugi" w:eastAsia="Gadugi" w:cs="Gadugi"/>
        </w:rPr>
        <w:t>ᎠᏂᎻᎳᎵᏔ</w:t>
      </w:r>
      <w:r>
        <w:rPr>
          <w:rFonts w:ascii="Times New Roman" w:hAnsi="Times New Roman" w:eastAsia="Times New Roman" w:cs="Times New Roman"/>
        </w:rPr>
        <w:t xml:space="preserve"> </w:t>
      </w:r>
      <w:r>
        <w:rPr>
          <w:rFonts w:ascii="Gadugi" w:hAnsi="Gadugi" w:eastAsia="Gadugi" w:cs="Gadugi"/>
        </w:rPr>
        <w:t>ᏗᏂᎪᎯᏍᏗ</w:t>
      </w:r>
      <w:r>
        <w:rPr>
          <w:rFonts w:ascii="Times New Roman" w:hAnsi="Times New Roman" w:eastAsia="Times New Roman" w:cs="Times New Roman"/>
        </w:rPr>
        <w:t xml:space="preserve">. </w:t>
      </w:r>
      <w:r>
        <w:rPr>
          <w:rFonts w:ascii="Gadugi" w:hAnsi="Gadugi" w:eastAsia="Gadugi" w:cs="Gadugi"/>
        </w:rPr>
        <w:t>ᎦᎳᏉᎩ</w:t>
      </w:r>
      <w:r>
        <w:rPr>
          <w:rFonts w:ascii="Times New Roman" w:hAnsi="Times New Roman" w:eastAsia="Times New Roman" w:cs="Times New Roman"/>
        </w:rPr>
        <w:t xml:space="preserve"> 11, 1840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ᎤᏙᎴᎰᏍᏗ</w:t>
      </w:r>
      <w:r>
        <w:rPr>
          <w:rFonts w:ascii="Times New Roman" w:hAnsi="Times New Roman" w:eastAsia="Times New Roman" w:cs="Times New Roman"/>
        </w:rPr>
        <w:t xml:space="preserve"> </w:t>
      </w:r>
      <w:r>
        <w:rPr>
          <w:rFonts w:ascii="Gadugi" w:hAnsi="Gadugi" w:eastAsia="Gadugi" w:cs="Gadugi"/>
        </w:rPr>
        <w:t>ᎦᏥᏴᎩ</w:t>
      </w:r>
      <w:r>
        <w:rPr>
          <w:rFonts w:ascii="Times New Roman" w:hAnsi="Times New Roman" w:eastAsia="Times New Roman" w:cs="Times New Roman"/>
        </w:rPr>
        <w:t xml:space="preserve"> 9, </w:t>
      </w:r>
      <w:r>
        <w:rPr>
          <w:rFonts w:ascii="Gadugi" w:hAnsi="Gadugi" w:eastAsia="Gadugi" w:cs="Gadugi"/>
        </w:rPr>
        <w:t>ᎤᏪᏥ</w:t>
      </w:r>
      <w:r>
        <w:rPr>
          <w:rFonts w:ascii="Times New Roman" w:hAnsi="Times New Roman" w:eastAsia="Times New Roman" w:cs="Times New Roman"/>
        </w:rPr>
        <w:t xml:space="preserve"> 15 </w:t>
      </w:r>
      <w:r>
        <w:rPr>
          <w:rFonts w:ascii="Gadugi" w:hAnsi="Gadugi" w:eastAsia="Gadugi" w:cs="Gadugi"/>
        </w:rPr>
        <w:t>ᎤᎵᏍᏆᏂᎪᏔᏅ</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 төрткә ангел азат ителде; улар сәғәткә лә, көнгә лә, айға ла, йылға ла әҙерләнгән ине, кешеләрҙең өстән бер өлөшөн үлтерер өсөн. Асылыш 9:15.</w:t>
      </w:r>
    </w:p>
    <w:p>
      <w:pPr>
        <w:pStyle w:val="ArticleBody"/>
        <w:jc w:val="left"/>
      </w:pPr>
      <w:r>
        <w:rPr>
          <w:rFonts w:ascii="Times New Roman" w:hAnsi="Times New Roman" w:eastAsia="Times New Roman" w:cs="Times New Roman"/>
        </w:rPr>
        <w:t>ئایت ئەوە ناساندووە کە «کاتژمێرێک، ڕۆژێک، مانگێک و ساڵێک» یەکسانە بە سێ سەد و نەوەد و یەک ساڵ و پانزە ڕۆژ. ئەو چوار فریشتەیە نوێنەرایەتی ئەو کاتەیان دەکرد کە ئیسلام هاتە سەر هێز و شەڕی دژ بە ڕۆما هێنایە کایەوە، دەستپێکردن لە 27ی جولای 1449. خاڵی دەستپێک بە بەکارهێنانی خاڵی کۆتاییی پێشبینییەکی تری کات کە سەد و پەنجا ساڵ بوو دیاری کرا. یەکەم پێشبینیی کات کە سەد و پەنجا ساڵ بوو، لە مێژووی یەکەم وایدا خراوەتە ڕوو، کە هەمان پێنجەمین کەڕەنای ئاشکرابوونەوەی بەشی نۆیە. کاتێک پێشبینیی سەد و پەنجا ساڵەکە لە 27ی جولای 1449 کۆتایی هات، ئەو پێشبینیی کاتەی ئێستا لێی دەڕوانین دەستی پێکرد، و سێ سەد و نەوەد و یەک ساڵ و پانزە ڕۆژ دواتر پێشبینییەکە لە 11ی ئاب 1840 کۆتایی هات.</w:t>
      </w:r>
    </w:p>
    <w:p>
      <w:pPr>
        <w:pStyle w:val="ArticleBody"/>
        <w:jc w:val="left"/>
      </w:pPr>
      <w:r>
        <w:rPr>
          <w:rFonts w:ascii="Times New Roman" w:hAnsi="Times New Roman" w:eastAsia="Times New Roman" w:cs="Times New Roman"/>
        </w:rPr>
        <w:t>William Miller umhamispa Apocalipsis nueveni podercunata Islamta ricuchicuqcunaman hina, hinaspapas 1840 watapi agosto 11 p’unchayman manaraq chayashaqtin, Millerpa qatiqnin Josiah Litch sutiyuq huk willakuyninta ruraspa, profecíaman hina sut’incharqan 1840 watapi Otomano supremacía tukusqanta. Agosto 11, 1840 p’unchaymanta chunka p’unchay ñawpaqta, Litch nisqan allinta aswan sut’inchaspa musuqyachirqan manam huk watallatachu chay profecía hunt’akunanta reqsichinanpaq, aswanpas kikin watata, p’unchayta, killatapas. Hermana White rimarin imayna Litchpa chay willakuynin Millerpa qatiqnin religioso mundopi ruwayninta, chay pasay hunt’akusqanmanta.</w:t>
      </w:r>
    </w:p>
    <w:p>
      <w:pPr>
        <w:pStyle w:val="ArticleScripture"/>
        <w:jc w:val="left"/>
      </w:pPr>
      <w:r>
        <w:rPr>
          <w:rFonts w:ascii="Times New Roman" w:hAnsi="Times New Roman" w:eastAsia="Times New Roman" w:cs="Times New Roman"/>
        </w:rPr>
        <w:t>«في سنة 1840 أثار إتمامٌ نبويٌّ آخر لافتٌ اهتمامًا واسع النطاق. وقبل ذلك بسنتين، نشر يوشيا ليتش، أحد أبرز الخدّام الذين كانوا يكرزون بالمجيء الثاني، تفسيرًا لرؤيا 9، متنبئًا بسقوط الدولة العثمانية. ووفقًا لحساباته، كان ينبغي أن تُقهر هذه القوة... في 11 آب/أغسطس 1840، حين يمكن أن يُتوقَّع أن تنكسر القوة العثمانية في القسطنطينية. وهذا، أعتقد، سيتبيّن أنه هو الواقع.»</w:t>
      </w:r>
    </w:p>
    <w:p>
      <w:pPr>
        <w:pStyle w:val="ArticleScripture"/>
        <w:jc w:val="left"/>
      </w:pPr>
      <w:r>
        <w:rPr>
          <w:rFonts w:ascii="Times New Roman" w:hAnsi="Times New Roman" w:eastAsia="Times New Roman" w:cs="Times New Roman"/>
        </w:rPr>
        <w:t>«Հենց նշված ժամանակին Թուրքիան, իր դեսպանների միջոցով, ընդունեց Եվրոպայի դաշնակից տերությունների պաշտպանությունը և այդպիսով իրեն դրեց քրիստոնյա ազգերի վերահսկողության տակ։ Այդ իրադարձությունը ճշգրտորեն կատարեց մարգարեությունը։ Երբ դա հայտնի դարձավ, բազմությունները համոզվեցին Միլլերի և նրա համախոհների ընդունած մարգարեական մեկնաբանության սկզբունքների ճշտության մեջ, և հրաշալի խթան տրվեց գալստյան շարժմանը։ Գիտուն և ազդեցիկ մարդիկ միացան Միլլերին՝ թե՛ նրա հայացքները քարոզելու, թե՛ հրատարակելու գործում, և 1840-ից մինչև 1844 թվականը գործը արագորեն ընդարձակվեց»։ The Great Controversy, 334, 335.</w:t>
      </w:r>
    </w:p>
    <w:p>
      <w:pPr>
        <w:pStyle w:val="ArticleBody"/>
        <w:jc w:val="left"/>
      </w:pPr>
      <w:r>
        <w:rPr>
          <w:rFonts w:ascii="Times New Roman" w:hAnsi="Times New Roman" w:eastAsia="Times New Roman" w:cs="Times New Roman"/>
        </w:rPr>
        <w:t>ئه‌و پشتگیرییەی بۆ ئەم ڕووداوە، لە ماوەی ساڵاندا بە شێوەیە جۆراوجۆرەکان بە دووبارەیی لەلایەن ئەدڤێنتیستەکانی حەوتەمین ڕۆژی لاودیکیاوە هێرش کراوە. وەک لەبارەی «حەوت جار» و «ئەو ڕۆژانە»دا، هێرشکردن بۆ سەر ئەم ڕاستییە واتای ڕەتکردنەوەی ئەو بنەمایانەیە کە لەسەر دوو خشتەی پیرۆز نواندراون، هەروەها دەسەڵاتی ڕۆحی پێشبینی. ئەو هۆکارەی شەیتان بۆ لەناوبردنی متمانە بەو مێژوویە تێدا کاری کردووە، فرەلایەنە.</w:t>
      </w:r>
    </w:p>
    <w:p>
      <w:pPr>
        <w:pStyle w:val="ArticleBody"/>
        <w:jc w:val="left"/>
      </w:pPr>
      <w:r>
        <w:rPr>
          <w:rFonts w:ascii="Nirmala UI" w:hAnsi="Nirmala UI" w:eastAsia="Nirmala UI" w:cs="Nirmala UI"/>
        </w:rPr>
        <w:t>लिच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अंतर्दृष्टि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सन्देह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1843 </w:t>
      </w:r>
      <w:r>
        <w:rPr>
          <w:rFonts w:ascii="Nirmala UI" w:hAnsi="Nirmala UI" w:eastAsia="Nirmala UI" w:cs="Nirmala UI"/>
        </w:rPr>
        <w:t>और</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समीक्षा</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11 </w:t>
      </w:r>
      <w:r>
        <w:rPr>
          <w:rFonts w:ascii="Nirmala UI" w:hAnsi="Nirmala UI" w:eastAsia="Nirmala UI" w:cs="Nirmala UI"/>
        </w:rPr>
        <w:t>अगस्त</w:t>
      </w:r>
      <w:r>
        <w:rPr>
          <w:rFonts w:ascii="Times New Roman" w:hAnsi="Times New Roman" w:eastAsia="Times New Roman" w:cs="Times New Roman"/>
        </w:rPr>
        <w:t xml:space="preserve">, 1840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लौटेंगे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w:t>
      </w:r>
    </w:p>
    <w:p>
      <w:pPr>
        <w:pStyle w:val="ArticleScripture"/>
        <w:jc w:val="left"/>
      </w:pPr>
      <w:r>
        <w:rPr>
          <w:rFonts w:ascii="Times New Roman" w:hAnsi="Times New Roman" w:eastAsia="Times New Roman" w:cs="Times New Roman"/>
        </w:rPr>
        <w:t>Ma cə məhəl lə saʿat, ayəwəl yəwqəm mannən, la malakot səmayət ni, illa Abbəyyə bəlḥuddu. Wə kəmə ayyamə Noḥə nəbbəru, hākəna dahi yəkawn mətiʾə Wəldə Səbʾ. Səbbəb kəmə b-ayyamat illə qadmə ṭofān, kəllon aklin wə šātin, nasbin wə mansaḇin, ḥatta l-yawm illə ʿal Noḥ l-gəbbə tābota, Wə la yədəʿu ḥatta ʾətə ṭofān wə šaqəl l-kəllon; hākəna dahi yəkawn mətiʾə Wəldə Səbʾ. Hāydən trēn yəhawnun b-ḥaqlā; ḥad nəttənsaʾ, wə ḥad nəšbəq. Matthew 24:36–40.</w:t>
      </w:r>
    </w:p>
    <w:p>
      <w:pPr>
        <w:pStyle w:val="ArticleBody"/>
        <w:jc w:val="left"/>
      </w:pPr>
      <w:r>
        <w:rPr>
          <w:rFonts w:ascii="Times New Roman" w:hAnsi="Times New Roman" w:eastAsia="Times New Roman" w:cs="Times New Roman"/>
        </w:rPr>
        <w:t>A pasajëi zhe Millerittëk sha pàshe ý bybliçes t’ i sustena i prediksyónens e sha kontinuè e operè per i prinsipyóun plé tèri identifikò pe Sòr White.</w:t>
      </w:r>
    </w:p>
    <w:p>
      <w:pPr>
        <w:pStyle w:val="ArticleScripture"/>
        <w:jc w:val="left"/>
      </w:pPr>
      <w:r>
        <w:rPr>
          <w:rFonts w:ascii="Times New Roman" w:hAnsi="Times New Roman" w:eastAsia="Times New Roman" w:cs="Times New Roman"/>
        </w:rPr>
        <w:t>“«Күнді де, сағатты да ешкім білмейді» деген сөз келу сенімін теріске шығарушылардың ең жиі алға тартатын уәжі болды. Жазба былай дейді: «Ал ол күн мен сағатты ешкім білмейді, көктегі періштелер де емес, тек Әкем ғана». Matthew 24:36. Бұл мәтіннің анық әрі үйлесімді түсіндірмесін Иемізді күткендер берді, ал олардың қарсыластарының оны қалай бұрыс қолданғаны да айқын көрсетілді. Бұл сөздерді Мәсіх ғибадатханадан соңғы рет шығып кеткеннен кейін Зәйтүн тауында шәкірттерімен болған сол ұмытылмас әңгімеде айтқан еді. Шәкірттер: «Сенің келуіңнің және дүниенің ақырының белгісі қандай болады?» — деп сұраған болатын. Иса оларға белгілерді айтып берді де: «Осының бәрін көрген кезде, Оның жақын, есік алдында тұрғанын біліңдер», — деді. Verses 3, 33. Құтқарушының бір сөзін екіншісін жоққа шығаратындай етіп қолдануға болмайды. Оның келуінің күні мен сағатын ешкім білмесе де, бізге Оның қашан жақын екенін білу тапсырылып қана қоймай, соны білу талап етіледі. Бұдан әрі бізге Оның ескертуін елемеу, әрі Оның келуінің жақын қалғанын білуден бас тарту немесе соған немқұрайды қарау, Нұхтың күндерінде топан судың қашан келетінін білмегендер үшін қандай қасіретті болса, біз үшін де соншалықты қасіретті болатыны үйретіледі. Сол тараудағы адал және опасыз қызметшіні салыстыратын, әрі жүрегінде: «Ием келуін кешіктіріп жатыр» деген адамның үкімін баяндайтын астарлы әңгіме, Мәсіхтің сергек болып, Оның келуін үйретіп жүргендерді және оны теріске шығаратындарды қалай бағалап, қалай сыйлайтынын көрсетеді. «Сондықтан сергек болыңдар», — дейді Ол. «Қожайыны келген кезде осылай істеп жүрген күйінде табатын қызметші бақытты». Verses 42, 46. «Егер сергек болмасаң, Мен саған ұрыдай келемін, және Менің саған қай сағатта келетінімді білмей қаласың». Revelation 3:3.” The Great Controversy, 370.</w:t>
      </w:r>
    </w:p>
    <w:p>
      <w:pPr>
        <w:pStyle w:val="ArticleBody"/>
        <w:jc w:val="left"/>
      </w:pPr>
      <w:r>
        <w:rPr>
          <w:rFonts w:ascii="Times New Roman" w:hAnsi="Times New Roman" w:eastAsia="Times New Roman" w:cs="Times New Roman"/>
        </w:rPr>
        <w:t>مین لوچ نبووت پوره شوه، د علم او مقام خاوندانو «له مېلر سره یو ځای شول، هم د وعظ په ډګر کې او هم د ده د نظریاتو په خپرولو کې، او له 1840 څخه تر 1844 پورې دا کار په چټکۍ سره پراخ شو.» د مېلر پیغام هغه وخت ځواکمن شو کله چې د هغه د نبوي تفسیر قواعد د معتبرو قواعدو په توګه تأیید شول. د زماني نبووت د پوره کېدو په ځواب کې، نه یوازې د مېلر قواعد تأیید شول او ډېرو کسانو وروسته د مېلرایتي خوځښت سره یو ځای شول، بلکې له نبوي پلوه همدومره مهمه دا وه چې د مېلر د قواعدو له جملې څخه هماغه اساسي قاعده تأیید شوې وه. همدارنګه، دا حقیقت چې دغه تأیید د دریو آفتونو له دویم آفت سره تړلې نبووت د تطبیق له لارې تر سره شو، کوم چې هم پنځم، شپږم او اووم شپېلۍ دي.</w:t>
      </w:r>
    </w:p>
    <w:p>
      <w:pPr>
        <w:pStyle w:val="ArticleBody"/>
        <w:jc w:val="left"/>
      </w:pPr>
      <w:r>
        <w:rPr>
          <w:rFonts w:ascii="Times New Roman" w:hAnsi="Times New Roman" w:eastAsia="Times New Roman" w:cs="Times New Roman"/>
        </w:rPr>
        <w:t>Akatumiing ni mensahe Miller nagbalin a maysa kadagiti kapatgan unay a pagilasinan iti naurnos a panagsubli ti kilusan a panangisuro dagiti Millerita. Naipadpadana idi iti pannakabunyag ni Jesus. Inpakitana a nagsangpeten ti maudi a proseso ti pannakasubok kadagiti tattao ti immuna a tulag (dagiti Protestante). Nagbalin dayta a sentro ti panangdarup ni Satanas iti entero a kilusan ken mensahe dagiti Millerita.</w:t>
      </w:r>
    </w:p>
    <w:p>
      <w:pPr>
        <w:pStyle w:val="ArticleScripture"/>
        <w:jc w:val="left"/>
      </w:pPr>
      <w:r>
        <w:rPr>
          <w:rFonts w:ascii="Times New Roman" w:hAnsi="Times New Roman" w:eastAsia="Times New Roman" w:cs="Times New Roman"/>
        </w:rPr>
        <w:t>«Ամեն հարց, որ Սատանան կարող է արթնացնել մտքում՝ Աստծո ժողովրդի անցյալ ճանապարհորդությունների մեծ պատմության վերաբերյալ կասկած ստեղծելու համար, հաճելի կլինի նրա սատանական մեծությանը և վիրավորանք է Աստծուն։ Տիրոջ՝ զորությամբ և մեծ փառքով մեր աշխարհ շուտով գալու լուրը ճշմարտություն է, և 1840 թվականին բազմաթիվ ձայներ բարձրացվեցին դրա հռչակման մեջ»։ Manuscript Releases, volume 9, 134.</w:t>
      </w:r>
    </w:p>
    <w:p>
      <w:pPr>
        <w:pStyle w:val="ArticleBody"/>
        <w:jc w:val="left"/>
      </w:pPr>
      <w:r>
        <w:rPr>
          <w:rFonts w:ascii="Times New Roman" w:hAnsi="Times New Roman" w:eastAsia="Times New Roman" w:cs="Times New Roman"/>
        </w:rPr>
        <w:t>11 сентябри 2001-ум аз пәйғәмбәрлик тарихқа үчинчи вайе йетип кәлди. Бу вақиә 1989-жили башланған үчинчи пәриштиниң һәрикити қобул қилған пәйғәмбәрликни тәфсирләштики асасий қаидини тәстиқлиди. У ислаһат һәрикитиниң хәвәрчисигә ечилған биринчи һәқиқәт 1989-жили ечилди, вә у Даниял он бирниң ахирқи алтә айити әмәс еди. У барлиқ ислаһат һәрикәтлириниң бир-биригә параллел маңидиғанлиқи вә үчинчи пәриштиниң һәрикити болған йүз қириқ төрт миңниң һәрикитиниң алаһидиликлирини ениқлаш үчүн уларниң қатар үстигә қатар қилип бирләштүрүлүши керәклики тоғрисидики һәқиқәт еди. Мән көпчилик алдида бәргән тунҗи тәқдиматим 1994-жили, яки бәлким 1995-жили, бир чедир жиғинида болди. У тәқдимат Даниял он бирниң ахирқи алтә айити һәққидә әмәс, бәлки бир-биригә параллел маңидиған ислаһат линийәлири һәққидә еди.</w:t>
      </w:r>
    </w:p>
    <w:p>
      <w:pPr>
        <w:pStyle w:val="ArticleBody"/>
        <w:jc w:val="left"/>
      </w:pPr>
      <w:r>
        <w:rPr>
          <w:rFonts w:ascii="Nirmala UI" w:hAnsi="Nirmala UI" w:eastAsia="Nirmala UI" w:cs="Nirmala UI"/>
        </w:rPr>
        <w:t>रमज़ान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अफ़्सोस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11 </w:t>
      </w:r>
      <w:r>
        <w:rPr>
          <w:rFonts w:ascii="Nirmala UI" w:hAnsi="Nirmala UI" w:eastAsia="Nirmala UI" w:cs="Nirmala UI"/>
        </w:rPr>
        <w:t>अगस्त</w:t>
      </w:r>
      <w:r>
        <w:rPr>
          <w:rFonts w:ascii="Times New Roman" w:hAnsi="Times New Roman" w:eastAsia="Times New Roman" w:cs="Times New Roman"/>
        </w:rPr>
        <w:t xml:space="preserve"> 1840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1840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अफ़्सोसों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अफ़्सोस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फ़्यूचर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मुख्यतः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1840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केंद्र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«Future for America» ҳаракитигә қошулғанлар шу тарихниң хәвәрчиси топлиған пәйғәмбәрликни тәфсир қилиш қаидилирини қобул қилди. У қаидиләрниң бири, бәлким уларниң ичидики әң муһимлиридин бири, пәйғәмбәрликниң үч қатламлиқ қоллинилиши иди вә һазирму шундур. Хәвәрчи бәзи пәйғәмбәрлик һәқиқәтләрниң үч ениқ әмәлгә ашишта тәсвирлинип көрситилгәнлигини чүшинип йәткән еди. Миллеритлар тарихи бир йүз қириқ төрт миңниң тарихида тәкрарлиниду, дәп ишәнгән һалда, 1840-жили 11-авғустниң 2001-жили 11-сентәбирниң типи екәнлиги вә башқа муқәддәс ислаһат йоллириниңму дәл шу хил бәлгини өз ичигә алидиғанлиқи көрүлди.</w:t>
      </w:r>
    </w:p>
    <w:p>
      <w:pPr>
        <w:pStyle w:val="ArticleBody"/>
        <w:jc w:val="left"/>
      </w:pPr>
      <w:r>
        <w:rPr>
          <w:rFonts w:ascii="Times New Roman" w:hAnsi="Times New Roman" w:eastAsia="Times New Roman" w:cs="Times New Roman"/>
        </w:rPr>
        <w:t>Yehuda qəbiləsinin Aslanı tərəfindən üçüncü mələyin xəttində hər bir müqəddəs islahat xəttinin təkrarının dəlili o zaman açıldı. Görüldü ki, necə ki, Millerçi tarix on qız məsəlinin hər bir hərfini tam dəqiqliklə yerinə yetirmişdi, eləcə də Gələcək Amerika üçün tarixçəsi də bunu etmişdi.</w:t>
      </w:r>
    </w:p>
    <w:p>
      <w:pPr>
        <w:pStyle w:val="ArticleScripture"/>
        <w:jc w:val="left"/>
      </w:pPr>
      <w:r>
        <w:rPr>
          <w:rFonts w:ascii="Times New Roman" w:hAnsi="Times New Roman" w:eastAsia="Times New Roman" w:cs="Times New Roman"/>
        </w:rPr>
        <w:t>“Ndzi tshamela ku kongomisiwa eka xifaniso xa tintombi ta khume, ntlhanu wa tona a ti tlharihile, naswona ntlhanu a ti ri swiphukuphuku. Xifaniso lexi xi hetisekile naswona xi ta tlhela xi hetiseka hi rito rin’wana ni rin’wana, hikuva xi na ku tirhisa ko hlawuleka eka nkarhi lowu, naswona, ku fana ni rungula ra ntsumi ya vunharhu, xi hetisekile naswona xi ta ya emahlweni xi va ntiyiso wa nkarhi wa sweswi ku fikela emakumu ka nkarhi.” Review and Herald, August 19, 1890.</w:t>
      </w:r>
    </w:p>
    <w:p>
      <w:pPr>
        <w:pStyle w:val="ArticleBody"/>
        <w:jc w:val="left"/>
      </w:pPr>
      <w:r>
        <w:rPr>
          <w:rFonts w:ascii="Nirmala UI" w:hAnsi="Nirmala UI" w:eastAsia="Nirmala UI" w:cs="Nirmala UI"/>
        </w:rPr>
        <w:t>तઅાન</w:t>
      </w:r>
      <w:r>
        <w:rPr>
          <w:rFonts w:ascii="Times New Roman" w:hAnsi="Times New Roman" w:eastAsia="Times New Roman" w:cs="Times New Roman"/>
        </w:rPr>
        <w:t xml:space="preserve"> </w:t>
      </w:r>
      <w:r>
        <w:rPr>
          <w:rFonts w:ascii="Nirmala UI" w:hAnsi="Nirmala UI" w:eastAsia="Nirmala UI" w:cs="Nirmala UI"/>
        </w:rPr>
        <w:t>अउपुचनगि</w:t>
      </w:r>
      <w:r>
        <w:rPr>
          <w:rFonts w:ascii="Times New Roman" w:hAnsi="Times New Roman" w:eastAsia="Times New Roman" w:cs="Times New Roman"/>
        </w:rPr>
        <w:t xml:space="preserve"> </w:t>
      </w:r>
      <w:r>
        <w:rPr>
          <w:rFonts w:ascii="Nirmala UI" w:hAnsi="Nirmala UI" w:eastAsia="Nirmala UI" w:cs="Nirmala UI"/>
        </w:rPr>
        <w:t>मम़ीरफुंगनि</w:t>
      </w:r>
      <w:r>
        <w:rPr>
          <w:rFonts w:ascii="Times New Roman" w:hAnsi="Times New Roman" w:eastAsia="Times New Roman" w:cs="Times New Roman"/>
        </w:rPr>
        <w:t xml:space="preserve"> </w:t>
      </w:r>
      <w:r>
        <w:rPr>
          <w:rFonts w:ascii="Nirmala UI" w:hAnsi="Nirmala UI" w:eastAsia="Nirmala UI" w:cs="Nirmala UI"/>
        </w:rPr>
        <w:t>सरोमा</w:t>
      </w:r>
      <w:r>
        <w:rPr>
          <w:rFonts w:ascii="Times New Roman" w:hAnsi="Times New Roman" w:eastAsia="Times New Roman" w:cs="Times New Roman"/>
        </w:rPr>
        <w:t xml:space="preserve"> </w:t>
      </w:r>
      <w:r>
        <w:rPr>
          <w:rFonts w:ascii="Nirmala UI" w:hAnsi="Nirmala UI" w:eastAsia="Nirmala UI" w:cs="Nirmala UI"/>
        </w:rPr>
        <w:t>खुदिंगमखायनि</w:t>
      </w:r>
      <w:r>
        <w:rPr>
          <w:rFonts w:ascii="Times New Roman" w:hAnsi="Times New Roman" w:eastAsia="Times New Roman" w:cs="Times New Roman"/>
        </w:rPr>
        <w:t xml:space="preserve"> </w:t>
      </w:r>
      <w:r>
        <w:rPr>
          <w:rFonts w:ascii="Nirmala UI" w:hAnsi="Nirmala UI" w:eastAsia="Nirmala UI" w:cs="Nirmala UI"/>
        </w:rPr>
        <w:t>थाजावखौ</w:t>
      </w:r>
      <w:r>
        <w:rPr>
          <w:rFonts w:ascii="Times New Roman" w:hAnsi="Times New Roman" w:eastAsia="Times New Roman" w:cs="Times New Roman"/>
        </w:rPr>
        <w:t xml:space="preserve"> </w:t>
      </w:r>
      <w:r>
        <w:rPr>
          <w:rFonts w:ascii="Nirmala UI" w:hAnsi="Nirmala UI" w:eastAsia="Nirmala UI" w:cs="Nirmala UI"/>
        </w:rPr>
        <w:t>सिनायथायो</w:t>
      </w:r>
      <w:r>
        <w:rPr>
          <w:rFonts w:ascii="Times New Roman" w:hAnsi="Times New Roman" w:eastAsia="Times New Roman" w:cs="Times New Roman"/>
        </w:rPr>
        <w:t>—</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आगष्ट</w:t>
      </w:r>
      <w:r>
        <w:rPr>
          <w:rFonts w:ascii="Times New Roman" w:hAnsi="Times New Roman" w:eastAsia="Times New Roman" w:cs="Times New Roman"/>
        </w:rPr>
        <w:t xml:space="preserve"> 11, 1840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22, 1844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मिल्लेराइटसनि</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11, 2001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जाथायखौ</w:t>
      </w:r>
      <w:r>
        <w:rPr>
          <w:rFonts w:ascii="Times New Roman" w:hAnsi="Times New Roman" w:eastAsia="Times New Roman" w:cs="Times New Roman"/>
        </w:rPr>
        <w:t xml:space="preserve"> </w:t>
      </w:r>
      <w:r>
        <w:rPr>
          <w:rFonts w:ascii="Nirmala UI" w:hAnsi="Nirmala UI" w:eastAsia="Nirmala UI" w:cs="Nirmala UI"/>
        </w:rPr>
        <w:t>मावनांगौ</w:t>
      </w:r>
      <w:r>
        <w:rPr>
          <w:rFonts w:ascii="Times New Roman" w:hAnsi="Times New Roman" w:eastAsia="Times New Roman" w:cs="Times New Roman"/>
        </w:rPr>
        <w:t xml:space="preserve"> </w:t>
      </w:r>
      <w:r>
        <w:rPr>
          <w:rFonts w:ascii="Nirmala UI" w:hAnsi="Nirmala UI" w:eastAsia="Nirmala UI" w:cs="Nirmala UI"/>
        </w:rPr>
        <w:t>देओ</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रादाबआव</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सोमबारनि</w:t>
      </w:r>
      <w:r>
        <w:rPr>
          <w:rFonts w:ascii="Times New Roman" w:hAnsi="Times New Roman" w:eastAsia="Times New Roman" w:cs="Times New Roman"/>
        </w:rPr>
        <w:t xml:space="preserve"> </w:t>
      </w:r>
      <w:r>
        <w:rPr>
          <w:rFonts w:ascii="Nirmala UI" w:hAnsi="Nirmala UI" w:eastAsia="Nirmala UI" w:cs="Nirmala UI"/>
        </w:rPr>
        <w:t>आइनि</w:t>
      </w:r>
      <w:r>
        <w:rPr>
          <w:rFonts w:ascii="Times New Roman" w:hAnsi="Times New Roman" w:eastAsia="Times New Roman" w:cs="Times New Roman"/>
        </w:rPr>
        <w:t xml:space="preserve"> </w:t>
      </w:r>
      <w:r>
        <w:rPr>
          <w:rFonts w:ascii="Nirmala UI" w:hAnsi="Nirmala UI" w:eastAsia="Nirmala UI" w:cs="Nirmala UI"/>
        </w:rPr>
        <w:t>सोरनायफोरजों</w:t>
      </w:r>
      <w:r>
        <w:rPr>
          <w:rFonts w:ascii="Times New Roman" w:hAnsi="Times New Roman" w:eastAsia="Times New Roman" w:cs="Times New Roman"/>
        </w:rPr>
        <w:t xml:space="preserve"> </w:t>
      </w:r>
      <w:r>
        <w:rPr>
          <w:rFonts w:ascii="Nirmala UI" w:hAnsi="Nirmala UI" w:eastAsia="Nirmala UI" w:cs="Nirmala UI"/>
        </w:rPr>
        <w:t>सिनायनो।</w:t>
      </w:r>
    </w:p>
    <w:p>
      <w:pPr>
        <w:pStyle w:val="ArticleScripture"/>
        <w:jc w:val="left"/>
      </w:pPr>
      <w:r>
        <w:rPr>
          <w:rFonts w:ascii="Times New Roman" w:hAnsi="Times New Roman" w:eastAsia="Times New Roman" w:cs="Times New Roman"/>
        </w:rPr>
        <w:t>"Egünedik ýagtylyk, Ýohanna berlen we ýedi gök gürlemesinde beýan edilen, birinji we ikinji perişdeleriň habarlarynyň astynda bolup geçjek wakalaryň beýanydy...."</w:t>
      </w:r>
    </w:p>
    <w:p>
      <w:pPr>
        <w:pStyle w:val="ArticleScripture"/>
        <w:jc w:val="left"/>
      </w:pPr>
      <w:r>
        <w:rPr>
          <w:rFonts w:ascii="Times New Roman" w:hAnsi="Times New Roman" w:eastAsia="Times New Roman" w:cs="Times New Roman"/>
        </w:rPr>
        <w:t>«Уаҕа бу сэттэ күөрэйдэр үннэрин таһаарбыт кэннэ, Даниилга кыра кинигэ туһунан биэриллибитин курдук, Иоаннаҕа маннык ыйытык кэлэр: “Сэттэ күөрэйдэр этбитсэлэрин бэчээттээ”. Бу өйдөбүллэр кэскил ыһыахтара буолан, бэйэлэрин сиэринэн арыллыахтара». The Seventh-day Adventist Bible Commentary, volume 7, 971.</w:t>
      </w:r>
    </w:p>
    <w:p>
      <w:pPr>
        <w:pStyle w:val="ArticleBody"/>
        <w:jc w:val="left"/>
      </w:pPr>
      <w:r>
        <w:rPr>
          <w:rFonts w:ascii="Times New Roman" w:hAnsi="Times New Roman" w:eastAsia="Times New Roman" w:cs="Times New Roman"/>
        </w:rPr>
        <w:t>A so se reconocío que Hermana White disho diretamentre que lo movimiento del tersero angelo corre en paralelo con lo movimiento del primer y segundo angelos.</w:t>
      </w:r>
    </w:p>
    <w:p>
      <w:pPr>
        <w:pStyle w:val="ArticleScripture"/>
        <w:jc w:val="left"/>
      </w:pPr>
      <w:r>
        <w:rPr>
          <w:rFonts w:ascii="Times New Roman" w:hAnsi="Times New Roman" w:eastAsia="Times New Roman" w:cs="Times New Roman"/>
        </w:rPr>
        <w:t>“Ɔsɔfo Nyankopɔn de Adiyisɛm 14 nkrasɛm no ahyɛ nkɔmhyɛ kwan no mu, na wɔn adwuma no nsɛ sɛ egyae kosi sɛ asase yi abakɔsɛm bɛto awiei. Ɔbɔfo a odi kan ne nea ɔto so abien no nkrasɛm da so ara yɛ nokware ma bere yi, na ɛsɛ sɛ ɛne nea edi hɔ yi kɔ bere koro mu. Ɔbɔfo a ɔto so abiɛsa no de nne kɛse pa ne kɔkɔbɔ ma. ‘Eyinom akyi no,’ Yohane kae sɛ, ‘mihuu ɔbɔfo foforo bi sɛ ofi soro resian, a ɔwɔ tumi kɛse, na n’anuonyam maa asase no hyerɛn.’ Saa hann yi mu no, nkrasɛm abiɛsa no nyinaa hann no ayɛ baako.” The 1888 Materials, 803, 804.</w:t>
      </w:r>
    </w:p>
    <w:p>
      <w:pPr>
        <w:pStyle w:val="ArticleBody"/>
        <w:jc w:val="left"/>
      </w:pPr>
      <w:r>
        <w:rPr>
          <w:rFonts w:ascii="Times New Roman" w:hAnsi="Times New Roman" w:eastAsia="Times New Roman" w:cs="Times New Roman"/>
        </w:rPr>
        <w:t>Mûmena meleka yekem û duyem bi tevahî bi hereketa meleka sêyem re dihevre dimeşe. Pêxemberiya ku hereketa meleka yekem û duyem hêzdar kir, bi cîbûna pêxemberiyek demê ya wêyê yekem û duyem hate hêzdarkirin; û hêzdarkirina hereketa meleka sêyem jî bi cîbûna pêxemberiyek ya wêyê sêyem hate hêzdarkirin.</w:t>
      </w:r>
    </w:p>
    <w:p>
      <w:pPr>
        <w:pStyle w:val="ArticleBody"/>
        <w:jc w:val="left"/>
      </w:pPr>
      <w:r>
        <w:rPr>
          <w:rFonts w:ascii="Times New Roman" w:hAnsi="Times New Roman" w:eastAsia="Times New Roman" w:cs="Times New Roman"/>
        </w:rPr>
        <w:t>Sika mwɔfe 11, 1840 te, bere a wɔde Future for America nkrasɛm no sii hɔ maa no yɛɛ nokware no, “nnipadɔm pii gye dii sɛ nkɔmhyɛase nkyerɛase mfitiase a Future for America faa so no yɛ pɛpɛɛpɛ,” na “wɔde ahoɔden nwonwaso bi maa Advent ahinhim no.” “Mmarima a wɔwɔ nimdeɛ ne dibea” bɔɔ wɔn ho ano ne Future for America, “ɔkasa mu ne nhoma tintim mu nyinaa,” de kaa Future for America nkɔmhyɛ nkrasɛm no. Future for America mmara pɔtee a ɛdaa no adi pefee sɛ September 11, 2001 yɛ nkɔmhyɛ mmamu no, ne “nkɔmhyɛ mmara no dwumadi mprɛnsa.”</w:t>
      </w:r>
    </w:p>
    <w:p>
      <w:pPr>
        <w:pStyle w:val="ArticleBody"/>
        <w:jc w:val="left"/>
      </w:pPr>
      <w:r>
        <w:rPr>
          <w:rFonts w:ascii="Times New Roman" w:hAnsi="Times New Roman" w:eastAsia="Times New Roman" w:cs="Times New Roman"/>
        </w:rPr>
        <w:t>چا وقتی ما دیدگاهِ بنیادیِ اسلام را دربارۀ وایِ نخست و وایِ دوم، چنان‌که بر هر دو چارٹِ مقدس نشان داده شده است، همراه با شهادتِ مکتوبِ کسانی که پیام را تعلیم دادند، می‌پذیریم، آنگاه ویژگی‌های مشخصِ نبوتیِ مربوط به وایِ نخست و وایِ دوم را بازمی‌شناسیم. کتابِ مقدس بارها و به شیوه‌های گوناگون تعلیم می‌دهد که حقیقت بر شهادتِ دو تن استوار می‌گردد. ویژگی‌های نبوتیِ وایِ نخست، در پیوند با ویژگی‌های نبوتیِ وایِ دوم، ویژگی‌های نبوتیِ وایِ سوم را تثبیت می‌کند. کاربستِ سه‌گانۀ اسلام در شناساییِ فرا رسیدنِ وایِ سوم در 11 سپتامبر 2001 چنان دقیق است که ندیدنِ آن ناممکن است، هرچند بیشتر مردم برمی‌گزینند چشمانِ خود را بر این شواهد ببندند.</w:t>
      </w:r>
    </w:p>
    <w:p>
      <w:pPr>
        <w:pStyle w:val="ArticleBody"/>
        <w:jc w:val="left"/>
      </w:pPr>
      <w:r>
        <w:rPr>
          <w:rFonts w:ascii="Times New Roman" w:hAnsi="Times New Roman" w:eastAsia="Times New Roman" w:cs="Times New Roman"/>
        </w:rPr>
        <w:t>Ni kuburongoreko gukubite gatatu kw’ubuhanuzi ni kwo kwashimangiye ko ishyano rya gatatu ryageze ku wa 11 Nzeri 2001. Ni bwo byabonetse ko iryo tegeko ryari rifitanye isano itaziguye n’ubutumwa bw’umumarayika wa kabiri, ari na bwo mu gihe cy’Abamilerite ndetse no mu gihe cy’ab’umwe ijana na mirongo ine na bane ari igihe Umwuka Wera asukwa. Ayo mateka yombi ni ugusohora kw’umugani w’abakobwa icumi, kandi muri uwo mugani ubutumwa bw’Induru yo mu Gicuku ni ho itandukaniro riri hagati y’abanyabwenge n’abapfu rigaragarira, kandi ni ho ubutumwa bw’umumarayika wa kabiri buhabwa imbaraga.</w:t>
      </w:r>
    </w:p>
    <w:p>
      <w:pPr>
        <w:pStyle w:val="ArticleScripture"/>
        <w:jc w:val="left"/>
      </w:pPr>
      <w:r>
        <w:rPr>
          <w:rFonts w:ascii="Times New Roman" w:hAnsi="Times New Roman" w:eastAsia="Times New Roman" w:cs="Times New Roman"/>
        </w:rPr>
        <w:t>«ئکینجی پەرىشتەنىڭ خەۋىرى ئاخىرلىشىشقا يېقىنلاشقاندا، مەن ئاسماندىن كېلىۋاتقان ئۇلۇغ بىر نۇرنىڭ خۇدانىڭ خەلقى ئۈستىگە چۈشۈپ يورۇپ تۇرغانلىقىنى كۆردۈم. بۇ نۇرنىڭ شۇئاللىرى قۇياشقا ئوخشاش پارلاق كۆرۈنەتتى. ۋە مەن پەرىشتىلەرنىڭ ئاۋازلىرىنى ئاڭلىدىم؛ ئۇلار: “مانا، كۈيئوغۇل كېلىۋاتىدۇ؛ سىلەر ئۇنى قارشى ئېلىشقا چىقىڭلار!” دەپ جار سالماقتا ئىدى.»</w:t>
      </w:r>
    </w:p>
    <w:p>
      <w:pPr>
        <w:pStyle w:val="ArticleScripture"/>
        <w:jc w:val="left"/>
      </w:pPr>
      <w:r>
        <w:rPr>
          <w:rFonts w:ascii="Times New Roman" w:hAnsi="Times New Roman" w:eastAsia="Times New Roman" w:cs="Times New Roman"/>
        </w:rPr>
        <w:t>“Kayqari chisiñpi artʼäwix aka taypi arum artʼäwiwa, ukax payïr angelan yatiyäwipar chʼama churäna. Angelanakax alaxpachat khitanitänwa aynachtʼat santosar sartayañataki ukhamarak jupanakar nayraqatan utjkäna uka jachʼa luräwitak wakichtʼañataki. Janiw jukʼamp yatiñan jaqinakax nayraqat aka yatiyäwi katuqirïpkänti. Angelanakax jiskʼachasiñan, katuyat jaqinakan ukar khitanitänwa, ukhamarak jupanakar artʼañapatak chʼamanchañataki: ‘Uñtapxam, Casarasirix jutaski; mistupxam Jupar katuqiri!’” Early Writings, 238.</w:t>
      </w:r>
    </w:p>
    <w:p>
      <w:pPr>
        <w:pStyle w:val="ArticleBody"/>
        <w:jc w:val="left"/>
      </w:pPr>
      <w:r>
        <w:rPr>
          <w:rFonts w:ascii="Times New Roman" w:hAnsi="Times New Roman" w:eastAsia="Times New Roman" w:cs="Times New Roman"/>
        </w:rPr>
        <w:t>Ti historia ti umuna ken maikadua nga angel, ti pannakaibukbok ti Espiritu Santo ket natungpal babaen ti Panagpukkaw iti Tengnga ti Rabii a nakikadua iti mensahe ti maikadua nga angel. Daytoy ket naulit iti historia ti maikatlo nga angel.</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ဖရိသျှတမန်များကို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ဆင်းလာသော</w:t>
      </w:r>
      <w:r>
        <w:rPr>
          <w:rFonts w:ascii="Times New Roman" w:hAnsi="Times New Roman" w:eastAsia="Times New Roman" w:cs="Times New Roman"/>
        </w:rPr>
        <w:t xml:space="preserve"> </w:t>
      </w:r>
      <w:r>
        <w:rPr>
          <w:rFonts w:ascii="Myanmar Text" w:hAnsi="Myanmar Text" w:eastAsia="Myanmar Text" w:cs="Myanmar Text"/>
        </w:rPr>
        <w:t>အင်အားကြီးသော</w:t>
      </w:r>
      <w:r>
        <w:rPr>
          <w:rFonts w:ascii="Times New Roman" w:hAnsi="Times New Roman" w:eastAsia="Times New Roman" w:cs="Times New Roman"/>
        </w:rPr>
        <w:t xml:space="preserve"> </w:t>
      </w:r>
      <w:r>
        <w:rPr>
          <w:rFonts w:ascii="Myanmar Text" w:hAnsi="Myanmar Text" w:eastAsia="Myanmar Text" w:cs="Myanmar Text"/>
        </w:rPr>
        <w:t>ကောင်းကင်တမန်အား</w:t>
      </w:r>
      <w:r>
        <w:rPr>
          <w:rFonts w:ascii="Times New Roman" w:hAnsi="Times New Roman" w:eastAsia="Times New Roman" w:cs="Times New Roman"/>
        </w:rPr>
        <w:t xml:space="preserve"> </w:t>
      </w:r>
      <w:r>
        <w:rPr>
          <w:rFonts w:ascii="Myanmar Text" w:hAnsi="Myanmar Text" w:eastAsia="Myanmar Text" w:cs="Myanmar Text"/>
        </w:rPr>
        <w:t>ကူညီရန်</w:t>
      </w:r>
      <w:r>
        <w:rPr>
          <w:rFonts w:ascii="Times New Roman" w:hAnsi="Times New Roman" w:eastAsia="Times New Roman" w:cs="Times New Roman"/>
        </w:rPr>
        <w:t xml:space="preserve"> </w:t>
      </w:r>
      <w:r>
        <w:rPr>
          <w:rFonts w:ascii="Myanmar Text" w:hAnsi="Myanmar Text" w:eastAsia="Myanmar Text" w:cs="Myanmar Text"/>
        </w:rPr>
        <w:t>စေလွှတ်တော်မူခဲ့ကြသည်။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ငါ၏လူမျိုးတို့၊</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သူမ၏အပြစ်များတွင်</w:t>
      </w:r>
      <w:r>
        <w:rPr>
          <w:rFonts w:ascii="Times New Roman" w:hAnsi="Times New Roman" w:eastAsia="Times New Roman" w:cs="Times New Roman"/>
        </w:rPr>
        <w:t xml:space="preserve"> </w:t>
      </w:r>
      <w:r>
        <w:rPr>
          <w:rFonts w:ascii="Myanmar Text" w:hAnsi="Myanmar Text" w:eastAsia="Myanmar Text" w:cs="Myanmar Text"/>
        </w:rPr>
        <w:t>အဖော်ပါသူများ</w:t>
      </w:r>
      <w:r>
        <w:rPr>
          <w:rFonts w:ascii="Times New Roman" w:hAnsi="Times New Roman" w:eastAsia="Times New Roman" w:cs="Times New Roman"/>
        </w:rPr>
        <w:t xml:space="preserve"> </w:t>
      </w:r>
      <w:r>
        <w:rPr>
          <w:rFonts w:ascii="Myanmar Text" w:hAnsi="Myanmar Text" w:eastAsia="Myanmar Text" w:cs="Myanmar Text"/>
        </w:rPr>
        <w:t>မဖြစ်ကြစေရန်နှင့်၊</w:t>
      </w:r>
      <w:r>
        <w:rPr>
          <w:rFonts w:ascii="Times New Roman" w:hAnsi="Times New Roman" w:eastAsia="Times New Roman" w:cs="Times New Roman"/>
        </w:rPr>
        <w:t xml:space="preserve"> </w:t>
      </w:r>
      <w:r>
        <w:rPr>
          <w:rFonts w:ascii="Myanmar Text" w:hAnsi="Myanmar Text" w:eastAsia="Myanmar Text" w:cs="Myanmar Text"/>
        </w:rPr>
        <w:t>သူမ၏ဘေးဒဏ်များကို</w:t>
      </w:r>
      <w:r>
        <w:rPr>
          <w:rFonts w:ascii="Times New Roman" w:hAnsi="Times New Roman" w:eastAsia="Times New Roman" w:cs="Times New Roman"/>
        </w:rPr>
        <w:t xml:space="preserve"> </w:t>
      </w:r>
      <w:r>
        <w:rPr>
          <w:rFonts w:ascii="Myanmar Text" w:hAnsi="Myanmar Text" w:eastAsia="Myanmar Text" w:cs="Myanmar Text"/>
        </w:rPr>
        <w:t>မခံယူကြစေရန်၊</w:t>
      </w:r>
      <w:r>
        <w:rPr>
          <w:rFonts w:ascii="Times New Roman" w:hAnsi="Times New Roman" w:eastAsia="Times New Roman" w:cs="Times New Roman"/>
        </w:rPr>
        <w:t xml:space="preserve"> </w:t>
      </w:r>
      <w:r>
        <w:rPr>
          <w:rFonts w:ascii="Myanmar Text" w:hAnsi="Myanmar Text" w:eastAsia="Myanmar Text" w:cs="Myanmar Text"/>
        </w:rPr>
        <w:t>သူမထံမှ</w:t>
      </w:r>
      <w:r>
        <w:rPr>
          <w:rFonts w:ascii="Times New Roman" w:hAnsi="Times New Roman" w:eastAsia="Times New Roman" w:cs="Times New Roman"/>
        </w:rPr>
        <w:t xml:space="preserve"> </w:t>
      </w:r>
      <w:r>
        <w:rPr>
          <w:rFonts w:ascii="Myanmar Text" w:hAnsi="Myanmar Text" w:eastAsia="Myanmar Text" w:cs="Myanmar Text"/>
        </w:rPr>
        <w:t>ထွက်လာကြလော့။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သူမ၏အပြစ်များသည်</w:t>
      </w:r>
      <w:r>
        <w:rPr>
          <w:rFonts w:ascii="Times New Roman" w:hAnsi="Times New Roman" w:eastAsia="Times New Roman" w:cs="Times New Roman"/>
        </w:rPr>
        <w:t xml:space="preserve"> </w:t>
      </w:r>
      <w:r>
        <w:rPr>
          <w:rFonts w:ascii="Myanmar Text" w:hAnsi="Myanmar Text" w:eastAsia="Myanmar Text" w:cs="Myanmar Text"/>
        </w:rPr>
        <w:t>ကောင်းကင်တိုင်အောင်</w:t>
      </w:r>
      <w:r>
        <w:rPr>
          <w:rFonts w:ascii="Times New Roman" w:hAnsi="Times New Roman" w:eastAsia="Times New Roman" w:cs="Times New Roman"/>
        </w:rPr>
        <w:t xml:space="preserve"> </w:t>
      </w:r>
      <w:r>
        <w:rPr>
          <w:rFonts w:ascii="Myanmar Text" w:hAnsi="Myanmar Text" w:eastAsia="Myanmar Text" w:cs="Myanmar Text"/>
        </w:rPr>
        <w:t>ရောက်ရှိလျက်ရှိပြီး၊</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သူမ၏ဒုစရိုက်များကို</w:t>
      </w:r>
      <w:r>
        <w:rPr>
          <w:rFonts w:ascii="Times New Roman" w:hAnsi="Times New Roman" w:eastAsia="Times New Roman" w:cs="Times New Roman"/>
        </w:rPr>
        <w:t xml:space="preserve"> </w:t>
      </w:r>
      <w:r>
        <w:rPr>
          <w:rFonts w:ascii="Myanmar Text" w:hAnsi="Myanmar Text" w:eastAsia="Myanmar Text" w:cs="Myanmar Text"/>
        </w:rPr>
        <w:t>အောက်မေ့တော်မူပြီ</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အသံများကို</w:t>
      </w:r>
      <w:r>
        <w:rPr>
          <w:rFonts w:ascii="Times New Roman" w:hAnsi="Times New Roman" w:eastAsia="Times New Roman" w:cs="Times New Roman"/>
        </w:rPr>
        <w:t xml:space="preserve"> </w:t>
      </w:r>
      <w:r>
        <w:rPr>
          <w:rFonts w:ascii="Myanmar Text" w:hAnsi="Myanmar Text" w:eastAsia="Myanmar Text" w:cs="Myanmar Text"/>
        </w:rPr>
        <w:t>နေရာအနှံ့အပြားမှ</w:t>
      </w:r>
      <w:r>
        <w:rPr>
          <w:rFonts w:ascii="Times New Roman" w:hAnsi="Times New Roman" w:eastAsia="Times New Roman" w:cs="Times New Roman"/>
        </w:rPr>
        <w:t xml:space="preserve"> </w:t>
      </w:r>
      <w:r>
        <w:rPr>
          <w:rFonts w:ascii="Myanmar Text" w:hAnsi="Myanmar Text" w:eastAsia="Myanmar Text" w:cs="Myanmar Text"/>
        </w:rPr>
        <w:t>ထွက်ပေါ်လာသကဲ့သို့</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ဤသတင်းစကားသည်</w:t>
      </w:r>
      <w:r>
        <w:rPr>
          <w:rFonts w:ascii="Times New Roman" w:hAnsi="Times New Roman" w:eastAsia="Times New Roman" w:cs="Times New Roman"/>
        </w:rPr>
        <w:t xml:space="preserve"> </w:t>
      </w:r>
      <w:r>
        <w:rPr>
          <w:rFonts w:ascii="Myanmar Text" w:hAnsi="Myanmar Text" w:eastAsia="Myanmar Text" w:cs="Myanmar Text"/>
        </w:rPr>
        <w:t>တတိယသတင်းစကား၏</w:t>
      </w:r>
      <w:r>
        <w:rPr>
          <w:rFonts w:ascii="Times New Roman" w:hAnsi="Times New Roman" w:eastAsia="Times New Roman" w:cs="Times New Roman"/>
        </w:rPr>
        <w:t xml:space="preserve"> </w:t>
      </w:r>
      <w:r>
        <w:rPr>
          <w:rFonts w:ascii="Myanmar Text" w:hAnsi="Myanmar Text" w:eastAsia="Myanmar Text" w:cs="Myanmar Text"/>
        </w:rPr>
        <w:t>ထပ်တိုးဖြည့်စွက်ချက်တစ်ရပ်ကဲ့သို့</w:t>
      </w:r>
      <w:r>
        <w:rPr>
          <w:rFonts w:ascii="Times New Roman" w:hAnsi="Times New Roman" w:eastAsia="Times New Roman" w:cs="Times New Roman"/>
        </w:rPr>
        <w:t xml:space="preserve"> </w:t>
      </w:r>
      <w:r>
        <w:rPr>
          <w:rFonts w:ascii="Myanmar Text" w:hAnsi="Myanmar Text" w:eastAsia="Myanmar Text" w:cs="Myanmar Text"/>
        </w:rPr>
        <w:t>ထင်ရပြီး၊</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ညသန်းခေါင်အော်ဟစ်သံသည်</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ပူးပေါင်းခဲ့သကဲ့သို့၊</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ပူးပေါင်းလျက်ရှိသည်။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ဘုန်းတော်သည်</w:t>
      </w:r>
      <w:r>
        <w:rPr>
          <w:rFonts w:ascii="Times New Roman" w:hAnsi="Times New Roman" w:eastAsia="Times New Roman" w:cs="Times New Roman"/>
        </w:rPr>
        <w:t xml:space="preserve"> </w:t>
      </w:r>
      <w:r>
        <w:rPr>
          <w:rFonts w:ascii="Myanmar Text" w:hAnsi="Myanmar Text" w:eastAsia="Myanmar Text" w:cs="Myanmar Text"/>
        </w:rPr>
        <w:t>စိတ်ရှည်စွာ</w:t>
      </w:r>
      <w:r>
        <w:rPr>
          <w:rFonts w:ascii="Times New Roman" w:hAnsi="Times New Roman" w:eastAsia="Times New Roman" w:cs="Times New Roman"/>
        </w:rPr>
        <w:t xml:space="preserve"> </w:t>
      </w:r>
      <w:r>
        <w:rPr>
          <w:rFonts w:ascii="Myanmar Text" w:hAnsi="Myanmar Text" w:eastAsia="Myanmar Text" w:cs="Myanmar Text"/>
        </w:rPr>
        <w:t>စောင့်မျှော်လျက်ရှိသော</w:t>
      </w:r>
      <w:r>
        <w:rPr>
          <w:rFonts w:ascii="Times New Roman" w:hAnsi="Times New Roman" w:eastAsia="Times New Roman" w:cs="Times New Roman"/>
        </w:rPr>
        <w:t xml:space="preserve"> </w:t>
      </w:r>
      <w:r>
        <w:rPr>
          <w:rFonts w:ascii="Myanmar Text" w:hAnsi="Myanmar Text" w:eastAsia="Myanmar Text" w:cs="Myanmar Text"/>
        </w:rPr>
        <w:t>သန့်ရှင်းသူတို့အပေါ်၌</w:t>
      </w:r>
      <w:r>
        <w:rPr>
          <w:rFonts w:ascii="Times New Roman" w:hAnsi="Times New Roman" w:eastAsia="Times New Roman" w:cs="Times New Roman"/>
        </w:rPr>
        <w:t xml:space="preserve"> </w:t>
      </w:r>
      <w:r>
        <w:rPr>
          <w:rFonts w:ascii="Myanmar Text" w:hAnsi="Myanmar Text" w:eastAsia="Myanmar Text" w:cs="Myanmar Text"/>
        </w:rPr>
        <w:t>တည်ရှိတော်မူပြီး၊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ကြောက်ရွံ့ခြင်းမရှိဘဲ</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အလွန်တရာ</w:t>
      </w:r>
      <w:r>
        <w:rPr>
          <w:rFonts w:ascii="Times New Roman" w:hAnsi="Times New Roman" w:eastAsia="Times New Roman" w:cs="Times New Roman"/>
        </w:rPr>
        <w:t xml:space="preserve"> </w:t>
      </w:r>
      <w:r>
        <w:rPr>
          <w:rFonts w:ascii="Myanmar Text" w:hAnsi="Myanmar Text" w:eastAsia="Myanmar Text" w:cs="Myanmar Text"/>
        </w:rPr>
        <w:t>ဂရုပြုရမည့်</w:t>
      </w:r>
      <w:r>
        <w:rPr>
          <w:rFonts w:ascii="Times New Roman" w:hAnsi="Times New Roman" w:eastAsia="Times New Roman" w:cs="Times New Roman"/>
        </w:rPr>
        <w:t xml:space="preserve"> </w:t>
      </w:r>
      <w:r>
        <w:rPr>
          <w:rFonts w:ascii="Myanmar Text" w:hAnsi="Myanmar Text" w:eastAsia="Myanmar Text" w:cs="Myanmar Text"/>
        </w:rPr>
        <w:t>သတိပေးချက်ကို</w:t>
      </w:r>
      <w:r>
        <w:rPr>
          <w:rFonts w:ascii="Times New Roman" w:hAnsi="Times New Roman" w:eastAsia="Times New Roman" w:cs="Times New Roman"/>
        </w:rPr>
        <w:t xml:space="preserve"> </w:t>
      </w:r>
      <w:r>
        <w:rPr>
          <w:rFonts w:ascii="Myanmar Text" w:hAnsi="Myanmar Text" w:eastAsia="Myanmar Text" w:cs="Myanmar Text"/>
        </w:rPr>
        <w:t>ထုတ်ဖော်ကြေညာကာ၊</w:t>
      </w:r>
      <w:r>
        <w:rPr>
          <w:rFonts w:ascii="Times New Roman" w:hAnsi="Times New Roman" w:eastAsia="Times New Roman" w:cs="Times New Roman"/>
        </w:rPr>
        <w:t xml:space="preserve"> </w:t>
      </w:r>
      <w:r>
        <w:rPr>
          <w:rFonts w:ascii="Myanmar Text" w:hAnsi="Myanmar Text" w:eastAsia="Myanmar Text" w:cs="Myanmar Text"/>
        </w:rPr>
        <w:t>ဘာဗေလုန်၏</w:t>
      </w:r>
      <w:r>
        <w:rPr>
          <w:rFonts w:ascii="Times New Roman" w:hAnsi="Times New Roman" w:eastAsia="Times New Roman" w:cs="Times New Roman"/>
        </w:rPr>
        <w:t xml:space="preserve"> </w:t>
      </w:r>
      <w:r>
        <w:rPr>
          <w:rFonts w:ascii="Myanmar Text" w:hAnsi="Myanmar Text" w:eastAsia="Myanmar Text" w:cs="Myanmar Text"/>
        </w:rPr>
        <w:t>လဲကျခြင်းကို</w:t>
      </w:r>
      <w:r>
        <w:rPr>
          <w:rFonts w:ascii="Times New Roman" w:hAnsi="Times New Roman" w:eastAsia="Times New Roman" w:cs="Times New Roman"/>
        </w:rPr>
        <w:t xml:space="preserve"> </w:t>
      </w:r>
      <w:r>
        <w:rPr>
          <w:rFonts w:ascii="Myanmar Text" w:hAnsi="Myanmar Text" w:eastAsia="Myanmar Text" w:cs="Myanmar Text"/>
        </w:rPr>
        <w:t>ကြေညာ၍၊</w:t>
      </w:r>
      <w:r>
        <w:rPr>
          <w:rFonts w:ascii="Times New Roman" w:hAnsi="Times New Roman" w:eastAsia="Times New Roman" w:cs="Times New Roman"/>
        </w:rPr>
        <w:t xml:space="preserve"> </w:t>
      </w:r>
      <w:r>
        <w:rPr>
          <w:rFonts w:ascii="Myanmar Text" w:hAnsi="Myanmar Text" w:eastAsia="Myanmar Text" w:cs="Myanmar Text"/>
        </w:rPr>
        <w:t>ဘုရားသခင်၏လူမျိုးတို့အား</w:t>
      </w:r>
      <w:r>
        <w:rPr>
          <w:rFonts w:ascii="Times New Roman" w:hAnsi="Times New Roman" w:eastAsia="Times New Roman" w:cs="Times New Roman"/>
        </w:rPr>
        <w:t xml:space="preserve"> </w:t>
      </w:r>
      <w:r>
        <w:rPr>
          <w:rFonts w:ascii="Myanmar Text" w:hAnsi="Myanmar Text" w:eastAsia="Myanmar Text" w:cs="Myanmar Text"/>
        </w:rPr>
        <w:t>သူမထံမှ</w:t>
      </w:r>
      <w:r>
        <w:rPr>
          <w:rFonts w:ascii="Times New Roman" w:hAnsi="Times New Roman" w:eastAsia="Times New Roman" w:cs="Times New Roman"/>
        </w:rPr>
        <w:t xml:space="preserve"> </w:t>
      </w:r>
      <w:r>
        <w:rPr>
          <w:rFonts w:ascii="Myanmar Text" w:hAnsi="Myanmar Text" w:eastAsia="Myanmar Text" w:cs="Myanmar Text"/>
        </w:rPr>
        <w:t>ထွက်လာကြရန်</w:t>
      </w:r>
      <w:r>
        <w:rPr>
          <w:rFonts w:ascii="Times New Roman" w:hAnsi="Times New Roman" w:eastAsia="Times New Roman" w:cs="Times New Roman"/>
        </w:rPr>
        <w:t xml:space="preserve"> </w:t>
      </w:r>
      <w:r>
        <w:rPr>
          <w:rFonts w:ascii="Myanmar Text" w:hAnsi="Myanmar Text" w:eastAsia="Myanmar Text" w:cs="Myanmar Text"/>
        </w:rPr>
        <w:t>ခေါ်တော်မူကြ၏။</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ကြောက်မက်ဖွယ်</w:t>
      </w:r>
      <w:r>
        <w:rPr>
          <w:rFonts w:ascii="Times New Roman" w:hAnsi="Times New Roman" w:eastAsia="Times New Roman" w:cs="Times New Roman"/>
        </w:rPr>
        <w:t xml:space="preserve"> </w:t>
      </w:r>
      <w:r>
        <w:rPr>
          <w:rFonts w:ascii="Myanmar Text" w:hAnsi="Myanmar Text" w:eastAsia="Myanmar Text" w:cs="Myanmar Text"/>
        </w:rPr>
        <w:t>အပြစ်ဒဏ်မှ</w:t>
      </w:r>
      <w:r>
        <w:rPr>
          <w:rFonts w:ascii="Times New Roman" w:hAnsi="Times New Roman" w:eastAsia="Times New Roman" w:cs="Times New Roman"/>
        </w:rPr>
        <w:t xml:space="preserve"> </w:t>
      </w:r>
      <w:r>
        <w:rPr>
          <w:rFonts w:ascii="Myanmar Text" w:hAnsi="Myanmar Text" w:eastAsia="Myanmar Text" w:cs="Myanmar Text"/>
        </w:rPr>
        <w:t>လွတ်မြောက်နိုင်ကြမည်ဖြစ်သည်</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Spiritual Gifts, volume 1, 195.</w:t>
      </w:r>
    </w:p>
    <w:p>
      <w:pPr>
        <w:pStyle w:val="ArticleBody"/>
        <w:jc w:val="left"/>
      </w:pPr>
      <w:r>
        <w:rPr>
          <w:rFonts w:ascii="Times New Roman" w:hAnsi="Times New Roman" w:eastAsia="Times New Roman" w:cs="Times New Roman"/>
        </w:rPr>
        <w:t>Agaa fuula duraafi duuba raawwii raajii keessatti, ergaan ergamaa lammaffaa raawwii raajii sadii kan agarsiisudha; sababiin isaas ergaan seenaa kam iyyuu keessatti, “Baabilon yeroo lama kufte” kan jedhu dha.</w:t>
      </w:r>
    </w:p>
    <w:p>
      <w:pPr>
        <w:pStyle w:val="ArticleScripture"/>
        <w:jc w:val="left"/>
      </w:pPr>
      <w:r>
        <w:rPr>
          <w:rFonts w:ascii="Times New Roman" w:hAnsi="Times New Roman" w:eastAsia="Times New Roman" w:cs="Times New Roman"/>
        </w:rPr>
        <w:t>Báa mi nnomaafo foforo dii akyi, na ɔkae sɛ, Babilon ahwe ase, ahwe ase, kurow kɛse no, efisɛ ɔmaa amanaman nyinaa nom n’aguaman abufuw nsa no. Adiyisɛm 14:8.</w:t>
      </w:r>
    </w:p>
    <w:p>
      <w:pPr>
        <w:pStyle w:val="ArticleBody"/>
        <w:jc w:val="left"/>
      </w:pP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11 </w:t>
      </w:r>
      <w:r>
        <w:rPr>
          <w:rFonts w:ascii="Nirmala UI" w:hAnsi="Nirmala UI" w:eastAsia="Nirmala UI" w:cs="Nirmala UI"/>
        </w:rPr>
        <w:t>अगस्त</w:t>
      </w:r>
      <w:r>
        <w:rPr>
          <w:rFonts w:ascii="Times New Roman" w:hAnsi="Times New Roman" w:eastAsia="Times New Roman" w:cs="Times New Roman"/>
        </w:rPr>
        <w:t xml:space="preserve">, 1840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अवतरण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p>
    <w:p>
      <w:pPr>
        <w:pStyle w:val="ArticleScripture"/>
        <w:jc w:val="left"/>
      </w:pPr>
      <w:r>
        <w:rPr>
          <w:rFonts w:ascii="Times New Roman" w:hAnsi="Times New Roman" w:eastAsia="Times New Roman" w:cs="Times New Roman"/>
        </w:rPr>
        <w:t>ئۇ زور بىر ئاۋاز بىلەن كۈچلۈك نىدا قىلىپ مۇنداق دېدى: «ئۇلۇغ بابىل يىقىلدى، يىقىلدى؛ ئۇ جىنلارنىڭ ماكانىغا، ھەر بىر ناپاك روھنىڭ ئۇۋىسىغا، ۋە ھەر بىر ناپاك ھەم نەپرەتلىك قۇشنىڭ قەپىسىگە ئايلاندى.» ۋەھىي 18:2.</w:t>
      </w:r>
    </w:p>
    <w:p>
      <w:pPr>
        <w:pStyle w:val="ArticleBody"/>
        <w:jc w:val="left"/>
      </w:pPr>
      <w:r>
        <w:rPr>
          <w:rFonts w:ascii="Leelawadee UI" w:hAnsi="Leelawadee UI" w:eastAsia="Leelawadee UI" w:cs="Leelawadee UI"/>
        </w:rPr>
        <w:t>บทสารของทูตสวรรค์องค์ที่สองในวิวรณ์บทที่สิบสี่</w:t>
      </w:r>
      <w:r>
        <w:rPr>
          <w:rFonts w:ascii="Times New Roman" w:hAnsi="Times New Roman" w:eastAsia="Times New Roman" w:cs="Times New Roman"/>
        </w:rPr>
        <w:t xml:space="preserve"> </w:t>
      </w:r>
      <w:r>
        <w:rPr>
          <w:rFonts w:ascii="Leelawadee UI" w:hAnsi="Leelawadee UI" w:eastAsia="Leelawadee UI" w:cs="Leelawadee UI"/>
        </w:rPr>
        <w:t>และของทูตสวรรค์ผู้ทรงฤทธิ์ในวิวรณ์บทที่สิบแปด</w:t>
      </w:r>
      <w:r>
        <w:rPr>
          <w:rFonts w:ascii="Times New Roman" w:hAnsi="Times New Roman" w:eastAsia="Times New Roman" w:cs="Times New Roman"/>
        </w:rPr>
        <w:t xml:space="preserve"> </w:t>
      </w:r>
      <w:r>
        <w:rPr>
          <w:rFonts w:ascii="Leelawadee UI" w:hAnsi="Leelawadee UI" w:eastAsia="Leelawadee UI" w:cs="Leelawadee UI"/>
        </w:rPr>
        <w:t>กำลังชี้ให้เห็นว่าบาบิโลนได้ล้มลงแล้วสองครั้ง</w:t>
      </w:r>
      <w:r>
        <w:rPr>
          <w:rFonts w:ascii="Times New Roman" w:hAnsi="Times New Roman" w:eastAsia="Times New Roman" w:cs="Times New Roman"/>
        </w:rPr>
        <w:t xml:space="preserve"> </w:t>
      </w:r>
      <w:r>
        <w:rPr>
          <w:rFonts w:ascii="Leelawadee UI" w:hAnsi="Leelawadee UI" w:eastAsia="Leelawadee UI" w:cs="Leelawadee UI"/>
        </w:rPr>
        <w:t>และบทสารนั้นกำลังระบุบาบิโลนแห่งยุคสุดท้าย</w:t>
      </w:r>
      <w:r>
        <w:rPr>
          <w:rFonts w:ascii="Times New Roman" w:hAnsi="Times New Roman" w:eastAsia="Times New Roman" w:cs="Times New Roman"/>
        </w:rPr>
        <w:t xml:space="preserve"> </w:t>
      </w:r>
      <w:r>
        <w:rPr>
          <w:rFonts w:ascii="Leelawadee UI" w:hAnsi="Leelawadee UI" w:eastAsia="Leelawadee UI" w:cs="Leelawadee UI"/>
        </w:rPr>
        <w:t>บทสารนั้นระบุบาบิโลนแห่งยุคสุดท้าย</w:t>
      </w:r>
      <w:r>
        <w:rPr>
          <w:rFonts w:ascii="Times New Roman" w:hAnsi="Times New Roman" w:eastAsia="Times New Roman" w:cs="Times New Roman"/>
        </w:rPr>
        <w:t xml:space="preserve"> </w:t>
      </w:r>
      <w:r>
        <w:rPr>
          <w:rFonts w:ascii="Leelawadee UI" w:hAnsi="Leelawadee UI" w:eastAsia="Leelawadee UI" w:cs="Leelawadee UI"/>
        </w:rPr>
        <w:t>เพราะการที่บาบิโลนได้ล้มลงมาก่อนหน้านั้นสองครั้ง</w:t>
      </w:r>
      <w:r>
        <w:rPr>
          <w:rFonts w:ascii="Times New Roman" w:hAnsi="Times New Roman" w:eastAsia="Times New Roman" w:cs="Times New Roman"/>
        </w:rPr>
        <w:t xml:space="preserve"> </w:t>
      </w:r>
      <w:r>
        <w:rPr>
          <w:rFonts w:ascii="Leelawadee UI" w:hAnsi="Leelawadee UI" w:eastAsia="Leelawadee UI" w:cs="Leelawadee UI"/>
        </w:rPr>
        <w:t>คือในสมัยของนิมโรด</w:t>
      </w:r>
      <w:r>
        <w:rPr>
          <w:rFonts w:ascii="Times New Roman" w:hAnsi="Times New Roman" w:eastAsia="Times New Roman" w:cs="Times New Roman"/>
        </w:rPr>
        <w:t xml:space="preserve"> </w:t>
      </w:r>
      <w:r>
        <w:rPr>
          <w:rFonts w:ascii="Leelawadee UI" w:hAnsi="Leelawadee UI" w:eastAsia="Leelawadee UI" w:cs="Leelawadee UI"/>
        </w:rPr>
        <w:t>และในสมัยของเนบูคัดเนสซาร์จนถึงเบลชัสซาร์</w:t>
      </w:r>
      <w:r>
        <w:rPr>
          <w:rFonts w:ascii="Times New Roman" w:hAnsi="Times New Roman" w:eastAsia="Times New Roman" w:cs="Times New Roman"/>
        </w:rPr>
        <w:t xml:space="preserve"> </w:t>
      </w:r>
      <w:r>
        <w:rPr>
          <w:rFonts w:ascii="Leelawadee UI" w:hAnsi="Leelawadee UI" w:eastAsia="Leelawadee UI" w:cs="Leelawadee UI"/>
        </w:rPr>
        <w:t>ได้สถาปนาลักษณะเชิงพยากรณ์ของการล้มลงของหญิงแพศยาในวิวรณ์บทที่สิบเจ็ด</w:t>
      </w:r>
      <w:r>
        <w:rPr>
          <w:rFonts w:ascii="Times New Roman" w:hAnsi="Times New Roman" w:eastAsia="Times New Roman" w:cs="Times New Roman"/>
        </w:rPr>
        <w:t xml:space="preserve"> </w:t>
      </w:r>
      <w:r>
        <w:rPr>
          <w:rFonts w:ascii="Leelawadee UI" w:hAnsi="Leelawadee UI" w:eastAsia="Leelawadee UI" w:cs="Leelawadee UI"/>
        </w:rPr>
        <w:t>ผู้ซึ่งมีข้อความเขียนไว้ที่หน้าผากของนางว่า</w:t>
      </w:r>
      <w:r>
        <w:rPr>
          <w:rFonts w:ascii="Times New Roman" w:hAnsi="Times New Roman" w:eastAsia="Times New Roman" w:cs="Times New Roman"/>
        </w:rPr>
        <w:t xml:space="preserve"> “</w:t>
      </w:r>
      <w:r>
        <w:rPr>
          <w:rFonts w:ascii="Leelawadee UI" w:hAnsi="Leelawadee UI" w:eastAsia="Leelawadee UI" w:cs="Leelawadee UI"/>
        </w:rPr>
        <w:t>บาบิโลนมหานคร</w:t>
      </w:r>
      <w:r>
        <w:rPr>
          <w:rFonts w:ascii="Times New Roman" w:hAnsi="Times New Roman" w:eastAsia="Times New Roman" w:cs="Times New Roman"/>
        </w:rPr>
        <w:t xml:space="preserve">” </w:t>
      </w:r>
      <w:r>
        <w:rPr>
          <w:rFonts w:ascii="Leelawadee UI" w:hAnsi="Leelawadee UI" w:eastAsia="Leelawadee UI" w:cs="Leelawadee UI"/>
        </w:rPr>
        <w:t>การจะระบุการล้มลงของบาบิโลนครั้งนั้นในยุคสุดท้าย</w:t>
      </w:r>
      <w:r>
        <w:rPr>
          <w:rFonts w:ascii="Times New Roman" w:hAnsi="Times New Roman" w:eastAsia="Times New Roman" w:cs="Times New Roman"/>
        </w:rPr>
        <w:t xml:space="preserve"> </w:t>
      </w:r>
      <w:r>
        <w:rPr>
          <w:rFonts w:ascii="Leelawadee UI" w:hAnsi="Leelawadee UI" w:eastAsia="Leelawadee UI" w:cs="Leelawadee UI"/>
        </w:rPr>
        <w:t>จำเป็นต้องอาศัยพยานสองปากแห่งการล้มลงของบาบิโลนสองครั้งก่อนหน้านั้น</w:t>
      </w:r>
      <w:r>
        <w:rPr>
          <w:rFonts w:ascii="Times New Roman" w:hAnsi="Times New Roman" w:eastAsia="Times New Roman" w:cs="Times New Roman"/>
        </w:rPr>
        <w:t xml:space="preserve"> </w:t>
      </w:r>
      <w:r>
        <w:rPr>
          <w:rFonts w:ascii="Leelawadee UI" w:hAnsi="Leelawadee UI" w:eastAsia="Leelawadee UI" w:cs="Leelawadee UI"/>
        </w:rPr>
        <w:t>เพราะบทสารแห่งยุคสุดท้ายคือ</w:t>
      </w:r>
      <w:r>
        <w:rPr>
          <w:rFonts w:ascii="Times New Roman" w:hAnsi="Times New Roman" w:eastAsia="Times New Roman" w:cs="Times New Roman"/>
        </w:rPr>
        <w:t xml:space="preserve"> “</w:t>
      </w:r>
      <w:r>
        <w:rPr>
          <w:rFonts w:ascii="Leelawadee UI" w:hAnsi="Leelawadee UI" w:eastAsia="Leelawadee UI" w:cs="Leelawadee UI"/>
        </w:rPr>
        <w:t>บาบิโลนล้มลงแล้ว</w:t>
      </w:r>
      <w:r>
        <w:rPr>
          <w:rFonts w:ascii="Times New Roman" w:hAnsi="Times New Roman" w:eastAsia="Times New Roman" w:cs="Times New Roman"/>
        </w:rPr>
        <w:t xml:space="preserve"> </w:t>
      </w:r>
      <w:r>
        <w:rPr>
          <w:rFonts w:ascii="Leelawadee UI" w:hAnsi="Leelawadee UI" w:eastAsia="Leelawadee UI" w:cs="Leelawadee UI"/>
        </w:rPr>
        <w:t>ล้มลงแล้ว</w:t>
      </w:r>
      <w:r>
        <w:rPr>
          <w:rFonts w:ascii="Times New Roman" w:hAnsi="Times New Roman" w:eastAsia="Times New Roman" w:cs="Times New Roman"/>
        </w:rPr>
        <w:t xml:space="preserve">” </w:t>
      </w:r>
      <w:r>
        <w:rPr>
          <w:rFonts w:ascii="Leelawadee UI" w:hAnsi="Leelawadee UI" w:eastAsia="Leelawadee UI" w:cs="Leelawadee UI"/>
        </w:rPr>
        <w:t>เมื่อทูตสวรรค์ผู้ทรงฤทธิ์เสด็จลงมา</w:t>
      </w:r>
      <w:r>
        <w:rPr>
          <w:rFonts w:ascii="Times New Roman" w:hAnsi="Times New Roman" w:eastAsia="Times New Roman" w:cs="Times New Roman"/>
        </w:rPr>
        <w:t xml:space="preserve"> </w:t>
      </w:r>
      <w:r>
        <w:rPr>
          <w:rFonts w:ascii="Leelawadee UI" w:hAnsi="Leelawadee UI" w:eastAsia="Leelawadee UI" w:cs="Leelawadee UI"/>
        </w:rPr>
        <w:t>ในเวลาที่อาคารใหญ่โตทั้งหลายของนครนิวยอร์กถูกทำให้พังทลายลงด้วยการแตะต้องของพระเจ้า</w:t>
      </w:r>
      <w:r>
        <w:rPr>
          <w:rFonts w:ascii="Times New Roman" w:hAnsi="Times New Roman" w:eastAsia="Times New Roman" w:cs="Times New Roman"/>
        </w:rPr>
        <w:t xml:space="preserve"> </w:t>
      </w:r>
      <w:r>
        <w:rPr>
          <w:rFonts w:ascii="Leelawadee UI" w:hAnsi="Leelawadee UI" w:eastAsia="Leelawadee UI" w:cs="Leelawadee UI"/>
        </w:rPr>
        <w:t>โดยคำประกาศของพระองค์</w:t>
      </w:r>
      <w:r>
        <w:rPr>
          <w:rFonts w:ascii="Times New Roman" w:hAnsi="Times New Roman" w:eastAsia="Times New Roman" w:cs="Times New Roman"/>
        </w:rPr>
        <w:t xml:space="preserve"> </w:t>
      </w:r>
      <w:r>
        <w:rPr>
          <w:rFonts w:ascii="Leelawadee UI" w:hAnsi="Leelawadee UI" w:eastAsia="Leelawadee UI" w:cs="Leelawadee UI"/>
        </w:rPr>
        <w:t>พระองค์ทรงชี้ให้เห็นกฎแห่งการประยุกต์ใช้คำพยากรณ์สามชั้น</w:t>
      </w:r>
      <w:r>
        <w:rPr>
          <w:rFonts w:ascii="Times New Roman" w:hAnsi="Times New Roman" w:eastAsia="Times New Roman" w:cs="Times New Roman"/>
        </w:rPr>
        <w:t xml:space="preserve"> </w:t>
      </w:r>
      <w:r>
        <w:rPr>
          <w:rFonts w:ascii="Leelawadee UI" w:hAnsi="Leelawadee UI" w:eastAsia="Leelawadee UI" w:cs="Leelawadee UI"/>
        </w:rPr>
        <w:t>การประยุกต์ใช้คำพยากรณ์สามชั้นซึ่งสถาปนาวันที่</w:t>
      </w:r>
      <w:r>
        <w:rPr>
          <w:rFonts w:ascii="Times New Roman" w:hAnsi="Times New Roman" w:eastAsia="Times New Roman" w:cs="Times New Roman"/>
        </w:rPr>
        <w:t xml:space="preserve"> 11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ให้เป็นความสำเร็จครบถ้วนของพระวจนะพยากรณ์ของพระเจ้า</w:t>
      </w:r>
      <w:r>
        <w:rPr>
          <w:rFonts w:ascii="Times New Roman" w:hAnsi="Times New Roman" w:eastAsia="Times New Roman" w:cs="Times New Roman"/>
        </w:rPr>
        <w:t xml:space="preserve"> </w:t>
      </w:r>
      <w:r>
        <w:rPr>
          <w:rFonts w:ascii="Leelawadee UI" w:hAnsi="Leelawadee UI" w:eastAsia="Leelawadee UI" w:cs="Leelawadee UI"/>
        </w:rPr>
        <w:t>ก็คือการประยุกต์ใช้สามชั้นของวิบัติทั้งสามประการ</w:t>
      </w:r>
    </w:p>
    <w:p>
      <w:pPr>
        <w:pStyle w:val="ArticleBody"/>
        <w:jc w:val="left"/>
      </w:pPr>
      <w:r>
        <w:rPr>
          <w:rFonts w:ascii="Times New Roman" w:hAnsi="Times New Roman" w:eastAsia="Times New Roman" w:cs="Times New Roman"/>
        </w:rPr>
        <w:t>Ukwo kuzalisekiseka kwafumela benshi kwinjira mu rwego rwa Future for America, kandi bemera amahame y’isesengura ry’ubuhanuzi yari yarakoreshejwe na Future for America. Ku wa 11 Kanama 1840 harisubiwemo, kandi muri uko gusubiramo ntibyemeje itegeko ry’ibanze rya Miller, ari ryo ko umunsi uhagararira umwaka mu buhanuzi bwa Bibiliya, kuko itegeko ry’ibanze rya Future for America ryari uko amateka y’Abamillerite y’ubutumwa bw’umumarayika wa mbere n’ubw’umumarayika wa kabiri asubirwamo mu mateka y’umuryango w’ubutumwa bw’umumarayika wa gatatu.</w:t>
      </w:r>
    </w:p>
    <w:p>
      <w:pPr>
        <w:pStyle w:val="ArticleBody"/>
        <w:jc w:val="left"/>
      </w:pPr>
      <w:r>
        <w:rPr>
          <w:rFonts w:ascii="Nirmala UI" w:hAnsi="Nirmala UI" w:eastAsia="Nirmala UI" w:cs="Nirmala UI"/>
        </w:rPr>
        <w:t>ఎలాగో</w:t>
      </w:r>
      <w:r>
        <w:rPr>
          <w:rFonts w:ascii="Times New Roman" w:hAnsi="Times New Roman" w:eastAsia="Times New Roman" w:cs="Times New Roman"/>
        </w:rPr>
        <w:t xml:space="preserve"> </w:t>
      </w:r>
      <w:r>
        <w:rPr>
          <w:rFonts w:ascii="Nirmala UI" w:hAnsi="Nirmala UI" w:eastAsia="Nirmala UI" w:cs="Nirmala UI"/>
        </w:rPr>
        <w:t>స్వయంప్రకాశమైన</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కనిపించుచున్నది</w:t>
      </w:r>
      <w:r>
        <w:rPr>
          <w:rFonts w:ascii="Times New Roman" w:hAnsi="Times New Roman" w:eastAsia="Times New Roman" w:cs="Times New Roman"/>
        </w:rPr>
        <w:t xml:space="preserve">: 1840 </w:t>
      </w:r>
      <w:r>
        <w:rPr>
          <w:rFonts w:ascii="Nirmala UI" w:hAnsi="Nirmala UI" w:eastAsia="Nirmala UI" w:cs="Nirmala UI"/>
        </w:rPr>
        <w:t>సంవత్సరం</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సాతానిక</w:t>
      </w:r>
      <w:r>
        <w:rPr>
          <w:rFonts w:ascii="Times New Roman" w:hAnsi="Times New Roman" w:eastAsia="Times New Roman" w:cs="Times New Roman"/>
        </w:rPr>
        <w:t xml:space="preserve"> </w:t>
      </w:r>
      <w:r>
        <w:rPr>
          <w:rFonts w:ascii="Nirmala UI" w:hAnsi="Nirmala UI" w:eastAsia="Nirmala UI" w:cs="Nirmala UI"/>
        </w:rPr>
        <w:t>మహిమకు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నిర్దిష్ట</w:t>
      </w:r>
      <w:r>
        <w:rPr>
          <w:rFonts w:ascii="Times New Roman" w:hAnsi="Times New Roman" w:eastAsia="Times New Roman" w:cs="Times New Roman"/>
        </w:rPr>
        <w:t xml:space="preserve"> </w:t>
      </w:r>
      <w:r>
        <w:rPr>
          <w:rFonts w:ascii="Nirmala UI" w:hAnsi="Nirmala UI" w:eastAsia="Nirmala UI" w:cs="Nirmala UI"/>
        </w:rPr>
        <w:t>దాడిగా</w:t>
      </w:r>
      <w:r>
        <w:rPr>
          <w:rFonts w:ascii="Times New Roman" w:hAnsi="Times New Roman" w:eastAsia="Times New Roman" w:cs="Times New Roman"/>
        </w:rPr>
        <w:t xml:space="preserve"> </w:t>
      </w:r>
      <w:r>
        <w:rPr>
          <w:rFonts w:ascii="Nirmala UI" w:hAnsi="Nirmala UI" w:eastAsia="Nirmala UI" w:cs="Nirmala UI"/>
        </w:rPr>
        <w:t>మారినయెడల</w:t>
      </w:r>
      <w:r>
        <w:rPr>
          <w:rFonts w:ascii="Times New Roman" w:hAnsi="Times New Roman" w:eastAsia="Times New Roman" w:cs="Times New Roman"/>
        </w:rPr>
        <w:t xml:space="preserve">, </w:t>
      </w: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సాతానుని</w:t>
      </w:r>
      <w:r>
        <w:rPr>
          <w:rFonts w:ascii="Times New Roman" w:hAnsi="Times New Roman" w:eastAsia="Times New Roman" w:cs="Times New Roman"/>
        </w:rPr>
        <w:t xml:space="preserve"> </w:t>
      </w:r>
      <w:r>
        <w:rPr>
          <w:rFonts w:ascii="Nirmala UI" w:hAnsi="Nirmala UI" w:eastAsia="Nirmala UI" w:cs="Nirmala UI"/>
        </w:rPr>
        <w:t>అలా</w:t>
      </w:r>
      <w:r>
        <w:rPr>
          <w:rFonts w:ascii="Times New Roman" w:hAnsi="Times New Roman" w:eastAsia="Times New Roman" w:cs="Times New Roman"/>
        </w:rPr>
        <w:t xml:space="preserve"> </w:t>
      </w:r>
      <w:r>
        <w:rPr>
          <w:rFonts w:ascii="Nirmala UI" w:hAnsi="Nirmala UI" w:eastAsia="Nirmala UI" w:cs="Nirmala UI"/>
        </w:rPr>
        <w:t>గుర్తించుచున్న</w:t>
      </w:r>
      <w:r>
        <w:rPr>
          <w:rFonts w:ascii="Times New Roman" w:hAnsi="Times New Roman" w:eastAsia="Times New Roman" w:cs="Times New Roman"/>
        </w:rPr>
        <w:t xml:space="preserve"> </w:t>
      </w:r>
      <w:r>
        <w:rPr>
          <w:rFonts w:ascii="Nirmala UI" w:hAnsi="Nirmala UI" w:eastAsia="Nirmala UI" w:cs="Nirmala UI"/>
        </w:rPr>
        <w:t>ప్రకారమే</w:t>
      </w:r>
      <w:r>
        <w:rPr>
          <w:rFonts w:ascii="Times New Roman" w:hAnsi="Times New Roman" w:eastAsia="Times New Roman" w:cs="Times New Roman"/>
        </w:rPr>
        <w:t xml:space="preserve">, 2001 </w:t>
      </w:r>
      <w:r>
        <w:rPr>
          <w:rFonts w:ascii="Nirmala UI" w:hAnsi="Nirmala UI" w:eastAsia="Nirmala UI" w:cs="Nirmala UI"/>
        </w:rPr>
        <w:t>సెప్టెంబరు</w:t>
      </w:r>
      <w:r>
        <w:rPr>
          <w:rFonts w:ascii="Times New Roman" w:hAnsi="Times New Roman" w:eastAsia="Times New Roman" w:cs="Times New Roman"/>
        </w:rPr>
        <w:t xml:space="preserve"> 11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విధమైన</w:t>
      </w:r>
      <w:r>
        <w:rPr>
          <w:rFonts w:ascii="Times New Roman" w:hAnsi="Times New Roman" w:eastAsia="Times New Roman" w:cs="Times New Roman"/>
        </w:rPr>
        <w:t xml:space="preserve"> </w:t>
      </w:r>
      <w:r>
        <w:rPr>
          <w:rFonts w:ascii="Nirmala UI" w:hAnsi="Nirmala UI" w:eastAsia="Nirmala UI" w:cs="Nirmala UI"/>
        </w:rPr>
        <w:t>దాడికి</w:t>
      </w:r>
      <w:r>
        <w:rPr>
          <w:rFonts w:ascii="Times New Roman" w:hAnsi="Times New Roman" w:eastAsia="Times New Roman" w:cs="Times New Roman"/>
        </w:rPr>
        <w:t xml:space="preserve"> </w:t>
      </w:r>
      <w:r>
        <w:rPr>
          <w:rFonts w:ascii="Nirmala UI" w:hAnsi="Nirmala UI" w:eastAsia="Nirmala UI" w:cs="Nirmala UI"/>
        </w:rPr>
        <w:t>లోబడినదై</w:t>
      </w:r>
      <w:r>
        <w:rPr>
          <w:rFonts w:ascii="Times New Roman" w:hAnsi="Times New Roman" w:eastAsia="Times New Roman" w:cs="Times New Roman"/>
        </w:rPr>
        <w:t xml:space="preserve"> </w:t>
      </w:r>
      <w:r>
        <w:rPr>
          <w:rFonts w:ascii="Nirmala UI" w:hAnsi="Nirmala UI" w:eastAsia="Nirmala UI" w:cs="Nirmala UI"/>
        </w:rPr>
        <w:t>యుండవలెను</w:t>
      </w:r>
      <w:r>
        <w:rPr>
          <w:rFonts w:ascii="Times New Roman" w:hAnsi="Times New Roman" w:eastAsia="Times New Roman" w:cs="Times New Roman"/>
        </w:rPr>
        <w:t xml:space="preserve">. </w:t>
      </w:r>
      <w:r>
        <w:rPr>
          <w:rFonts w:ascii="Nirmala UI" w:hAnsi="Nirmala UI" w:eastAsia="Nirmala UI" w:cs="Nirmala UI"/>
        </w:rPr>
        <w:t>అందుచేత</w:t>
      </w:r>
      <w:r>
        <w:rPr>
          <w:rFonts w:ascii="Times New Roman" w:hAnsi="Times New Roman" w:eastAsia="Times New Roman" w:cs="Times New Roman"/>
        </w:rPr>
        <w:t xml:space="preserve">, </w:t>
      </w:r>
      <w:r>
        <w:rPr>
          <w:rFonts w:ascii="Nirmala UI" w:hAnsi="Nirmala UI" w:eastAsia="Nirmala UI" w:cs="Nirmala UI"/>
        </w:rPr>
        <w:t>గ్లోబలిస్టుల</w:t>
      </w:r>
      <w:r>
        <w:rPr>
          <w:rFonts w:ascii="Times New Roman" w:hAnsi="Times New Roman" w:eastAsia="Times New Roman" w:cs="Times New Roman"/>
        </w:rPr>
        <w:t xml:space="preserve"> </w:t>
      </w:r>
      <w:r>
        <w:rPr>
          <w:rFonts w:ascii="Nirmala UI" w:hAnsi="Nirmala UI" w:eastAsia="Nirmala UI" w:cs="Nirmala UI"/>
        </w:rPr>
        <w:t>పాత్రనో</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జెస్యూట్లనో</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సి</w:t>
      </w:r>
      <w:r>
        <w:rPr>
          <w:rFonts w:ascii="Times New Roman" w:hAnsi="Times New Roman" w:eastAsia="Times New Roman" w:cs="Times New Roman"/>
        </w:rPr>
        <w:t>.</w:t>
      </w:r>
      <w:r>
        <w:rPr>
          <w:rFonts w:ascii="Nirmala UI" w:hAnsi="Nirmala UI" w:eastAsia="Nirmala UI" w:cs="Nirmala UI"/>
        </w:rPr>
        <w:t>ఐ</w:t>
      </w:r>
      <w:r>
        <w:rPr>
          <w:rFonts w:ascii="Times New Roman" w:hAnsi="Times New Roman" w:eastAsia="Times New Roman" w:cs="Times New Roman"/>
        </w:rPr>
        <w:t>.</w:t>
      </w:r>
      <w:r>
        <w:rPr>
          <w:rFonts w:ascii="Nirmala UI" w:hAnsi="Nirmala UI" w:eastAsia="Nirmala UI" w:cs="Nirmala UI"/>
        </w:rPr>
        <w:t>ఎ</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బుష్</w:t>
      </w:r>
      <w:r>
        <w:rPr>
          <w:rFonts w:ascii="Times New Roman" w:hAnsi="Times New Roman" w:eastAsia="Times New Roman" w:cs="Times New Roman"/>
        </w:rPr>
        <w:t xml:space="preserve"> </w:t>
      </w:r>
      <w:r>
        <w:rPr>
          <w:rFonts w:ascii="Nirmala UI" w:hAnsi="Nirmala UI" w:eastAsia="Nirmala UI" w:cs="Nirmala UI"/>
        </w:rPr>
        <w:t>కుటుంబాన్నో</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శక్తులలో</w:t>
      </w:r>
      <w:r>
        <w:rPr>
          <w:rFonts w:ascii="Times New Roman" w:hAnsi="Times New Roman" w:eastAsia="Times New Roman" w:cs="Times New Roman"/>
        </w:rPr>
        <w:t xml:space="preserve"> </w:t>
      </w:r>
      <w:r>
        <w:rPr>
          <w:rFonts w:ascii="Nirmala UI" w:hAnsi="Nirmala UI" w:eastAsia="Nirmala UI" w:cs="Nirmala UI"/>
        </w:rPr>
        <w:t>ఏదో</w:t>
      </w:r>
      <w:r>
        <w:rPr>
          <w:rFonts w:ascii="Times New Roman" w:hAnsi="Times New Roman" w:eastAsia="Times New Roman" w:cs="Times New Roman"/>
        </w:rPr>
        <w:t xml:space="preserve"> </w:t>
      </w:r>
      <w:r>
        <w:rPr>
          <w:rFonts w:ascii="Nirmala UI" w:hAnsi="Nirmala UI" w:eastAsia="Nirmala UI" w:cs="Nirmala UI"/>
        </w:rPr>
        <w:t>కలయికనో</w:t>
      </w:r>
      <w:r>
        <w:rPr>
          <w:rFonts w:ascii="Times New Roman" w:hAnsi="Times New Roman" w:eastAsia="Times New Roman" w:cs="Times New Roman"/>
        </w:rPr>
        <w:t xml:space="preserve"> </w:t>
      </w:r>
      <w:r>
        <w:rPr>
          <w:rFonts w:ascii="Nirmala UI" w:hAnsi="Nirmala UI" w:eastAsia="Nirmala UI" w:cs="Nirmala UI"/>
        </w:rPr>
        <w:t>గుర్తించు</w:t>
      </w:r>
      <w:r>
        <w:rPr>
          <w:rFonts w:ascii="Times New Roman" w:hAnsi="Times New Roman" w:eastAsia="Times New Roman" w:cs="Times New Roman"/>
        </w:rPr>
        <w:t xml:space="preserve"> </w:t>
      </w:r>
      <w:r>
        <w:rPr>
          <w:rFonts w:ascii="Nirmala UI" w:hAnsi="Nirmala UI" w:eastAsia="Nirmala UI" w:cs="Nirmala UI"/>
        </w:rPr>
        <w:t>కుట్రసిద్ధాంతములను</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కనుగొనుచున్నాము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సిద్ధాంతములు</w:t>
      </w:r>
      <w:r>
        <w:rPr>
          <w:rFonts w:ascii="Times New Roman" w:hAnsi="Times New Roman" w:eastAsia="Times New Roman" w:cs="Times New Roman"/>
        </w:rPr>
        <w:t xml:space="preserve">, </w:t>
      </w:r>
      <w:r>
        <w:rPr>
          <w:rFonts w:ascii="Nirmala UI" w:hAnsi="Nirmala UI" w:eastAsia="Nirmala UI" w:cs="Nirmala UI"/>
        </w:rPr>
        <w:t>కొంత</w:t>
      </w:r>
      <w:r>
        <w:rPr>
          <w:rFonts w:ascii="Times New Roman" w:hAnsi="Times New Roman" w:eastAsia="Times New Roman" w:cs="Times New Roman"/>
        </w:rPr>
        <w:t xml:space="preserve"> </w:t>
      </w:r>
      <w:r>
        <w:rPr>
          <w:rFonts w:ascii="Nirmala UI" w:hAnsi="Nirmala UI" w:eastAsia="Nirmala UI" w:cs="Nirmala UI"/>
        </w:rPr>
        <w:t>సత్యాంశములను</w:t>
      </w:r>
      <w:r>
        <w:rPr>
          <w:rFonts w:ascii="Times New Roman" w:hAnsi="Times New Roman" w:eastAsia="Times New Roman" w:cs="Times New Roman"/>
        </w:rPr>
        <w:t xml:space="preserve"> </w:t>
      </w:r>
      <w:r>
        <w:rPr>
          <w:rFonts w:ascii="Nirmala UI" w:hAnsi="Nirmala UI" w:eastAsia="Nirmala UI" w:cs="Nirmala UI"/>
        </w:rPr>
        <w:t>కలిగియున్నప్పటికిని</w:t>
      </w:r>
      <w:r>
        <w:rPr>
          <w:rFonts w:ascii="Times New Roman" w:hAnsi="Times New Roman" w:eastAsia="Times New Roman" w:cs="Times New Roman"/>
        </w:rPr>
        <w:t xml:space="preserve">, </w:t>
      </w:r>
      <w:r>
        <w:rPr>
          <w:rFonts w:ascii="Nirmala UI" w:hAnsi="Nirmala UI" w:eastAsia="Nirmala UI" w:cs="Nirmala UI"/>
        </w:rPr>
        <w:t>న్యూయార్కు</w:t>
      </w:r>
      <w:r>
        <w:rPr>
          <w:rFonts w:ascii="Times New Roman" w:hAnsi="Times New Roman" w:eastAsia="Times New Roman" w:cs="Times New Roman"/>
        </w:rPr>
        <w:t xml:space="preserve"> </w:t>
      </w:r>
      <w:r>
        <w:rPr>
          <w:rFonts w:ascii="Nirmala UI" w:hAnsi="Nirmala UI" w:eastAsia="Nirmala UI" w:cs="Nirmala UI"/>
        </w:rPr>
        <w:t>నగరంలోని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w:t>
      </w:r>
      <w:r>
        <w:rPr>
          <w:rFonts w:ascii="Times New Roman" w:hAnsi="Times New Roman" w:eastAsia="Times New Roman" w:cs="Times New Roman"/>
        </w:rPr>
        <w:t xml:space="preserve"> </w:t>
      </w:r>
      <w:r>
        <w:rPr>
          <w:rFonts w:ascii="Nirmala UI" w:hAnsi="Nirmala UI" w:eastAsia="Nirmala UI" w:cs="Nirmala UI"/>
        </w:rPr>
        <w:t>భవనములను</w:t>
      </w:r>
      <w:r>
        <w:rPr>
          <w:rFonts w:ascii="Times New Roman" w:hAnsi="Times New Roman" w:eastAsia="Times New Roman" w:cs="Times New Roman"/>
        </w:rPr>
        <w:t xml:space="preserve"> </w:t>
      </w:r>
      <w:r>
        <w:rPr>
          <w:rFonts w:ascii="Nirmala UI" w:hAnsi="Nirmala UI" w:eastAsia="Nirmala UI" w:cs="Nirmala UI"/>
        </w:rPr>
        <w:t>కూలదోయించినది</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స్పర్శయే</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w:t>
      </w:r>
      <w:r>
        <w:rPr>
          <w:rFonts w:ascii="Times New Roman" w:hAnsi="Times New Roman" w:eastAsia="Times New Roman" w:cs="Times New Roman"/>
        </w:rPr>
        <w:t xml:space="preserve"> </w:t>
      </w:r>
      <w:r>
        <w:rPr>
          <w:rFonts w:ascii="Nirmala UI" w:hAnsi="Nirmala UI" w:eastAsia="Nirmala UI" w:cs="Nirmala UI"/>
        </w:rPr>
        <w:t>భావనను</w:t>
      </w:r>
      <w:r>
        <w:rPr>
          <w:rFonts w:ascii="Times New Roman" w:hAnsi="Times New Roman" w:eastAsia="Times New Roman" w:cs="Times New Roman"/>
        </w:rPr>
        <w:t xml:space="preserve"> </w:t>
      </w:r>
      <w:r>
        <w:rPr>
          <w:rFonts w:ascii="Nirmala UI" w:hAnsi="Nirmala UI" w:eastAsia="Nirmala UI" w:cs="Nirmala UI"/>
        </w:rPr>
        <w:t>ఖండించుటకై</w:t>
      </w:r>
      <w:r>
        <w:rPr>
          <w:rFonts w:ascii="Times New Roman" w:hAnsi="Times New Roman" w:eastAsia="Times New Roman" w:cs="Times New Roman"/>
        </w:rPr>
        <w:t xml:space="preserve"> </w:t>
      </w:r>
      <w:r>
        <w:rPr>
          <w:rFonts w:ascii="Nirmala UI" w:hAnsi="Nirmala UI" w:eastAsia="Nirmala UI" w:cs="Nirmala UI"/>
        </w:rPr>
        <w:t>రూపకల్పన</w:t>
      </w:r>
      <w:r>
        <w:rPr>
          <w:rFonts w:ascii="Times New Roman" w:hAnsi="Times New Roman" w:eastAsia="Times New Roman" w:cs="Times New Roman"/>
        </w:rPr>
        <w:t xml:space="preserve"> </w:t>
      </w:r>
      <w:r>
        <w:rPr>
          <w:rFonts w:ascii="Nirmala UI" w:hAnsi="Nirmala UI" w:eastAsia="Nirmala UI" w:cs="Nirmala UI"/>
        </w:rPr>
        <w:t>చేయబడియున్నవి</w:t>
      </w:r>
      <w:r>
        <w:rPr>
          <w:rFonts w:ascii="Times New Roman" w:hAnsi="Times New Roman" w:eastAsia="Times New Roman" w:cs="Times New Roman"/>
        </w:rPr>
        <w:t xml:space="preserve">; </w:t>
      </w:r>
      <w:r>
        <w:rPr>
          <w:rFonts w:ascii="Nirmala UI" w:hAnsi="Nirmala UI" w:eastAsia="Nirmala UI" w:cs="Nirmala UI"/>
        </w:rPr>
        <w:t>తద్వారా</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శాపము</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ఉద్యమ</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ప్రవేశించినదని</w:t>
      </w:r>
      <w:r>
        <w:rPr>
          <w:rFonts w:ascii="Times New Roman" w:hAnsi="Times New Roman" w:eastAsia="Times New Roman" w:cs="Times New Roman"/>
        </w:rPr>
        <w:t xml:space="preserve"> </w:t>
      </w:r>
      <w:r>
        <w:rPr>
          <w:rFonts w:ascii="Nirmala UI" w:hAnsi="Nirmala UI" w:eastAsia="Nirmala UI" w:cs="Nirmala UI"/>
        </w:rPr>
        <w:t>సూచించబడెను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«ئەستا ئەو وشەیە دێت کە من ڕاگەیاندووە نیویۆرک دەبێت بە شەپۆلێکی گەورە پاک بکرێتەوە؟ ئەمە هەرگیز من نەوتووە. من وتووم، کاتێک سەیری ئەو بینا گەورانە دەکرد کە لەوێ چینی دوای چین بەرز دەبوونەوە، “چەند دیمەنێکی ترسناک ڕوودەدات کاتێک یەزدان هەڵدەستێت بۆ ئەوەی زەوی بە شێوەیەکی ترسناک بلەرزێنێت! ئەوسا وشەکانی ئاشکراکردنەوە 18:1–3 تەواو دەبن.” تەواوی بەشی هەژدەی ئاشکراکردنەوە ئاگادارکردنەوەیەکە لەوەی کە دێتە سەر زەوی. بەڵام من هیچ ڕووناکییەکی تایبەتم نییە سەبارەت بەوەی کە بە تایبەتی چی دێتە سەر نیویۆرک، تەنها ئەوە دەزانم کە ڕۆژێک ئەو بینا گەورانەی لەوێ بە هەڵگەڕان و وەرگەڕانی هێزی خودا فڕێ دەدرێنە خوارەوە. لە ڕووناکییەکەی کە پێم دراوە، دەزانم وێرانکاری لە جیهاندا هەیە. یەک وشە لەلایەن یەزدانەوە، یەک دەست‌لێدانێک لە هێزی بەهێزی ئەو، و ئەم دامەزراوە گەورانە دەڕوخێن. دیمەنەکان ڕوودەدەن کە ترسناکییەکەیان ئێمە ناتوانین خەیاڵی بکەین.» Review and Herald, July 5, 1906.</w:t>
      </w:r>
    </w:p>
    <w:p>
      <w:pPr>
        <w:pStyle w:val="ArticleBody"/>
        <w:jc w:val="left"/>
      </w:pPr>
      <w:r>
        <w:rPr>
          <w:rFonts w:ascii="Times New Roman" w:hAnsi="Times New Roman" w:eastAsia="Times New Roman" w:cs="Times New Roman"/>
        </w:rPr>
        <w:t>اس گونہ گون سازشی نظریات، خواہ ان میں بالکل کوئی صداقت نہ ہو یا جزوی صداقت پائی جاتی ہو، سب کے سب اس حقیقت کو کمزور کرتے ہیں کہ اسی تاریخ کے واقعات کو برپا کرنے والی خدا کی عنایتی کارفرمائی تھی۔ یہ مختلف سازشی نظریات سچائی کے خلاف تحریک کے باہر سے شیطان کا حملہ ہیں، لیکن اس نے تحریک کے اندر سے بھی سچائی کو کمزور کرنے کا کام کیا۔ ان داخلی حملوں میں سے ایک اس بنیاد پر قائم ہے کہ کتابِ یوایل کے موضوع کے طور پر روم کو رد کر دیا جائے۔</w:t>
      </w:r>
    </w:p>
    <w:p>
      <w:pPr>
        <w:pStyle w:val="ArticleBody"/>
        <w:jc w:val="left"/>
      </w:pPr>
      <w:r>
        <w:rPr>
          <w:rFonts w:ascii="Times New Roman" w:hAnsi="Times New Roman" w:eastAsia="Times New Roman" w:cs="Times New Roman"/>
        </w:rPr>
        <w:t>ہم اس تنازعے پر اگلے مضمون میں غور کریں گے۔</w:t>
      </w:r>
    </w:p>
    <w:p>
      <w:pPr>
        <w:pStyle w:val="ArticleScripture"/>
        <w:jc w:val="left"/>
      </w:pPr>
      <w:r>
        <w:rPr>
          <w:rFonts w:ascii="Times New Roman" w:hAnsi="Times New Roman" w:eastAsia="Times New Roman" w:cs="Times New Roman"/>
        </w:rPr>
        <w:t>Pethuel ulı Yoelge kelgen Rəbbining sözi. Muni añlañlar, ey qeriler, hem qulaq salıñlar, yurtning barça sakinliri. Bu silerning künliriñlarda yaki ata-bowiliriñlarning künliride bolğanmu? Uni baliliriñlargha sözläp bériñlar, baliliriñlar öz balilirigha sözlisun, ularning baliliri bolsa yene bir avladqa sözlisun. Çekirtkining bir türü qaldurğanni ikkinchisi yédi; ikkinchisi qaldurğanni qurt yédi; qurt qaldurğanni bolsa yene bir yégüchi hasharat yédi. Oyğininglar, ey mestler, yighlañlar; pütün şarap içküchiliri, peryad urunglar, yeni şarap sebäblık, çünki u ağziñlardin üzülüp ketti. Çünki yurtum üstige bir millet chiqti; u küchlük we sansizdur; uning tishliri shirning tishliridek, azu tishliri bolsa zor shirningkidur. Yoel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Ukhwelele Umbono — Inamba Yetshumi</dc:title>
  <dc:subject>آخرين تڪرار: يوئيل جو ڪتاب، نيو يارڪ جو زوال، ۽ ايڊوينٽ تاريخ ۾ روم جي علامت</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