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tiiʼaay tukqaa kʼankʼatti — Lakkoofsa Kudha Jaha keessaa</w:t>
      </w:r>
    </w:p>
    <w:p>
      <w:pPr>
        <w:pStyle w:val="ArticleSubtitle"/>
        <w:jc w:val="left"/>
      </w:pPr>
      <w:r>
        <w:rPr>
          <w:rFonts w:ascii="Arial" w:hAnsi="Arial" w:eastAsia="Arial" w:cs="Arial"/>
        </w:rPr>
        <w:t>Ахьыркы Сынак: Рум символизмын вә пәйғәмбәрликниң үч қат қоллинилишини чүшиниш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Uyaqut ib-alil chaach’xik ti’ le última controversia’a’ ti’ le símboloo’ob Romea’ ku ts’o’okol u pak’áat tu yóok’ol junp’éel u meyajil ma’ táan u beeta’al ma’alob ti’ junp’éel óoxp’éel u aplicaciónil profecía, bey xan ku ya’alikob wa le óoxp’éel Romeo’ob ku jets’áabal tumen le óoxp’éel leyes ti’ domingo ti’ le ja’abilo’ob 321, 538, yéetel le ley ti’ domingo táan u taal ti’ Estados Unidos. Ti’ le meyaja’, ku ts’áajikob junp’éel k’abet ma’ uts ti’ le reglao’ yéetel ti’ le historia profética ku ya’alikob, je’ex bix xan u yila’al tu yóok’ol le controversia ti’ le kan insectoso’ob ti’ Joel. Le kan generacióno’ob, tuláakalil u paach le kan insectoso’ob ku jantik tu yóok’ol le ba’ax ku k’áaxik ti’ le primeros seis versículos ti’ Joel, ku t’aano’ob ti’ bix u kaajalil Dios ku ts’o’okol u xíimbal u p’áatal tu’ux ku p’iisáanal progressively tumen kan generacióno’ob, yéetel wa le decimacióno’ ts’o’okol u beeta’al tumen u k’amik Adventismo le teología ti’ Romea’ yéetel protestantismo apóstata.</w:t>
      </w:r>
    </w:p>
    <w:p>
      <w:pPr>
        <w:pStyle w:val="ArticleBody"/>
        <w:jc w:val="left"/>
      </w:pPr>
      <w:r>
        <w:rPr>
          <w:rFonts w:ascii="Times New Roman" w:hAnsi="Times New Roman" w:eastAsia="Times New Roman" w:cs="Times New Roman"/>
        </w:rPr>
        <w:t>Sa controversya nga presente, adton mga naningkamot nga gamiton an balaud han Domingo basi ihulagway an tulo nga Roma, naglilikay han kamatuoran nga ha pagkamatuod may-ada upat nga mga balaud han Domingo nga ginpapakilala ha profetiko nga Pulong han Dios, ngan nga an tuig 321 nagrirepresentar han maabot na nga balaud han Domingo ha Tinipong Bansa han Amerika, ngan an balaud han Domingo han 538 nagtitypo han balaud han Domingo nga ipapatuman ha ngatanan nga mga nasud han kalibotan. An upat nga mga balaud han Domingo diri nagpapakilala hin tulo nga mga balaud han Domingo, labi na kon an ikatulo nga kapahayagan ha usa nga tulo-ka-bahin nga aplikasyon han profesiya nagrirepresentar han kataposan nga katumanan. An maabot na nga balaud han Domingo ha Tinipong Bansa han Amerika diri amo an kataposan nga balaud han Domingo; ha pagkamatuod, amo ini an timaan han tinikangan han usa nga sunod-sunod nga mga balaud han Domingo samtang an tagsa nga nasud ha bug-os nga globo hin hinay-hinay nga nakarawat han marka han awtoridad papal.</w:t>
      </w:r>
    </w:p>
    <w:p>
      <w:pPr>
        <w:pStyle w:val="ArticleBody"/>
        <w:jc w:val="left"/>
      </w:pPr>
      <w:r>
        <w:rPr>
          <w:rFonts w:ascii="Microsoft YaHei" w:hAnsi="Microsoft YaHei" w:eastAsia="Microsoft YaHei" w:cs="Microsoft YaHei"/>
        </w:rPr>
        <w:t>那些于二〇二三年七月被唤醒的人</w:t>
      </w:r>
      <w:r>
        <w:rPr>
          <w:rFonts w:ascii="Times New Roman" w:hAnsi="Times New Roman" w:eastAsia="Times New Roman" w:cs="Times New Roman"/>
        </w:rPr>
        <w:t>,</w:t>
      </w:r>
      <w:r>
        <w:rPr>
          <w:rFonts w:ascii="Microsoft YaHei" w:hAnsi="Microsoft YaHei" w:eastAsia="Microsoft YaHei" w:cs="Microsoft YaHei"/>
        </w:rPr>
        <w:t>必须明白：摆在他们面前的先知性试验</w:t>
      </w:r>
      <w:r>
        <w:rPr>
          <w:rFonts w:ascii="Times New Roman" w:hAnsi="Times New Roman" w:eastAsia="Times New Roman" w:cs="Times New Roman"/>
        </w:rPr>
        <w:t>,</w:t>
      </w:r>
      <w:r>
        <w:rPr>
          <w:rFonts w:ascii="Microsoft YaHei" w:hAnsi="Microsoft YaHei" w:eastAsia="Microsoft YaHei" w:cs="Microsoft YaHei"/>
        </w:rPr>
        <w:t>是发生在圣灵浇灌期间</w:t>
      </w:r>
      <w:r>
        <w:rPr>
          <w:rFonts w:ascii="Times New Roman" w:hAnsi="Times New Roman" w:eastAsia="Times New Roman" w:cs="Times New Roman"/>
        </w:rPr>
        <w:t>;</w:t>
      </w:r>
      <w:r>
        <w:rPr>
          <w:rFonts w:ascii="Microsoft YaHei" w:hAnsi="Microsoft YaHei" w:eastAsia="Microsoft YaHei" w:cs="Microsoft YaHei"/>
        </w:rPr>
        <w:t>并且在那次浇灌之中</w:t>
      </w:r>
      <w:r>
        <w:rPr>
          <w:rFonts w:ascii="Times New Roman" w:hAnsi="Times New Roman" w:eastAsia="Times New Roman" w:cs="Times New Roman"/>
        </w:rPr>
        <w:t>,</w:t>
      </w:r>
      <w:r>
        <w:rPr>
          <w:rFonts w:ascii="Microsoft YaHei" w:hAnsi="Microsoft YaHei" w:eastAsia="Microsoft YaHei" w:cs="Microsoft YaHei"/>
        </w:rPr>
        <w:t>一等人正在领受</w:t>
      </w:r>
      <w:r>
        <w:rPr>
          <w:rFonts w:ascii="Times New Roman" w:hAnsi="Times New Roman" w:eastAsia="Times New Roman" w:cs="Times New Roman"/>
        </w:rPr>
        <w:t>“</w:t>
      </w:r>
      <w:r>
        <w:rPr>
          <w:rFonts w:ascii="Microsoft YaHei" w:hAnsi="Microsoft YaHei" w:eastAsia="Microsoft YaHei" w:cs="Microsoft YaHei"/>
        </w:rPr>
        <w:t>油</w:t>
      </w:r>
      <w:r>
        <w:rPr>
          <w:rFonts w:ascii="Times New Roman" w:hAnsi="Times New Roman" w:eastAsia="Times New Roman" w:cs="Times New Roman"/>
        </w:rPr>
        <w:t>”,</w:t>
      </w:r>
      <w:r>
        <w:rPr>
          <w:rFonts w:ascii="Microsoft YaHei" w:hAnsi="Microsoft YaHei" w:eastAsia="Microsoft YaHei" w:cs="Microsoft YaHei"/>
        </w:rPr>
        <w:t>另一等人则正在领受</w:t>
      </w:r>
      <w:r>
        <w:rPr>
          <w:rFonts w:ascii="Times New Roman" w:hAnsi="Times New Roman" w:eastAsia="Times New Roman" w:cs="Times New Roman"/>
        </w:rPr>
        <w:t>“</w:t>
      </w:r>
      <w:r>
        <w:rPr>
          <w:rFonts w:ascii="Microsoft YaHei" w:hAnsi="Microsoft YaHei" w:eastAsia="Microsoft YaHei" w:cs="Microsoft YaHei"/>
        </w:rPr>
        <w:t>强烈的迷惑</w:t>
      </w:r>
      <w:r>
        <w:rPr>
          <w:rFonts w:ascii="Times New Roman" w:hAnsi="Times New Roman" w:eastAsia="Times New Roman" w:cs="Times New Roman"/>
        </w:rPr>
        <w:t>”.</w:t>
      </w:r>
      <w:r>
        <w:rPr>
          <w:rFonts w:ascii="Microsoft YaHei" w:hAnsi="Microsoft YaHei" w:eastAsia="Microsoft YaHei" w:cs="Microsoft YaHei"/>
        </w:rPr>
        <w:t>那领受强烈迷惑之人的主要预表</w:t>
      </w:r>
      <w:r>
        <w:rPr>
          <w:rFonts w:ascii="Times New Roman" w:hAnsi="Times New Roman" w:eastAsia="Times New Roman" w:cs="Times New Roman"/>
        </w:rPr>
        <w:t>,</w:t>
      </w:r>
      <w:r>
        <w:rPr>
          <w:rFonts w:ascii="Microsoft YaHei" w:hAnsi="Microsoft YaHei" w:eastAsia="Microsoft YaHei" w:cs="Microsoft YaHei"/>
        </w:rPr>
        <w:t>正见于</w:t>
      </w:r>
      <w:r>
        <w:rPr>
          <w:rFonts w:ascii="Times New Roman" w:hAnsi="Times New Roman" w:eastAsia="Times New Roman" w:cs="Times New Roman"/>
        </w:rPr>
        <w:t>“</w:t>
      </w:r>
      <w:r>
        <w:rPr>
          <w:rFonts w:ascii="Microsoft YaHei" w:hAnsi="Microsoft YaHei" w:eastAsia="Microsoft YaHei" w:cs="Microsoft YaHei"/>
        </w:rPr>
        <w:t>强烈的迷惑</w:t>
      </w:r>
      <w:r>
        <w:rPr>
          <w:rFonts w:ascii="Times New Roman" w:hAnsi="Times New Roman" w:eastAsia="Times New Roman" w:cs="Times New Roman"/>
        </w:rPr>
        <w:t>”</w:t>
      </w:r>
      <w:r>
        <w:rPr>
          <w:rFonts w:ascii="Microsoft YaHei" w:hAnsi="Microsoft YaHei" w:eastAsia="Microsoft YaHei" w:cs="Microsoft YaHei"/>
        </w:rPr>
        <w:t>这一措辞所在的那一章</w:t>
      </w:r>
      <w:r>
        <w:rPr>
          <w:rFonts w:ascii="Times New Roman" w:hAnsi="Times New Roman" w:eastAsia="Times New Roman" w:cs="Times New Roman"/>
        </w:rPr>
        <w:t>;</w:t>
      </w:r>
      <w:r>
        <w:rPr>
          <w:rFonts w:ascii="Microsoft YaHei" w:hAnsi="Microsoft YaHei" w:eastAsia="Microsoft YaHei" w:cs="Microsoft YaHei"/>
        </w:rPr>
        <w:t>而在那一章中</w:t>
      </w:r>
      <w:r>
        <w:rPr>
          <w:rFonts w:ascii="Times New Roman" w:hAnsi="Times New Roman" w:eastAsia="Times New Roman" w:cs="Times New Roman"/>
        </w:rPr>
        <w:t>,</w:t>
      </w:r>
      <w:r>
        <w:rPr>
          <w:rFonts w:ascii="Microsoft YaHei" w:hAnsi="Microsoft YaHei" w:eastAsia="Microsoft YaHei" w:cs="Microsoft YaHei"/>
        </w:rPr>
        <w:t>那或被爱慕、或被弃绝的真理</w:t>
      </w:r>
      <w:r>
        <w:rPr>
          <w:rFonts w:ascii="Times New Roman" w:hAnsi="Times New Roman" w:eastAsia="Times New Roman" w:cs="Times New Roman"/>
        </w:rPr>
        <w:t>,</w:t>
      </w:r>
      <w:r>
        <w:rPr>
          <w:rFonts w:ascii="Microsoft YaHei" w:hAnsi="Microsoft YaHei" w:eastAsia="Microsoft YaHei" w:cs="Microsoft YaHei"/>
        </w:rPr>
        <w:t>乃是界定异教罗马与教皇罗马之间先知性关系的真理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Rëlatïon prophëtiqë entrë 321 ét 538 montryé par la rëlätiön prophëtiqë entrë l’églisë dé Pérgamos ét l’églisë dé Thyatirä. Dëns lés dérniérs jours, Römë païennë, représentéë par 321 ét Pérgamos, ëst ün symbolë dés États-Unis, ét Römë papalë, représentéë par 538 ét Thyatirä, ëst ün symbolë dé la Römë modernë.</w:t>
      </w:r>
    </w:p>
    <w:p>
      <w:pPr>
        <w:pStyle w:val="ArticleBody"/>
        <w:jc w:val="left"/>
      </w:pPr>
      <w:r>
        <w:rPr>
          <w:rFonts w:ascii="Times New Roman" w:hAnsi="Times New Roman" w:eastAsia="Times New Roman" w:cs="Times New Roman"/>
        </w:rPr>
        <w:t>3</w:t>
      </w:r>
      <w:r>
        <w:rPr>
          <w:rFonts w:ascii="Myanmar Text" w:hAnsi="Myanmar Text" w:eastAsia="Myanmar Text" w:cs="Myanmar Text"/>
        </w:rPr>
        <w:t>ရာစု</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ထူးခြားသော</w:t>
      </w:r>
      <w:r>
        <w:rPr>
          <w:rFonts w:ascii="Times New Roman" w:hAnsi="Times New Roman" w:eastAsia="Times New Roman" w:cs="Times New Roman"/>
        </w:rPr>
        <w:t xml:space="preserve"> </w:t>
      </w:r>
      <w:r>
        <w:rPr>
          <w:rFonts w:ascii="Myanmar Text" w:hAnsi="Myanmar Text" w:eastAsia="Myanmar Text" w:cs="Myanmar Text"/>
        </w:rPr>
        <w:t>အာဏာတစ်ရပ်တည်းပိုင်</w:t>
      </w:r>
      <w:r>
        <w:rPr>
          <w:rFonts w:ascii="Times New Roman" w:hAnsi="Times New Roman" w:eastAsia="Times New Roman" w:cs="Times New Roman"/>
        </w:rPr>
        <w:t xml:space="preserve"> </w:t>
      </w:r>
      <w:r>
        <w:rPr>
          <w:rFonts w:ascii="Myanmar Text" w:hAnsi="Myanmar Text" w:eastAsia="Myanmar Text" w:cs="Myanmar Text"/>
        </w:rPr>
        <w:t>နိုင်ငံတော်တစ်ခု</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w:t>
      </w:r>
      <w:r>
        <w:rPr>
          <w:rFonts w:ascii="Myanmar Text" w:hAnsi="Myanmar Text" w:eastAsia="Myanmar Text" w:cs="Myanmar Text"/>
        </w:rPr>
        <w:t>၅၃၈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ပေါင်းစည်းမှုကို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နှစ်ဖက်ဆိုင်ရာ</w:t>
      </w:r>
      <w:r>
        <w:rPr>
          <w:rFonts w:ascii="Times New Roman" w:hAnsi="Times New Roman" w:eastAsia="Times New Roman" w:cs="Times New Roman"/>
        </w:rPr>
        <w:t xml:space="preserve"> </w:t>
      </w:r>
      <w:r>
        <w:rPr>
          <w:rFonts w:ascii="Myanmar Text" w:hAnsi="Myanmar Text" w:eastAsia="Myanmar Text" w:cs="Myanmar Text"/>
        </w:rPr>
        <w:t>အာဏာတစ်ရပ်</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ထိုဆက်နွယ်မှု၌</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အုပ်ချုပ်ခွင့်ကို</w:t>
      </w:r>
      <w:r>
        <w:rPr>
          <w:rFonts w:ascii="Times New Roman" w:hAnsi="Times New Roman" w:eastAsia="Times New Roman" w:cs="Times New Roman"/>
        </w:rPr>
        <w:t xml:space="preserve"> </w:t>
      </w:r>
      <w:r>
        <w:rPr>
          <w:rFonts w:ascii="Myanmar Text" w:hAnsi="Myanmar Text" w:eastAsia="Myanmar Text" w:cs="Myanmar Text"/>
        </w:rPr>
        <w:t>ကိုင်ဆောင်လျက်ရှိခဲ့သည်။</w:t>
      </w:r>
      <w:r>
        <w:rPr>
          <w:rFonts w:ascii="Times New Roman" w:hAnsi="Times New Roman" w:eastAsia="Times New Roman" w:cs="Times New Roman"/>
        </w:rPr>
        <w:t xml:space="preserve"> </w:t>
      </w:r>
      <w:r>
        <w:rPr>
          <w:rFonts w:ascii="Myanmar Text" w:hAnsi="Myanmar Text" w:eastAsia="Myanmar Text" w:cs="Myanmar Text"/>
        </w:rPr>
        <w:t>တတိယနှင့်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ရောမဖြစ်သည့်</w:t>
      </w:r>
      <w:r>
        <w:rPr>
          <w:rFonts w:ascii="Times New Roman" w:hAnsi="Times New Roman" w:eastAsia="Times New Roman" w:cs="Times New Roman"/>
        </w:rPr>
        <w:t xml:space="preserve"> </w:t>
      </w:r>
      <w:r>
        <w:rPr>
          <w:rFonts w:ascii="Myanmar Text" w:hAnsi="Myanmar Text" w:eastAsia="Myanmar Text" w:cs="Myanmar Text"/>
        </w:rPr>
        <w:t>ခေတ်သစ်</w:t>
      </w:r>
      <w:r>
        <w:rPr>
          <w:rFonts w:ascii="Times New Roman" w:hAnsi="Times New Roman" w:eastAsia="Times New Roman" w:cs="Times New Roman"/>
        </w:rPr>
        <w:t xml:space="preserve"> </w:t>
      </w:r>
      <w:r>
        <w:rPr>
          <w:rFonts w:ascii="Myanmar Text" w:hAnsi="Myanmar Text" w:eastAsia="Myanmar Text" w:cs="Myanmar Text"/>
        </w:rPr>
        <w:t>ရောမမှာမူ</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သားရဲနှင့်</w:t>
      </w:r>
      <w:r>
        <w:rPr>
          <w:rFonts w:ascii="Times New Roman" w:hAnsi="Times New Roman" w:eastAsia="Times New Roman" w:cs="Times New Roman"/>
        </w:rPr>
        <w:t xml:space="preserve"> </w:t>
      </w:r>
      <w:r>
        <w:rPr>
          <w:rFonts w:ascii="Myanmar Text" w:hAnsi="Myanmar Text" w:eastAsia="Myanmar Text" w:cs="Myanmar Text"/>
        </w:rPr>
        <w:t>မိစ္ဆာပရောဖက်တို့ဖြင့်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သုံးဖက်ဆိုင်ရာ</w:t>
      </w:r>
      <w:r>
        <w:rPr>
          <w:rFonts w:ascii="Times New Roman" w:hAnsi="Times New Roman" w:eastAsia="Times New Roman" w:cs="Times New Roman"/>
        </w:rPr>
        <w:t xml:space="preserve"> </w:t>
      </w:r>
      <w:r>
        <w:rPr>
          <w:rFonts w:ascii="Myanmar Text" w:hAnsi="Myanmar Text" w:eastAsia="Myanmar Text" w:cs="Myanmar Text"/>
        </w:rPr>
        <w:t>အာဏာတစ်ရပ်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Paul ipurakäsi, mana entiendenchu proféticata históricatañan relación pagana Roma-pa (dragón) y papal Roma-pa (bestia), chayqa sut’inta cheqaq kayta cheqninakuyta rikuchin, chaymanta kallpayoq pantayman urmayta apamun. Llapa profetakuna, Paul-pas, aswan sut’ita qhepa p’unchaykunamanta rimarqanku; chayrayku, Paul-pa historiapi ishkay atiyniyuqkunapa relaciónninqa qhepa p’unchaykunapi Moderna Roma-pa kimsa atiyniyuqkunapa relaciónninta rikuchin. Proféticata relaciónta mana chaskiy, mayqenchus qhepa p’unchaykunapi dragón, bestia, hinaspa falso profeta-pa kimsa-hukllachasqa uniónninta “formasqa” kananpaq, chayqa kikikipaq kallpayoq pantayta takyaymi.</w:t>
      </w:r>
    </w:p>
    <w:p>
      <w:pPr>
        <w:pStyle w:val="ArticleBody"/>
        <w:jc w:val="left"/>
      </w:pPr>
      <w:r>
        <w:rPr>
          <w:rFonts w:ascii="Times New Roman" w:hAnsi="Times New Roman" w:eastAsia="Times New Roman" w:cs="Times New Roman"/>
        </w:rPr>
        <w:t>تفسير أورياه سميث الخاص لملك الشمال مثَّل «سببًا» أفضى إلى «نتيجة». غير أنّ الفئة التي تقف في الجانب الخاطئ من الجدالات المتعلقة بروما تُحدَّد على وجه الخصوص بأنها عاجزة عن الاستدلال من السبب إلى النتيجة. لم يرَ سميث أن تطبيقه المعيب لملك الشمال من شأنه أن يُنتج منصة نبوية تقوده أيضًا إلى تحريف تصوير الضربة السادسة، حيث يَرِدُ تحذيرٌ إمّا بحفظ ثوب برّ المسيح أو بفقدانه.</w:t>
      </w:r>
    </w:p>
    <w:p>
      <w:pPr>
        <w:pStyle w:val="ArticleBody"/>
        <w:jc w:val="left"/>
      </w:pPr>
      <w:r>
        <w:rPr>
          <w:rFonts w:ascii="Times New Roman" w:hAnsi="Times New Roman" w:eastAsia="Times New Roman" w:cs="Times New Roman"/>
        </w:rPr>
        <w:t>2 Thessalonians-da Pawlusyň nygtap görkezşi ýaly, Ylham kitabyň on altynjy babynda hem-de altynjy belada Ýahýa dünýäni Armageddona alyp barýan üç güýjüň kimdigine düşünmegiň zerurdygyny nygtaýar. Smithiň demirgazygyň patyşasy baradaky nädogry ulanyşy tiplary we antitiplary dogry ulanmak ukybynyň ýokdugyna şaýatlyk edýär.</w:t>
      </w:r>
    </w:p>
    <w:p>
      <w:pPr>
        <w:pStyle w:val="ArticleBody"/>
        <w:jc w:val="left"/>
      </w:pPr>
      <w:r>
        <w:rPr>
          <w:rFonts w:ascii="Times New Roman" w:hAnsi="Times New Roman" w:eastAsia="Times New Roman" w:cs="Times New Roman"/>
        </w:rPr>
        <w:t>Smith ni chuangwa, ahihnak le a duh lonak ruangah, Paul i cauk ah a fianter zetin a langhtermi phung—thinglamtah hun-khawh hlan i a taktak cu, thinglamtah hun-khawh hnu i thlarau lam a aiawhter ti—cu a hmang kho lo. Hi phung hi ralrin takin le dikzetin an zui ahcun, “hmar lam siangpahrang” timi cu ni neta ah thlarau lam “hmar lam siangpahrang” aiawhtertu hminsinnak tampi lakih pakhat a si ti cu ol tein hmuhsak a si. Seventh-day Adventist pawl cu midang zawng zawng ai hmanin simcianak in a innghahnak hmunpi bik pakhat cu Khrih le Setan kar i doawknak a si ti an hngal ding. Khrih cu hmar lam Siangpahrang taktak a si ih, Setan cun hmar lam siangpahrang diktak lo vekin amah le amah langter dingin a zuam ringring.</w:t>
      </w:r>
    </w:p>
    <w:p>
      <w:pPr>
        <w:pStyle w:val="ArticleScripture"/>
        <w:jc w:val="left"/>
      </w:pPr>
      <w:r>
        <w:rPr>
          <w:rFonts w:ascii="Times New Roman" w:hAnsi="Times New Roman" w:eastAsia="Times New Roman" w:cs="Times New Roman"/>
        </w:rPr>
        <w:t>بنی قورح کے لیے نغمہ اور زبور۔ خداوند بزرگ ہے اور اپنے خدا کے شہر میں، اپنی قدوسیت کے پہاڑ پر نہایت ستائش کے لائق ہے۔ اپنے مقام کے باعث حسین، ساری زمین کی شادمانی، کوہِ صیون ہے، شمالی اطراف میں، اُس عظیم بادشاہ کا شہر۔ خدا اُس کے محلات میں پناہ گاہ کے طور پر معروف ہے۔ زبور 48:1–3۔</w:t>
      </w:r>
    </w:p>
    <w:p>
      <w:pPr>
        <w:pStyle w:val="ArticleBody"/>
        <w:jc w:val="left"/>
      </w:pPr>
      <w:r>
        <w:rPr>
          <w:rFonts w:ascii="Times New Roman" w:hAnsi="Times New Roman" w:eastAsia="Times New Roman" w:cs="Times New Roman"/>
        </w:rPr>
        <w:t>Ыблыс шын Солтүстіктің Патшасын қолдан жасап ұқсатуға күш салады; сол мақсатта ол Рим папасын жер бетіндегі өз өкілі ретінде пайдаланады. Ыблыс — Мәсіхке қарсы, сондай-ақ Рим папасы да сондай, өйткені ол — Ыблыстың алдау ісіндегі өкілі.</w:t>
      </w:r>
    </w:p>
    <w:p>
      <w:pPr>
        <w:pStyle w:val="ArticleScripture"/>
        <w:jc w:val="left"/>
      </w:pPr>
      <w:r>
        <w:rPr>
          <w:rFonts w:ascii="Times New Roman" w:hAnsi="Times New Roman" w:eastAsia="Times New Roman" w:cs="Times New Roman"/>
        </w:rPr>
        <w:t>«</w:t>
      </w:r>
      <w:r>
        <w:rPr>
          <w:rFonts w:ascii="Ebrima" w:hAnsi="Ebrima" w:eastAsia="Ebrima" w:cs="Ebrima"/>
        </w:rPr>
        <w:t>ምድራዊ</w:t>
      </w:r>
      <w:r>
        <w:rPr>
          <w:rFonts w:ascii="Times New Roman" w:hAnsi="Times New Roman" w:eastAsia="Times New Roman" w:cs="Times New Roman"/>
        </w:rPr>
        <w:t xml:space="preserve"> </w:t>
      </w:r>
      <w:r>
        <w:rPr>
          <w:rFonts w:ascii="Ebrima" w:hAnsi="Ebrima" w:eastAsia="Ebrima" w:cs="Ebrima"/>
        </w:rPr>
        <w:t>ጥቅሞችንና</w:t>
      </w:r>
      <w:r>
        <w:rPr>
          <w:rFonts w:ascii="Times New Roman" w:hAnsi="Times New Roman" w:eastAsia="Times New Roman" w:cs="Times New Roman"/>
        </w:rPr>
        <w:t xml:space="preserve"> </w:t>
      </w:r>
      <w:r>
        <w:rPr>
          <w:rFonts w:ascii="Ebrima" w:hAnsi="Ebrima" w:eastAsia="Ebrima" w:cs="Ebrima"/>
        </w:rPr>
        <w:t>ክብሮችን</w:t>
      </w:r>
      <w:r>
        <w:rPr>
          <w:rFonts w:ascii="Times New Roman" w:hAnsi="Times New Roman" w:eastAsia="Times New Roman" w:cs="Times New Roman"/>
        </w:rPr>
        <w:t xml:space="preserve"> </w:t>
      </w:r>
      <w:r>
        <w:rPr>
          <w:rFonts w:ascii="Ebrima" w:hAnsi="Ebrima" w:eastAsia="Ebrima" w:cs="Ebrima"/>
        </w:rPr>
        <w:t>ለማስጠበቅ</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ሰዎችን</w:t>
      </w:r>
      <w:r>
        <w:rPr>
          <w:rFonts w:ascii="Times New Roman" w:hAnsi="Times New Roman" w:eastAsia="Times New Roman" w:cs="Times New Roman"/>
        </w:rPr>
        <w:t xml:space="preserve"> </w:t>
      </w:r>
      <w:r>
        <w:rPr>
          <w:rFonts w:ascii="Ebrima" w:hAnsi="Ebrima" w:eastAsia="Ebrima" w:cs="Ebrima"/>
        </w:rPr>
        <w:t>ሞገስና</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እንድትፈልግ</w:t>
      </w:r>
      <w:r>
        <w:rPr>
          <w:rFonts w:ascii="Times New Roman" w:hAnsi="Times New Roman" w:eastAsia="Times New Roman" w:cs="Times New Roman"/>
        </w:rPr>
        <w:t xml:space="preserve"> </w:t>
      </w:r>
      <w:r>
        <w:rPr>
          <w:rFonts w:ascii="Ebrima" w:hAnsi="Ebrima" w:eastAsia="Ebrima" w:cs="Ebrima"/>
        </w:rPr>
        <w:t>ተመራች፤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ከጣለች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ለሰይጣን</w:t>
      </w:r>
      <w:r>
        <w:rPr>
          <w:rFonts w:ascii="Times New Roman" w:hAnsi="Times New Roman" w:eastAsia="Times New Roman" w:cs="Times New Roman"/>
        </w:rPr>
        <w:t xml:space="preserve"> </w:t>
      </w:r>
      <w:r>
        <w:rPr>
          <w:rFonts w:ascii="Ebrima" w:hAnsi="Ebrima" w:eastAsia="Ebrima" w:cs="Ebrima"/>
        </w:rPr>
        <w:t>ወኪል</w:t>
      </w:r>
      <w:r>
        <w:rPr>
          <w:rFonts w:ascii="Times New Roman" w:hAnsi="Times New Roman" w:eastAsia="Times New Roman" w:cs="Times New Roman"/>
        </w:rPr>
        <w:t>—</w:t>
      </w:r>
      <w:r>
        <w:rPr>
          <w:rFonts w:ascii="Ebrima" w:hAnsi="Ebrima" w:eastAsia="Ebrima" w:cs="Ebrima"/>
        </w:rPr>
        <w:t>ለሮም</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w:t>
      </w:r>
      <w:r>
        <w:rPr>
          <w:rFonts w:ascii="Ebrima" w:hAnsi="Ebrima" w:eastAsia="Ebrima" w:cs="Ebrima"/>
        </w:rPr>
        <w:t>ታማኝነት</w:t>
      </w:r>
      <w:r>
        <w:rPr>
          <w:rFonts w:ascii="Times New Roman" w:hAnsi="Times New Roman" w:eastAsia="Times New Roman" w:cs="Times New Roman"/>
        </w:rPr>
        <w:t xml:space="preserve"> </w:t>
      </w:r>
      <w:r>
        <w:rPr>
          <w:rFonts w:ascii="Ebrima" w:hAnsi="Ebrima" w:eastAsia="Ebrima" w:cs="Ebrima"/>
        </w:rPr>
        <w:t>እንድትሰጥ</w:t>
      </w:r>
      <w:r>
        <w:rPr>
          <w:rFonts w:ascii="Times New Roman" w:hAnsi="Times New Roman" w:eastAsia="Times New Roman" w:cs="Times New Roman"/>
        </w:rPr>
        <w:t xml:space="preserve"> </w:t>
      </w:r>
      <w:r>
        <w:rPr>
          <w:rFonts w:ascii="Ebrima" w:hAnsi="Ebrima" w:eastAsia="Ebrima" w:cs="Ebrima"/>
        </w:rPr>
        <w:t>ተገፋች።</w:t>
      </w:r>
      <w:r>
        <w:rPr>
          <w:rFonts w:ascii="Times New Roman" w:hAnsi="Times New Roman" w:eastAsia="Times New Roman" w:cs="Times New Roman"/>
        </w:rPr>
        <w:t>» The Great Controversy, 50.</w:t>
      </w:r>
    </w:p>
    <w:p>
      <w:pPr>
        <w:pStyle w:val="ArticleBody"/>
        <w:jc w:val="left"/>
      </w:pPr>
      <w:r>
        <w:rPr>
          <w:rFonts w:ascii="Nirmala UI" w:hAnsi="Nirmala UI" w:eastAsia="Nirmala UI" w:cs="Nirmala UI"/>
        </w:rPr>
        <w:t>इस्केन्दर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विघटन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निकातोर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अन्तियुखुस</w:t>
      </w:r>
      <w:r>
        <w:rPr>
          <w:rFonts w:ascii="Times New Roman" w:hAnsi="Times New Roman" w:eastAsia="Times New Roman" w:cs="Times New Roman"/>
        </w:rPr>
        <w:t xml:space="preserve">, </w:t>
      </w:r>
      <w:r>
        <w:rPr>
          <w:rFonts w:ascii="Nirmala UI" w:hAnsi="Nirmala UI" w:eastAsia="Nirmala UI" w:cs="Nirmala UI"/>
        </w:rPr>
        <w:t>इस्केन्दर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प्रभावशाली</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क्षत्रप</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क्षत्रप</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राज्यपाल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इस्केन्दर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p>
    <w:p>
      <w:pPr>
        <w:pStyle w:val="ArticleBody"/>
        <w:jc w:val="left"/>
      </w:pPr>
      <w:r>
        <w:rPr>
          <w:rFonts w:ascii="Times New Roman" w:hAnsi="Times New Roman" w:eastAsia="Times New Roman" w:cs="Times New Roman"/>
        </w:rPr>
        <w:t>ۋیلیمە ژارمالار نى بویىنسۇنباۋى جانە جەكاتىكا قاغىيدالارىنەن جالتىراب اتۋى سەبەبتى، سمیت اخىرعى كۇندەردە شەيتاننىڭ جەماندىق وداғىن قۇرعان سوڭعى كۇشter پايعامبارلىقتا رۇحانى كۇشter ئەمەس، ناقتى كۇشter رەتінде بېينەلەنگەن دەپ تولعادى. سوندىقتان، ۋاۋىلوننىڭ بىلەۋشىسى، سولتۇستىكتىڭ تۇڭعاش پاتشاسى رەتіндегі سېلەۋك نيكاتور پايعامبارلىق قاجەتتىلىك بويىنشا قازىرگى رۇحانى ۋاۋىلوندى باسقارغان كۇش بولعان سولتۇستىكتىڭ اخىرعى رۇحانى پاتشاسىن بەلگىلەۋگە تيىس ەكەنىن ول كورە المادى.</w:t>
      </w:r>
    </w:p>
    <w:p>
      <w:pPr>
        <w:pStyle w:val="ArticleScripture"/>
        <w:jc w:val="left"/>
      </w:pPr>
      <w:r>
        <w:rPr>
          <w:rFonts w:ascii="Times New Roman" w:hAnsi="Times New Roman" w:eastAsia="Times New Roman" w:cs="Times New Roman"/>
        </w:rPr>
        <w:t>Уан ды жети периштениӊ, қолында жети тостағаны барларыныӊ бири келип, мениӊ менен сөйлесип, маған былай деді: «Бери кел, саған көп сулар үстинде отырған ұлы жезөкшениӊ үкімин көрсетейин; жер жүзиниӊ патшалары онымен зина қылды, ал жер жүзиниӊ турғынлары оныӊ зинасыныӊ шарабына мас болды». Сөйтип ол мени Рухта шөлге алып барды; сонда мен жети басы және он мүйизи бар, күпірлик атларына толы ал қызыл түстеги бір айуандыӊ үстинде отырған бир қатынды көрдим. Ал қатын күлгин және ал қызыл түске оранып, алтынмен, қымбат тастармен және маржанлармен безендірилген екен; оныӊ қолында зинасыныӊ жииркенишлери мен ласлықтарына толы бир алтын тостаған бар екен. Оныӊ маӊлайына: «ҚҰПИЯ, ҰЛЫ ВАВИЛОН, ЖЕЗӨКШЕЛЕРДИӉ ЖӘНЕ ЖЕР ЖҮЗИ ЖИИРКЕНИШЛЕРИНИӉ АНАСЫ» деп жазылған бир ат бар екен. Мен ол қатынныӊ әулиелердиӊ қанына және Исаныӊ шаҳитлериниӊ қанына мас болғанын көрдим; оны көргенимде, мен қатты таӊғалдым. Аян 17:1-6.</w:t>
      </w:r>
    </w:p>
    <w:p>
      <w:pPr>
        <w:pStyle w:val="ArticleBody"/>
        <w:jc w:val="left"/>
      </w:pPr>
      <w:r>
        <w:rPr>
          <w:rFonts w:ascii="Times New Roman" w:hAnsi="Times New Roman" w:eastAsia="Times New Roman" w:cs="Times New Roman"/>
        </w:rPr>
        <w:t>ئەو هێزەی کە لە ڕۆژانی کۆتایی‌دا بابلیۆن بەڕێوە دەبات، کلیسای پاپایییە، و بۆیە ئەویش پاشای باکووری ڕۆحانییە.</w:t>
      </w:r>
    </w:p>
    <w:p>
      <w:pPr>
        <w:pStyle w:val="ArticleScripture"/>
        <w:jc w:val="left"/>
      </w:pPr>
      <w:r>
        <w:rPr>
          <w:rFonts w:ascii="Times New Roman" w:hAnsi="Times New Roman" w:eastAsia="Times New Roman" w:cs="Times New Roman"/>
        </w:rPr>
        <w:t>«Аял (Вавилон) в Аян 17 е описана като „облечена в багреница и червено, и украсена със злато и скъпоценни камъни и бисери, като държи в ръката си златна чаша, пълна с мерзости и нечистота: … и на челото ѝ имаше написано име: Тайна, Вавилон великият, майка на блудниците.“ Пророкът казва: „Видях жената пияна от кръвта на светиите и от кръвта на Исусовите мъченици.“ По-нататък за Вавилон се заявява, че е „онзи велик град, който царува над земните царе.“ Аян 17:4–6, 18. Силата, която в продължение на толкова много векове е поддържала деспотична власт над владетелите на християнския свят, е Рим. Багреницата и червеният цвят, златото и скъпоценните камъни и бисерите ярко изобразяват великолепието и повече от царското великолепие, присвоено от надменния римски престол. И никоя друга власт не би могла с такава пълна истинност да бъде наречена „пияна от кръвта на светиите“, както онази църква, която така жестоко е преследвала последователите на Христос. На Вавилон се вменява и грехът на незаконна връзка със „земните царе“. Именно чрез отстъпление от Господа и съюз с езичниците юдейската църква стана блудница; и Рим, като се покварява по същия начин, търсейки подкрепата на светските сили, получава същото осъждане.» Великата борба, 382.</w:t>
      </w:r>
    </w:p>
    <w:p>
      <w:pPr>
        <w:pStyle w:val="ArticleBody"/>
        <w:jc w:val="left"/>
      </w:pP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ᎠᏍᏓᏩᏛᎢ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ᎤᏍᏛᎢ</w:t>
      </w:r>
      <w:r>
        <w:rPr>
          <w:rFonts w:ascii="Times New Roman" w:hAnsi="Times New Roman" w:eastAsia="Times New Roman" w:cs="Times New Roman"/>
        </w:rPr>
        <w:t xml:space="preserve"> </w:t>
      </w:r>
      <w:r>
        <w:rPr>
          <w:rFonts w:ascii="Gadugi" w:hAnsi="Gadugi" w:eastAsia="Gadugi" w:cs="Gadugi"/>
        </w:rPr>
        <w:t>ᎨᏒᎢ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Omutwe gwa Busuuli ye Ddamasiko, era omutwe gwa Ddamasiko ye Lezini; era mu myaka nkaaga mu etaano Efulayimu alimenyebwa, aleme okuba abantu. Era omutwe gwa Efulayimu ye Samaliya, n’omutwe gwa Samaliya ye mutabani wa Lemaliya. Bwe mutakkirize, mazima temulinywezebwa. Isaaya 7:8, 9.</w:t>
      </w:r>
    </w:p>
    <w:p>
      <w:pPr>
        <w:pStyle w:val="ArticleBody"/>
        <w:jc w:val="left"/>
      </w:pPr>
      <w:r>
        <w:rPr>
          <w:rFonts w:ascii="Times New Roman" w:hAnsi="Times New Roman" w:eastAsia="Times New Roman" w:cs="Times New Roman"/>
        </w:rPr>
        <w:t>Ayon sa patotoo ni Isaias, ang isang mag-aaral ng hula na nagigising sa Hulyo ng 2023 tungo sa isang makapropetang proseso ng pagsubok ay kailangang kilalanin ang makapropetang simbolismo ng “ulo” kung ninanais niyang maitatag. Kung hindi niya kikilalanin at isasakatuparan ang simbolismo ng isang “ulo” kapag ito ay hinihingi, kung gayon ay hindi siya naitatag. Ang mga hindi sumasampalataya ay hindi naitatag, at samakatuwid ay tinutukoy ni Isaias ang dalawang uri ng mga sumasamba sa mga huling araw na alinman ay naitatag o hindi naitatag. Sila rin ang siya ring dalawang uri na alinman ay may “langis,” o wala silang “langis.”</w:t>
      </w:r>
    </w:p>
    <w:p>
      <w:pPr>
        <w:pStyle w:val="ArticleBody"/>
        <w:jc w:val="left"/>
      </w:pPr>
      <w:r>
        <w:rPr>
          <w:rFonts w:ascii="Times New Roman" w:hAnsi="Times New Roman" w:eastAsia="Times New Roman" w:cs="Times New Roman"/>
        </w:rPr>
        <w:t>A꞉ lemmiyo meŋa yeŋ eŋa ma ci bɛ, ka yi woŋ e piny, en de cɔl luɔi me “Midnight Cry” ma acaki bɛ puɔth cɔk e month of July 2023, kata en de cɔl luɔi me gɛm matut ma 2 Thessalonians owaco. Kecɛŋ gi en tɛ̈st me cak cïït me raan ci rëër kɛ̈n raan, ku dhuk me cak cïït en tɔ̈n, ka en man ci papal beast me Dark Ages, kata kuɔn en image en ma acak kɔc me United States, kata threefold union ma tɔ̈n pinynhom bɛ Armageddon. Man aye kuɔny me bɛ raan yeŋ eŋa acï lɔ̈ŋ ni “head,” “king,” raan ma rëër ku tɔ̈n me piny me kuɔn yic ma ŋut e threefold union, en papal power.</w:t>
      </w:r>
    </w:p>
    <w:p>
      <w:pPr>
        <w:pStyle w:val="ArticleBody"/>
        <w:jc w:val="left"/>
      </w:pPr>
      <w:r>
        <w:rPr>
          <w:rFonts w:ascii="Times New Roman" w:hAnsi="Times New Roman" w:eastAsia="Times New Roman" w:cs="Times New Roman"/>
        </w:rPr>
        <w:t>“Góolii,” doonii Yahuda, naaʼáłchíʼíʼ bee Hólǫ́ʼígíí, Jerusalén yiiyá, aniiʼígíí Bóhólníih Haaʼaahjí dóó íhoołʼaahígíí hwiinítʼį́įgo.</w:t>
      </w:r>
    </w:p>
    <w:p>
      <w:pPr>
        <w:pStyle w:val="ArticleScripture"/>
        <w:jc w:val="left"/>
      </w:pPr>
      <w:r>
        <w:rPr>
          <w:rFonts w:ascii="Times New Roman" w:hAnsi="Times New Roman" w:eastAsia="Times New Roman" w:cs="Times New Roman"/>
        </w:rPr>
        <w:t>Ug Rehoboam, ang anak ni Solomon, naghari sa Juda. Si Rehoboam kap-atan kag isa ka tuig ang panuigon sang nagpasugod siya paghari, kag naghari siya sing napulo kag pito ka tuig sa Jerusalem, ang banwa nga ginpili sang Ginoo halin sa tanan nga mga tribo sang Israel agod ibutang didto ang iya ngalan. Kag ang ngalan sang iya iloy amo si Naama nga isa ka Amonhanon. 1 Hari 14:21.</w:t>
      </w:r>
    </w:p>
    <w:p>
      <w:pPr>
        <w:pStyle w:val="ArticleBody"/>
        <w:jc w:val="left"/>
      </w:pPr>
      <w:r>
        <w:rPr>
          <w:rFonts w:ascii="Times New Roman" w:hAnsi="Times New Roman" w:eastAsia="Times New Roman" w:cs="Times New Roman"/>
        </w:rPr>
        <w:t>ئەو گەورە کێشمەکێشەی نێوان مەسیح و شەیتاندا، شارە سەرەکییەکەی مەسیح، ئەو شوێنەی ناوی خۆی لێ دادەنێت، ئۆرشەلیمە؛ و بەرامبەرە ساختەکەی شەیتان شارە ڕاستەقینەی بابڵ بوو، کە نیشانەی بابڵی ڕۆحانییە، ئەو شارە گەورەیەی کۆتایی ڕۆژانە. شەیتان ناوی خۆی لەسەر ناوچەوان دادەنێت وەک ساختەیەک بۆ شار و پایتەختی خودا. ئەو پاشایەی لەوێ نیشتەجێیە دایکی داوێنپیسانە، کە لەگەڵ پاشاکانی زەوی داوێنپیسی دەکات. دایکی داوێنپیسان هێزی پاپایەتییە، و کچەکانی ئەو کڵێساکانی پڕۆتستانتی لاوازبوون و داڕووخانەوەن، کە لەنێویاندا پێشەنگترین کڵێسای داڕووخاو و مورتەد، پڕۆتستانتە مورتەدەکانی ویلایەتە یەکگرتووەکانی ئەمریکان.</w:t>
      </w:r>
    </w:p>
    <w:p>
      <w:pPr>
        <w:pStyle w:val="ArticleBody"/>
        <w:jc w:val="left"/>
      </w:pPr>
      <w:r>
        <w:rPr>
          <w:rFonts w:ascii="Times New Roman" w:hAnsi="Times New Roman" w:eastAsia="Times New Roman" w:cs="Times New Roman"/>
        </w:rPr>
        <w:t>تەواو بۆوەچووی پرۆتستانتەکان نوێنەرایەتی شاخی پرۆتستانتی ئاژەڵی زەویی دەکەن، و بەهۆی ڕەتکردنەوەی ئەو پەیامی پێشبینییەی کە لە ساڵی 1798 کراوەوە بە مەهر نەما، بە دایکیانەوە پەیوەستن. هاوتای ئەوان، شاخی کۆماری، لە ڕێگەی پەیوەندییان بە نەتەوە یەکگرتووەکانەوە بە پاشاکانی زەوی پەیوەستە، کە هەمان دە پاشای ئاشکراکردنی حەڤدەیەن. یەکگرتوویی سێ‌لایەنەکەی کە جیهان بەرەو هەرمەگیدۆن دەبات، بە سەرەوە نوێنەرایەتی دەکرێت، لەو شوێنەی ناوی لێ دەنرێت، و ڕۆمای ڕۆحانیی نوێ بابلی ڕۆحانیی نوێیە. “سەر”ی ئەو، هێزی پاپایەتییە.</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ᎤᏍᏗᎬ</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ᎤᎾᏍᏗ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ᏕᏂᎵ</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ᎢᏳᏔᏅᎯ</w:t>
      </w:r>
      <w:r>
        <w:rPr>
          <w:rFonts w:ascii="Times New Roman" w:hAnsi="Times New Roman" w:eastAsia="Times New Roman" w:cs="Times New Roman"/>
        </w:rPr>
        <w:t xml:space="preserve"> </w:t>
      </w:r>
      <w:r>
        <w:rPr>
          <w:rFonts w:ascii="Gadugi" w:hAnsi="Gadugi" w:eastAsia="Gadugi" w:cs="Gadugi"/>
        </w:rPr>
        <w:t>ᎡᎵᏊ</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ᏂᎦᎵᏍᎬ</w:t>
      </w:r>
      <w:r>
        <w:rPr>
          <w:rFonts w:ascii="Times New Roman" w:hAnsi="Times New Roman" w:eastAsia="Times New Roman" w:cs="Times New Roman"/>
        </w:rPr>
        <w:t xml:space="preserve"> </w:t>
      </w:r>
      <w:r>
        <w:rPr>
          <w:rFonts w:ascii="Gadugi" w:hAnsi="Gadugi" w:eastAsia="Gadugi" w:cs="Gadugi"/>
        </w:rPr>
        <w:t>ᎢᏣᏓᏅᏖᎸᎭ</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ᎻᎳᎡᎳᏌᏍ</w:t>
      </w:r>
      <w:r>
        <w:rPr>
          <w:rFonts w:ascii="Times New Roman" w:hAnsi="Times New Roman" w:eastAsia="Times New Roman" w:cs="Times New Roman"/>
        </w:rPr>
        <w:t xml:space="preserve"> </w:t>
      </w:r>
      <w:r>
        <w:rPr>
          <w:rFonts w:ascii="Gadugi" w:hAnsi="Gadugi" w:eastAsia="Gadugi" w:cs="Gadugi"/>
        </w:rPr>
        <w:t>ᎤᏂᏍᏕᎸᎢ</w:t>
      </w:r>
      <w:r>
        <w:rPr>
          <w:rFonts w:ascii="Times New Roman" w:hAnsi="Times New Roman" w:eastAsia="Times New Roman" w:cs="Times New Roman"/>
        </w:rPr>
        <w:t xml:space="preserve"> </w:t>
      </w:r>
      <w:r>
        <w:rPr>
          <w:rFonts w:ascii="Gadugi" w:hAnsi="Gadugi" w:eastAsia="Gadugi" w:cs="Gadugi"/>
        </w:rPr>
        <w:t>ᎠᏂᏥᎸᎭ</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ᎤᏂᏲᎯ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ᎤᎾᏓᏅᏖᎸᎢ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ᎤᏍᏗᎬ</w:t>
      </w:r>
      <w:r>
        <w:rPr>
          <w:rFonts w:ascii="Times New Roman" w:hAnsi="Times New Roman" w:eastAsia="Times New Roman" w:cs="Times New Roman"/>
        </w:rPr>
        <w:t xml:space="preserve"> </w:t>
      </w:r>
      <w:r>
        <w:rPr>
          <w:rFonts w:ascii="Gadugi" w:hAnsi="Gadugi" w:eastAsia="Gadugi" w:cs="Gadugi"/>
        </w:rPr>
        <w:t>ᎤᏓᏠᏯᏍᏔᏅᎯ</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ᎤᎾᎵᏍᏔᏁᎸᎢ</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ᎤᏂᏲᎯ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ᎤᏂᏲᎯ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ᎻᎳᎡᎳᏌᏍ</w:t>
      </w:r>
      <w:r>
        <w:rPr>
          <w:rFonts w:ascii="Times New Roman" w:hAnsi="Times New Roman" w:eastAsia="Times New Roman" w:cs="Times New Roman"/>
        </w:rPr>
        <w:t xml:space="preserve"> </w:t>
      </w:r>
      <w:r>
        <w:rPr>
          <w:rFonts w:ascii="Gadugi" w:hAnsi="Gadugi" w:eastAsia="Gadugi" w:cs="Gadugi"/>
        </w:rPr>
        <w:t>ᏱᏨᏃᏁᎵ</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ᎠᎾᏛᏁᎲᎢ</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ᎤᏠᏱᎳᏍᏗ</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ᏅᏗᏱ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ᏧᏍᏕᎸᎢ</w:t>
      </w:r>
      <w:r>
        <w:rPr>
          <w:rFonts w:ascii="Times New Roman" w:hAnsi="Times New Roman" w:eastAsia="Times New Roman" w:cs="Times New Roman"/>
        </w:rPr>
        <w:t>.</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روز</w:t>
      </w:r>
      <w:r>
        <w:rPr>
          <w:rFonts w:ascii="Nirmala UI" w:hAnsi="Nirmala UI" w:eastAsia="Nirmala UI" w:cs="Nirmala UI"/>
        </w:rPr>
        <w:t>ानी</w:t>
      </w:r>
      <w:r>
        <w:rPr>
          <w:rFonts w:ascii="Times New Roman" w:hAnsi="Times New Roman" w:eastAsia="Times New Roman" w:cs="Times New Roman"/>
        </w:rPr>
        <w:t xml:space="preserve"> م</w:t>
      </w:r>
      <w:r>
        <w:rPr>
          <w:rFonts w:ascii="Nirmala UI" w:hAnsi="Nirmala UI" w:eastAsia="Nirmala UI" w:cs="Nirmala UI"/>
        </w:rPr>
        <w:t>्वॆदजु</w:t>
      </w:r>
      <w:r>
        <w:rPr>
          <w:rFonts w:ascii="Times New Roman" w:hAnsi="Times New Roman" w:eastAsia="Times New Roman" w:cs="Times New Roman"/>
        </w:rPr>
        <w:t xml:space="preserve"> </w:t>
      </w:r>
      <w:r>
        <w:rPr>
          <w:rFonts w:ascii="Nirmala UI" w:hAnsi="Nirmala UI" w:eastAsia="Nirmala UI" w:cs="Nirmala UI"/>
        </w:rPr>
        <w:t>वख़्ते</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परिवर्तनीय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Ayatpap maha ira awaqapa sutimpix “Misterio Babilonia” sasaw sutimpi uñacht’ayatäkchi ukhaxa, ukax “misterio Roma” sasaw uñt’ayarakisa. Profecían “misterio” ukaxa mä chiqa yatïwiwa, ukham manqha yatïwimpi phuqhata, ukatxa ukan chiqa yatïwipa taqpach amuyañax jan walikïkaspawa, juk’ampisa Qullan Ajayun yanapt’äwip jan utjkchi ukhaxa. Ukampis bíblicon “misterio” ukax mayirakiwa, misterio ukamp chikt’atäñamp uñacht’ayata kunatï utjki ukaxa, yant’äwir pasañ thaqhirinakaru wakiskir amuyt’äwiñapawa. Ukatwa Apocalipsis libroan pä testigonakapaxa jichha pachan Roma amuyañ munatapa qhananchapxi.</w:t>
      </w:r>
    </w:p>
    <w:p>
      <w:pPr>
        <w:pStyle w:val="ArticleScripture"/>
        <w:jc w:val="left"/>
      </w:pPr>
      <w:r>
        <w:rPr>
          <w:rFonts w:ascii="Times New Roman" w:hAnsi="Times New Roman" w:eastAsia="Times New Roman" w:cs="Times New Roman"/>
        </w:rPr>
        <w:t>Aqıl budur. Kimde fehim varsa, vahşiniň sanyn hasaplasyn; çünki ol adamyň sanydyr; onuň sany Alty ýüz altmyş altydyr. Ylham 13:18.</w:t>
      </w:r>
    </w:p>
    <w:p>
      <w:pPr>
        <w:pStyle w:val="ArticleBody"/>
        <w:jc w:val="left"/>
      </w:pPr>
      <w:r>
        <w:rPr>
          <w:rFonts w:ascii="Times New Roman" w:hAnsi="Times New Roman" w:eastAsia="Times New Roman" w:cs="Times New Roman"/>
        </w:rPr>
        <w:t>«Аҟәыџьра» иадыруеит аԥстәы ианыԥхьаӡара, уи ауаҩы ианыԥхьаӡара ауп, уи ианыԥхьаӡарагьы алты, алты, алты ауп. «Анаӡаара иуаҩ» аԥстәы инахыԥ ауп. Аҟәыџьра аҵыхәтәантәи амшқәа рзы аҟәыӷа аҭыԥҳацәа рсифатуп, насгьы аҵыхәтәантәи амшқәа рзы адырра ацҵара еилызкаауа рдырга ауп. Еилымкаауа ахҭыԥҳацәа хәымгацәоуп, урҭгьы ацәгьоу роуп. Урҭ ирзеилымкаауа «ақәыџьра» аԥааимбартә хымԥадатәиала аҵыхәтәантәи аԥааимбартә ԥышәара аҵаҵӷә аҟны иҟазароуп, избанзар аҟәыӷацәеи ахыԥҳацәа хәымгацәеи анаҩсан ианыҟоу ари аамҭоуп. Урҭ «алты, алты, алты» еилыркаароуп. Аҟәыџьра змоу ахшыҩгьы Иоанн аҵыхәтәантәи амшқәа рзы Аартра абжьажәтәи ахы аҟны ишьҭоуп.</w:t>
      </w:r>
    </w:p>
    <w:p>
      <w:pPr>
        <w:pStyle w:val="ArticleScripture"/>
        <w:jc w:val="left"/>
      </w:pPr>
      <w:r>
        <w:rPr>
          <w:rFonts w:ascii="Times New Roman" w:hAnsi="Times New Roman" w:eastAsia="Times New Roman" w:cs="Times New Roman"/>
        </w:rPr>
        <w:t>ئەمانە بیر و هۆشیارییەکەیە کە دانایی هەیە. ئەو حەوت سەرە، حەوت چیا ن کە ژنەکە لەسەریان دانیشتووە. هەروەها حەوت پاشا هەن: پێنجیان کەوتوون، یەکێک هەیە، ئەوی دیکە هێشتا نەهاتووە؛ و کاتێک دێت، دەبێت ماوەیەکی کەم بمێنێتەوە. ئەو ئاژەڵەش کە هەبوو و ئێستا نییە، ئەو خۆی هەشتەمە، و لەو حەوتانەیە، و بەرەو لەناوچوون دەچێت. ئاشکراکردنەوەی 17:9–11.</w:t>
      </w:r>
    </w:p>
    <w:p>
      <w:pPr>
        <w:pStyle w:val="ArticleBody"/>
        <w:jc w:val="left"/>
      </w:pPr>
      <w:r>
        <w:rPr>
          <w:rFonts w:ascii="Times New Roman" w:hAnsi="Times New Roman" w:eastAsia="Times New Roman" w:cs="Times New Roman"/>
        </w:rPr>
        <w:t>“Akyl” diýilýän, “alty, alty, alty” diýen sany düşünmäge hikmeti bolan, “Mesihiň akylyny” gazanan paýhasly gyzdyr.</w:t>
      </w:r>
    </w:p>
    <w:p>
      <w:pPr>
        <w:pStyle w:val="ArticleScripture"/>
        <w:jc w:val="left"/>
      </w:pPr>
      <w:r>
        <w:rPr>
          <w:rFonts w:ascii="Times New Roman" w:hAnsi="Times New Roman" w:eastAsia="Times New Roman" w:cs="Times New Roman"/>
        </w:rPr>
        <w:t>Eñetỹ mávapa oikuaa pe Ñandejára apytuʼũ, haʼe hag̃ua omboʼe chupe? Ha ñande katu jaguereko Cristo apytuʼũ. 1 Corintios 2:16.</w:t>
      </w:r>
    </w:p>
    <w:p>
      <w:pPr>
        <w:pStyle w:val="ArticleBody"/>
        <w:jc w:val="left"/>
      </w:pPr>
      <w:r>
        <w:rPr>
          <w:rFonts w:ascii="Times New Roman" w:hAnsi="Times New Roman" w:eastAsia="Times New Roman" w:cs="Times New Roman"/>
        </w:rPr>
        <w:t>Huñu ñi di jigéen yu xelal yi am nañu xelum Almasi bi, te jigéen yu ñàkk xel te bon yi am nañu xelum noon Almasi bi.</w:t>
      </w:r>
    </w:p>
    <w:p>
      <w:pPr>
        <w:pStyle w:val="ArticleScripture"/>
        <w:jc w:val="left"/>
      </w:pPr>
      <w:r>
        <w:rPr>
          <w:rFonts w:ascii="Times New Roman" w:hAnsi="Times New Roman" w:eastAsia="Times New Roman" w:cs="Times New Roman"/>
        </w:rPr>
        <w:t>“Ահա հասել է այն ժամանակը, որ ճշմարիտ լույսը շողա բարոյական խավարի մեջ։ Երրորդ հրեշտակի պատգամը ուղարկվել է աշխարհին՝ մարդկանց նախազգուշացնելու, որ չընդունեն գազանի կամ նրա պատկերի նշանը իրենց ճակատներին կամ իրենց ձեռքերի վրա։ Այս նշանը ընդունել նշանակում է գալ նույն որոշմանը, ինչին եկել է գազանը, և պաշտպանել նույն գաղափարները՝ Աստծո խոսքին ուղղակի հակառակությամբ”։ Review and Herald, July 13, 1897.</w:t>
      </w:r>
    </w:p>
    <w:p>
      <w:pPr>
        <w:pStyle w:val="ArticleBody"/>
        <w:jc w:val="left"/>
      </w:pPr>
      <w:r>
        <w:rPr>
          <w:rFonts w:ascii="Times New Roman" w:hAnsi="Times New Roman" w:eastAsia="Times New Roman" w:cs="Times New Roman"/>
        </w:rPr>
        <w:t>Алты ақылсыз қыздың ішінде аңның мүсінінің қалыптасуы — тәмсілдегі қыздар үшін соңғы сынақ, ал дана қыздарда Мәсіхтің ойы бар, өйткені олар Мәсіхпен бірдей шешімге келді, себебі олар өз еріктерін Киелі Рухтың жетекшілігіне бағындырды. Дана қыздарда Мәсіхтің бейнесінің қалыптасуы ақылсыз қыздарда аңның бейнесінің қалыптасуына қарама-қарсы қойылады. Ақылсыз қыздар аңмен бірдей шешімге келеді, өйткені олар антихристті дұрыс айқындауға қатысты сынақ сұрағында шатасты; ол — солтүстіктің жалған патшасы әрі қазіргі Римнің басы.</w:t>
      </w:r>
    </w:p>
    <w:p>
      <w:pPr>
        <w:pStyle w:val="ArticleScripture"/>
        <w:jc w:val="left"/>
      </w:pPr>
      <w:r>
        <w:rPr>
          <w:rFonts w:ascii="Times New Roman" w:hAnsi="Times New Roman" w:eastAsia="Times New Roman" w:cs="Times New Roman"/>
        </w:rPr>
        <w:t>“Ñiẽ va’erã oñemokañýva iñakãme ñe’ẽ rehegua ñehesa’ỹijópe, ha ndohecháiva mba’épa he’ise anticristo, katuete omoĩta ijehe anticristo ykére.” Kress Collection, 105.</w:t>
      </w:r>
    </w:p>
    <w:p>
      <w:pPr>
        <w:pStyle w:val="ArticleBody"/>
        <w:jc w:val="left"/>
      </w:pPr>
      <w:r>
        <w:rPr>
          <w:rFonts w:ascii="Times New Roman" w:hAnsi="Times New Roman" w:eastAsia="Times New Roman" w:cs="Times New Roman"/>
        </w:rPr>
        <w:t>ئەو پاکیزە ژنە نادانانەی کە لە کاتی تاقیکردنەوەدا، کە وەک پێکهاتنی وێنەی ئاژەڵ نیشان دراوە، تێگەیشتنیان بۆ وشەکە تووشی شێواوی دەبێت. ئەم شێواوییەیان لەسەر تێنەگەیشتنیان بۆ وشەی پێشبینیی خودا بنیات نراوە، و چونکە ناتوانن واتای دروستی ڕۆمای نوێ ببینن، گومڕاییەکی بەهێز وەردەگرن، هەمان بڕیاری ئاژەڵ دەدەن، و هەمان بیرۆکە پاپییەکان پشتیوانی دەکەن لە ڕووبەڕووبوونەوەیەکی ڕاستەوخۆ لەگەڵ وشەی خودا، و خۆیان لە لایەن دژە-مەسیحەوە دادەنێن.</w:t>
      </w:r>
    </w:p>
    <w:p>
      <w:pPr>
        <w:pStyle w:val="ArticleBody"/>
        <w:jc w:val="left"/>
      </w:pPr>
      <w:r>
        <w:rPr>
          <w:rFonts w:ascii="Times New Roman" w:hAnsi="Times New Roman" w:eastAsia="Times New Roman" w:cs="Times New Roman"/>
        </w:rPr>
        <w:t>Ami ńsia nsɛm yi so wɔ ɔfa yi mu asɛm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tiiʼaay tukqaa kʼankʼatti — Lakkoofsa Kudha Jaha keessaa</dc:title>
  <dc:subject>Ахьыркы Сынак: Рум символизмын вә пәйғәмбәрликниң үч қат қоллинилишини чүшиниш</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