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 Təsirli Xəbərdarlıqlar - Birinci Nömrə</w:t>
      </w:r>
    </w:p>
    <w:p>
      <w:pPr>
        <w:pStyle w:val="ArticleSubtitle"/>
        <w:jc w:val="left"/>
      </w:pPr>
      <w:r>
        <w:rPr>
          <w:rFonts w:ascii="Nirmala UI" w:hAnsi="Nirmala UI" w:eastAsia="Nirmala UI" w:cs="Nirmala UI"/>
        </w:rPr>
        <w:t>उत्</w:t>
      </w:r>
      <w:r>
        <w:rPr>
          <w:rFonts w:ascii="Arial" w:hAnsi="Arial" w:eastAsia="Arial" w:cs="Arial"/>
        </w:rPr>
        <w:t>‍</w:t>
      </w:r>
      <w:r>
        <w:rPr>
          <w:rFonts w:ascii="Nirmala UI" w:hAnsi="Nirmala UI" w:eastAsia="Nirmala UI" w:cs="Nirmala UI"/>
        </w:rPr>
        <w:t>पन्न</w:t>
      </w:r>
      <w:r>
        <w:rPr>
          <w:rFonts w:ascii="Arial" w:hAnsi="Arial" w:eastAsia="Arial" w:cs="Arial"/>
        </w:rPr>
        <w:t xml:space="preserve"> </w:t>
      </w:r>
      <w:r>
        <w:rPr>
          <w:rFonts w:ascii="Nirmala UI" w:hAnsi="Nirmala UI" w:eastAsia="Nirmala UI" w:cs="Nirmala UI"/>
        </w:rPr>
        <w:t>मानवजाति</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लिए</w:t>
      </w:r>
      <w:r>
        <w:rPr>
          <w:rFonts w:ascii="Arial" w:hAnsi="Arial" w:eastAsia="Arial" w:cs="Arial"/>
        </w:rPr>
        <w:t xml:space="preserve"> </w:t>
      </w:r>
      <w:r>
        <w:rPr>
          <w:rFonts w:ascii="Nirmala UI" w:hAnsi="Nirmala UI" w:eastAsia="Nirmala UI" w:cs="Nirmala UI"/>
        </w:rPr>
        <w:t>अंतिम</w:t>
      </w:r>
      <w:r>
        <w:rPr>
          <w:rFonts w:ascii="Arial" w:hAnsi="Arial" w:eastAsia="Arial" w:cs="Arial"/>
        </w:rPr>
        <w:t xml:space="preserve"> </w:t>
      </w:r>
      <w:r>
        <w:rPr>
          <w:rFonts w:ascii="Nirmala UI" w:hAnsi="Nirmala UI" w:eastAsia="Nirmala UI" w:cs="Nirmala UI"/>
        </w:rPr>
        <w:t>चेतावनी</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ज्ञान</w:t>
      </w:r>
      <w:r>
        <w:rPr>
          <w:rFonts w:ascii="Arial" w:hAnsi="Arial" w:eastAsia="Arial" w:cs="Arial"/>
        </w:rPr>
        <w:t xml:space="preserve">: </w:t>
      </w:r>
      <w:r>
        <w:rPr>
          <w:rFonts w:ascii="Nirmala UI" w:hAnsi="Nirmala UI" w:eastAsia="Nirmala UI" w:cs="Nirmala UI"/>
        </w:rPr>
        <w:t>येशु</w:t>
      </w:r>
      <w:r>
        <w:rPr>
          <w:rFonts w:ascii="Arial" w:hAnsi="Arial" w:eastAsia="Arial" w:cs="Arial"/>
        </w:rPr>
        <w:t xml:space="preserve"> </w:t>
      </w:r>
      <w:r>
        <w:rPr>
          <w:rFonts w:ascii="Nirmala UI" w:hAnsi="Nirmala UI" w:eastAsia="Nirmala UI" w:cs="Nirmala UI"/>
        </w:rPr>
        <w:t>मसीह</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प्रकाशन</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A “Jesus Kristo qhanstïwipa” Diosan markaparux qhanstayiwa kunapachatix “pachax jak’ankxi” ukhaxa. Jaqinakan yantʼäwip tukusiñ janïrïkipanxa, jaqinakar churat qhipa amuytʼäwi yatiyäwixa churarakiwa; ukat uka qhipa yatiyäwixa Bibliapan walja profético saräwinakan uñachtʼayatawa. Apocalipsis tunca pusinxa, uka qhipa amuytʼäwi yatiyäwixa kimsa angelanakan uñachtʼäwipampiw uñachtʼayasi.</w:t>
      </w:r>
    </w:p>
    <w:p>
      <w:pPr>
        <w:pStyle w:val="ArticleScripture"/>
        <w:jc w:val="left"/>
      </w:pPr>
      <w:r>
        <w:rPr>
          <w:rFonts w:ascii="Times New Roman" w:hAnsi="Times New Roman" w:eastAsia="Times New Roman" w:cs="Times New Roman"/>
        </w:rPr>
        <w:t>Ts'an yéego shí éí ángel t'áá 'áłts'íísígíígo bikáá'gi nahalinígíí ashłá, díí asdzáán dóó hastiin kéyahgóó nidaalnishígíí biniiyé t'áá ałtso ayóo baa hane'ígíí bika'gi hane' bee hasht'e'go, t'áá ałtso dine'é, kéyah, bizaad, dóó naashá bee hadíílnihígíí biniiyé. T'áá ajiłii'go yá'át'ééhgo yił yáníłti': Diyin God bee hodíilzin dóó bits'ą́ą́dóó hózhǫ́ǫgo yił nitsáhákees; biniinaago bich'į́' hodooníłígíí saad hólǫ́ǫgo ájiłii'; dóó yił nahasdzáán, kéyah, tó, dóó tó yiiyáhígíí éí yiłahgo ádahwiilyaaígíí bich'į́' naashá.</w:t>
      </w:r>
    </w:p>
    <w:p>
      <w:pPr>
        <w:pStyle w:val="ArticleScripture"/>
        <w:jc w:val="left"/>
      </w:pPr>
      <w:r>
        <w:rPr>
          <w:rFonts w:ascii="Times New Roman" w:hAnsi="Times New Roman" w:eastAsia="Times New Roman" w:cs="Times New Roman"/>
        </w:rPr>
        <w:t>Kénpa, ambue áraha oho hapykuéri he'ívo: Ho'a, ho'a Babilonia, upe táva guasu, ha'e ojapo opa tetãnguéra hoy'u hag̃ua hekovai ñemoakãrasy pochy ryrýigui.</w:t>
      </w:r>
    </w:p>
    <w:p>
      <w:pPr>
        <w:pStyle w:val="ArticleScripture"/>
        <w:jc w:val="left"/>
      </w:pPr>
      <w:r>
        <w:rPr>
          <w:rFonts w:ascii="Times New Roman" w:hAnsi="Times New Roman" w:eastAsia="Times New Roman" w:cs="Times New Roman"/>
        </w:rPr>
        <w:t>ئەمەش سێهەم فریشتە دوای ئەوان هات، بە دەنگێکی بەرز دەگوت: ئەگەر کەسێک ئاژەڵەکە و وێنەی ئەوی بپەرستێت، و نیشانەکەی لە ناوچەوانی خۆی یان لەسەر دەستی خۆی وەربگرێت، ئەوە هەمان کەس لە شەرابی تووڕەیی خودا دەخوات، ئەوەی بە بێ تێکەڵکردن لە کاسەی قەهرەکەی ڕژێنراوە؛ و بە ئاگر و گۆگرد ئازار دەدرێت لەبەردەم فریشتە پیرۆزەکان و لەبەردەم بەرخەکەدا. و دووکەڵی ئازاریان بۆ هەمیشە و هەتاهەتایە سەردەکەوێت؛ و ئەوانەی ئاژەڵەکە و وێنەی ئەوی دەپەرستن، و هەرکەسێک نیشانەی ناوی ئەوی وەردەگرێت، شەو و ڕۆژ هیچ پشوویان نابێت. لێرەدا ئارامی و خۆڕاگریی پیرۆزانە؛ لێرەدانە ئەوانەی ڕاسپاردەکانی خودا و باوەڕی عیسا دەپارێزن. ئاشکرابوونەوەی یۆحەنا 14:6–12.</w:t>
      </w:r>
    </w:p>
    <w:p>
      <w:pPr>
        <w:pStyle w:val="ArticleBody"/>
        <w:jc w:val="left"/>
      </w:pPr>
      <w:r>
        <w:rPr>
          <w:rFonts w:ascii="Times New Roman" w:hAnsi="Times New Roman" w:eastAsia="Times New Roman" w:cs="Times New Roman"/>
        </w:rPr>
        <w:t>ڕؤیای حەژدەدا هەمان پەیامە هاتنەخوارەوەی بابڵ ئاگادار دەکات.</w:t>
      </w:r>
    </w:p>
    <w:p>
      <w:pPr>
        <w:pStyle w:val="ArticleScripture"/>
        <w:jc w:val="left"/>
      </w:pPr>
      <w:r>
        <w:rPr>
          <w:rFonts w:ascii="Times New Roman" w:hAnsi="Times New Roman" w:eastAsia="Times New Roman" w:cs="Times New Roman"/>
        </w:rPr>
        <w:t>Ataw hiri txepe t'ij xwil jun chik ángel xqaj loq' chila' chikaj, k'o nim uq'ij; ruma ri ujuluwem xsaqirisax ruma ruq'ijil. Xuraq uchi' ruk' jun ch'awem ko, xub'ij: Tzaqinaq, tzaqinaq Babilonia nimalaj tinimit, xuya' ri' chi rachoch itzel taq espíritus, chi k'olib'al rech ronojel itzel espíritu, xuquje' chi jul rech ronojel tz'iquin ajch'uluj, itzel kilik. Rumal konojel ri tinimit xeq'axik che ri vin re royowal rachi'laj tzijonem; ri taq reyes rech ri uwachulew xkib'an achi'laj tzijonem ruk' ri'; xuquje' ri taq k'ayib'al rech ri uwachulew xeb'iyomir ruma runimal ri q'uiy taq uq'ijil. Kinto tajin xinta jun chik ch'awem chila' chikaj, xub'ij: Eloq' ix chupan ri', we tinamit, rech man kixok ta che ri umak, xuquje' rech man k'ulmataj ta chwech ix ri taq rayo'b'al puwi'. Rumal ri umak xopan k'a chila' chikaj, xuquje' Dios xna'taj che ri taq umaq. Apocalipsis 18:1–5.</w:t>
      </w:r>
    </w:p>
    <w:p>
      <w:pPr>
        <w:pStyle w:val="ArticleBody"/>
        <w:jc w:val="left"/>
      </w:pPr>
      <w:r>
        <w:rPr>
          <w:rFonts w:ascii="Ebrima" w:hAnsi="Ebrima" w:eastAsia="Ebrima" w:cs="Ebrima"/>
        </w:rPr>
        <w:t>በትንቢታዊ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መስመር፣</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በምንም</w:t>
      </w:r>
      <w:r>
        <w:rPr>
          <w:rFonts w:ascii="Times New Roman" w:hAnsi="Times New Roman" w:eastAsia="Times New Roman" w:cs="Times New Roman"/>
        </w:rPr>
        <w:t xml:space="preserve"> </w:t>
      </w:r>
      <w:r>
        <w:rPr>
          <w:rFonts w:ascii="Ebrima" w:hAnsi="Ebrima" w:eastAsia="Ebrima" w:cs="Ebrima"/>
        </w:rPr>
        <w:t>መልኩ</w:t>
      </w:r>
      <w:r>
        <w:rPr>
          <w:rFonts w:ascii="Times New Roman" w:hAnsi="Times New Roman" w:eastAsia="Times New Roman" w:cs="Times New Roman"/>
        </w:rPr>
        <w:t xml:space="preserve"> </w:t>
      </w:r>
      <w:r>
        <w:rPr>
          <w:rFonts w:ascii="Ebrima" w:hAnsi="Ebrima" w:eastAsia="Ebrima" w:cs="Ebrima"/>
        </w:rPr>
        <w:t>ልንል</w:t>
      </w:r>
      <w:r>
        <w:rPr>
          <w:rFonts w:ascii="Times New Roman" w:hAnsi="Times New Roman" w:eastAsia="Times New Roman" w:cs="Times New Roman"/>
        </w:rPr>
        <w:t xml:space="preserve"> </w:t>
      </w:r>
      <w:r>
        <w:rPr>
          <w:rFonts w:ascii="Ebrima" w:hAnsi="Ebrima" w:eastAsia="Ebrima" w:cs="Ebrima"/>
        </w:rPr>
        <w:t>ብንፈልግ፣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በክብሩ</w:t>
      </w:r>
      <w:r>
        <w:rPr>
          <w:rFonts w:ascii="Times New Roman" w:hAnsi="Times New Roman" w:eastAsia="Times New Roman" w:cs="Times New Roman"/>
        </w:rPr>
        <w:t xml:space="preserve"> </w:t>
      </w:r>
      <w:r>
        <w:rPr>
          <w:rFonts w:ascii="Ebrima" w:hAnsi="Ebrima" w:eastAsia="Ebrima" w:cs="Ebrima"/>
        </w:rPr>
        <w:t>የሚያበራው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የሚወክለው</w:t>
      </w:r>
      <w:r>
        <w:rPr>
          <w:rFonts w:ascii="Times New Roman" w:hAnsi="Times New Roman" w:eastAsia="Times New Roman" w:cs="Times New Roman"/>
        </w:rPr>
        <w:t xml:space="preserve"> </w:t>
      </w:r>
      <w:r>
        <w:rPr>
          <w:rFonts w:ascii="Ebrima" w:hAnsi="Ebrima" w:eastAsia="Ebrima" w:cs="Ebrima"/>
        </w:rPr>
        <w:t>የክስተቶች</w:t>
      </w:r>
      <w:r>
        <w:rPr>
          <w:rFonts w:ascii="Times New Roman" w:hAnsi="Times New Roman" w:eastAsia="Times New Roman" w:cs="Times New Roman"/>
        </w:rPr>
        <w:t xml:space="preserve"> </w:t>
      </w:r>
      <w:r>
        <w:rPr>
          <w:rFonts w:ascii="Ebrima" w:hAnsi="Ebrima" w:eastAsia="Ebrima" w:cs="Ebrima"/>
        </w:rPr>
        <w:t>ቅደም</w:t>
      </w:r>
      <w:r>
        <w:rPr>
          <w:rFonts w:ascii="Times New Roman" w:hAnsi="Times New Roman" w:eastAsia="Times New Roman" w:cs="Times New Roman"/>
        </w:rPr>
        <w:t xml:space="preserve"> </w:t>
      </w:r>
      <w:r>
        <w:rPr>
          <w:rFonts w:ascii="Ebrima" w:hAnsi="Ebrima" w:eastAsia="Ebrima" w:cs="Ebrima"/>
        </w:rPr>
        <w:t>ተከተል፣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ፍርድ</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መዘጋት፣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መቅሰፍቶች</w:t>
      </w:r>
      <w:r>
        <w:rPr>
          <w:rFonts w:ascii="Times New Roman" w:hAnsi="Times New Roman" w:eastAsia="Times New Roman" w:cs="Times New Roman"/>
        </w:rPr>
        <w:t xml:space="preserve"> </w:t>
      </w:r>
      <w:r>
        <w:rPr>
          <w:rFonts w:ascii="Ebrima" w:hAnsi="Ebrima" w:eastAsia="Ebrima" w:cs="Ebrima"/>
        </w:rPr>
        <w:t>የሚያመሩ</w:t>
      </w:r>
      <w:r>
        <w:rPr>
          <w:rFonts w:ascii="Times New Roman" w:hAnsi="Times New Roman" w:eastAsia="Times New Roman" w:cs="Times New Roman"/>
        </w:rPr>
        <w:t xml:space="preserve"> </w:t>
      </w:r>
      <w:r>
        <w:rPr>
          <w:rFonts w:ascii="Ebrima" w:hAnsi="Ebrima" w:eastAsia="Ebrima" w:cs="Ebrima"/>
        </w:rPr>
        <w:t>ክስተቶችን</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ስምንት</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በምዕራፍ</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ባሉት</w:t>
      </w:r>
      <w:r>
        <w:rPr>
          <w:rFonts w:ascii="Times New Roman" w:hAnsi="Times New Roman" w:eastAsia="Times New Roman" w:cs="Times New Roman"/>
        </w:rPr>
        <w:t xml:space="preserve"> </w:t>
      </w:r>
      <w:r>
        <w:rPr>
          <w:rFonts w:ascii="Ebrima" w:hAnsi="Ebrima" w:eastAsia="Ebrima" w:cs="Ebrima"/>
        </w:rPr>
        <w:t>ሶስቱ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የተወከለውን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ትይዩ</w:t>
      </w:r>
      <w:r>
        <w:rPr>
          <w:rFonts w:ascii="Times New Roman" w:hAnsi="Times New Roman" w:eastAsia="Times New Roman" w:cs="Times New Roman"/>
        </w:rPr>
        <w:t xml:space="preserve">” </w:t>
      </w:r>
      <w:r>
        <w:rPr>
          <w:rFonts w:ascii="Ebrima" w:hAnsi="Ebrima" w:eastAsia="Ebrima" w:cs="Ebrima"/>
        </w:rPr>
        <w:t>ይሄዳል።</w:t>
      </w:r>
    </w:p>
    <w:p>
      <w:pPr>
        <w:pStyle w:val="ArticleScripture"/>
        <w:jc w:val="left"/>
      </w:pPr>
      <w:r>
        <w:rPr>
          <w:rFonts w:ascii="Times New Roman" w:hAnsi="Times New Roman" w:eastAsia="Times New Roman" w:cs="Times New Roman"/>
        </w:rPr>
        <w:t>“Gizi tikii Isiqendu 14 c’ Ibyahishuwe umwanya wabyo mu murongo w’ubuhanuzi, kandi umurimo wabyo ntuzahagarara kugeza ku mperuka y’amateka y’iyi si. Ubutumwa bw’umumarayika wa mbere n’ubw’umwa kabiri buracyari ukuri kw’iki gihe, kandi bugomba kugendana n’ubu bukurikiraho. Umumarayika wa gatatu atangaza umuburo we mu ijwi riranguruye. ‘Hanyuma y’ibyo bintu,’ ni ko Yohana yavuze, ‘nabonye undi mumarayika amanuka ava mu ijuru, afite imbaraga nyinshi, kandi isi imurikirwa n’ubwiza bwe.’ Muri uko kumurikirwa, urumuri rw’ubutumwa bwose uko ari butatu rwahujwe.” The 1888 Materials, 803, 804.</w:t>
      </w:r>
    </w:p>
    <w:p>
      <w:pPr>
        <w:pStyle w:val="ArticleBody"/>
        <w:jc w:val="left"/>
      </w:pPr>
      <w:r>
        <w:rPr>
          <w:rFonts w:ascii="Times New Roman" w:hAnsi="Times New Roman" w:eastAsia="Times New Roman" w:cs="Times New Roman"/>
        </w:rPr>
        <w:t>بابى ئوننالىنچىنىڭ اوچ انجلوسۇ اسماننىڭ ئوتتۇرىسىدا ئۇچۇپ يۈرگىنى، ھايۋاننىڭ بەلگىسى ۋە سىناق مۇددىتىنىڭ تاقىلىشى بىلەن ئاخىرلىدىغان دۇنياۋى بىر خەۋەرنى سىمۋوللاشتۇرىدۇ. بابى ئون سەككىزدە پۈتۈن يەر يۈزى، پەرىشتىنىڭ شان-شەرەپى بىلەن يورۇتۇلىدۇ؛ ئۇنىڭ خەۋىرىمۇ سىناق مۇددىتىنىڭ تاقىلىشى بىلەن ئاخىرلىدۇ.</w:t>
      </w:r>
    </w:p>
    <w:p>
      <w:pPr>
        <w:pStyle w:val="ArticleBody"/>
        <w:jc w:val="left"/>
      </w:pPr>
      <w:r>
        <w:rPr>
          <w:rFonts w:ascii="Times New Roman" w:hAnsi="Times New Roman" w:eastAsia="Times New Roman" w:cs="Times New Roman"/>
        </w:rPr>
        <w:t>E tiñan mensahe a naisimsimbolo babaen kadagiti tallo nga angel idiay kapitulo katorse, ken a naisimsimbolo met babaen iti anghel a bumababa idiay kapitulo dieciocho, ket dua a pannakaipaduyakyak ti maymaysa a mensahe ti ballaag. Awan ti aniaman a maisubli a di masapul iti Biblia, awan ti aniaman a nasayang. Ti kinapudno a ti isu met laeng a mensahe ket nabilang a nasurot a makitakitaan ni Juan iti adu a daras, ket maysa a panangipabigbig iti kinapateg ti mensahe, ken iladawanna ti nadiosan a pamay-an ti panangisuro a maysa a paglintegan a bibliko a maawagan a “ulit ken palawaen.” Ti panangiyegkadua kadagiti dua a linya ti naimpadtoan a pakasaritaan ket mangiparangarang kadagiti kinapudno a saan a mabigbig iti aniaman kadagitoy a linya no kitaen ida a naisina manipud iti sabali a linya. Itatta, no iyegmo iti hukoman ti dua a saksi ti isu met laeng a pasamak tapno agsaksi, mabalin unay a mangtedda kadagiti agsupadi a pakabigbig gapu iti politikal wenno sosyal a ideolohiya da. Saan a kasta iti kaso dagiti saksit ti Biblia; kankanayon a panagkakatulnogda, ket no kasla kadakayo a saanda nga agtutunos, ket kitaem iti maysa a banag a di umiso.</w:t>
      </w:r>
    </w:p>
    <w:p>
      <w:pPr>
        <w:pStyle w:val="ArticleBody"/>
        <w:jc w:val="left"/>
      </w:pPr>
      <w:r>
        <w:rPr>
          <w:rFonts w:ascii="Nirmala UI" w:hAnsi="Nirmala UI" w:eastAsia="Nirmala UI" w:cs="Nirmala UI"/>
        </w:rPr>
        <w:t>୨୍ଲାମାନେ</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ଉଦାହରଣ</w:t>
      </w:r>
      <w:r>
        <w:rPr>
          <w:rFonts w:ascii="Times New Roman" w:hAnsi="Times New Roman" w:eastAsia="Times New Roman" w:cs="Times New Roman"/>
        </w:rPr>
        <w:t xml:space="preserve"> </w:t>
      </w:r>
      <w:r>
        <w:rPr>
          <w:rFonts w:ascii="Nirmala UI" w:hAnsi="Nirmala UI" w:eastAsia="Nirmala UI" w:cs="Nirmala UI"/>
        </w:rPr>
        <w:t>ମଳାଖୀର</w:t>
      </w:r>
      <w:r>
        <w:rPr>
          <w:rFonts w:ascii="Times New Roman" w:hAnsi="Times New Roman" w:eastAsia="Times New Roman" w:cs="Times New Roman"/>
        </w:rPr>
        <w:t xml:space="preserve"> </w:t>
      </w:r>
      <w:r>
        <w:rPr>
          <w:rFonts w:ascii="Nirmala UI" w:hAnsi="Nirmala UI" w:eastAsia="Nirmala UI" w:cs="Nirmala UI"/>
        </w:rPr>
        <w:t>ପୁସ୍ତକ</w:t>
      </w:r>
      <w:r>
        <w:rPr>
          <w:rFonts w:ascii="Times New Roman" w:hAnsi="Times New Roman" w:eastAsia="Times New Roman" w:cs="Times New Roman"/>
        </w:rPr>
        <w:t xml:space="preserve"> </w:t>
      </w:r>
      <w:r>
        <w:rPr>
          <w:rFonts w:ascii="Nirmala UI" w:hAnsi="Nirmala UI" w:eastAsia="Nirmala UI" w:cs="Nirmala UI"/>
        </w:rPr>
        <w:t>ଯାହାକୁ</w:t>
      </w:r>
      <w:r>
        <w:rPr>
          <w:rFonts w:ascii="Times New Roman" w:hAnsi="Times New Roman" w:eastAsia="Times New Roman" w:cs="Times New Roman"/>
        </w:rPr>
        <w:t xml:space="preserve"> </w:t>
      </w:r>
      <w:r>
        <w:rPr>
          <w:rFonts w:ascii="Nirmala UI" w:hAnsi="Nirmala UI" w:eastAsia="Nirmala UI" w:cs="Nirmala UI"/>
        </w:rPr>
        <w:t>ଭବିଷ୍ୟଦ୍ଦଷ୍ଟା</w:t>
      </w:r>
      <w:r>
        <w:rPr>
          <w:rFonts w:ascii="Times New Roman" w:hAnsi="Times New Roman" w:eastAsia="Times New Roman" w:cs="Times New Roman"/>
        </w:rPr>
        <w:t xml:space="preserve"> </w:t>
      </w:r>
      <w:r>
        <w:rPr>
          <w:rFonts w:ascii="Nirmala UI" w:hAnsi="Nirmala UI" w:eastAsia="Nirmala UI" w:cs="Nirmala UI"/>
        </w:rPr>
        <w:t>ଏଲିୟାଙ୍କର</w:t>
      </w:r>
      <w:r>
        <w:rPr>
          <w:rFonts w:ascii="Times New Roman" w:hAnsi="Times New Roman" w:eastAsia="Times New Roman" w:cs="Times New Roman"/>
        </w:rPr>
        <w:t xml:space="preserve"> </w:t>
      </w:r>
      <w:r>
        <w:rPr>
          <w:rFonts w:ascii="Nirmala UI" w:hAnsi="Nirmala UI" w:eastAsia="Nirmala UI" w:cs="Nirmala UI"/>
        </w:rPr>
        <w:t>ପୁନରାଗମନ</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ପ୍ରତିପାଦନ</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ସେଇ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ଚେତାବନୀର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w:t>
      </w:r>
      <w:r>
        <w:rPr>
          <w:rFonts w:ascii="Nirmala UI" w:hAnsi="Nirmala UI" w:eastAsia="Nirmala UI" w:cs="Nirmala UI"/>
        </w:rPr>
        <w:t>କାରଣ</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ତିନୋଟି</w:t>
      </w:r>
      <w:r>
        <w:rPr>
          <w:rFonts w:ascii="Times New Roman" w:hAnsi="Times New Roman" w:eastAsia="Times New Roman" w:cs="Times New Roman"/>
        </w:rPr>
        <w:t xml:space="preserve"> </w:t>
      </w:r>
      <w:r>
        <w:rPr>
          <w:rFonts w:ascii="Nirmala UI" w:hAnsi="Nirmala UI" w:eastAsia="Nirmala UI" w:cs="Nirmala UI"/>
        </w:rPr>
        <w:t>ଧାରାରେ</w:t>
      </w:r>
      <w:r>
        <w:rPr>
          <w:rFonts w:ascii="Times New Roman" w:hAnsi="Times New Roman" w:eastAsia="Times New Roman" w:cs="Times New Roman"/>
        </w:rPr>
        <w:t xml:space="preserve"> </w:t>
      </w:r>
      <w:r>
        <w:rPr>
          <w:rFonts w:ascii="Nirmala UI" w:hAnsi="Nirmala UI" w:eastAsia="Nirmala UI" w:cs="Nirmala UI"/>
        </w:rPr>
        <w:t>ନିହିତ</w:t>
      </w:r>
      <w:r>
        <w:rPr>
          <w:rFonts w:ascii="Times New Roman" w:hAnsi="Times New Roman" w:eastAsia="Times New Roman" w:cs="Times New Roman"/>
        </w:rPr>
        <w:t xml:space="preserve"> </w:t>
      </w:r>
      <w:r>
        <w:rPr>
          <w:rFonts w:ascii="Nirmala UI" w:hAnsi="Nirmala UI" w:eastAsia="Nirmala UI" w:cs="Nirmala UI"/>
        </w:rPr>
        <w:t>ଚେତାବନୀର</w:t>
      </w:r>
      <w:r>
        <w:rPr>
          <w:rFonts w:ascii="Times New Roman" w:hAnsi="Times New Roman" w:eastAsia="Times New Roman" w:cs="Times New Roman"/>
        </w:rPr>
        <w:t xml:space="preserve"> </w:t>
      </w:r>
      <w:r>
        <w:rPr>
          <w:rFonts w:ascii="Nirmala UI" w:hAnsi="Nirmala UI" w:eastAsia="Nirmala UI" w:cs="Nirmala UI"/>
        </w:rPr>
        <w:t>ସନ୍ଦେଶମାନେ</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ପୂର୍ବରୁ</w:t>
      </w:r>
      <w:r>
        <w:rPr>
          <w:rFonts w:ascii="Times New Roman" w:hAnsi="Times New Roman" w:eastAsia="Times New Roman" w:cs="Times New Roman"/>
        </w:rPr>
        <w:t xml:space="preserve"> </w:t>
      </w:r>
      <w:r>
        <w:rPr>
          <w:rFonts w:ascii="Nirmala UI" w:hAnsi="Nirmala UI" w:eastAsia="Nirmala UI" w:cs="Nirmala UI"/>
        </w:rPr>
        <w:t>ଦିଆଯାଇନଥାଏ</w:t>
      </w:r>
      <w:r>
        <w:rPr>
          <w:rFonts w:ascii="Times New Roman" w:hAnsi="Times New Roman" w:eastAsia="Times New Roman" w:cs="Times New Roman"/>
        </w:rPr>
        <w:t xml:space="preserve">, </w:t>
      </w:r>
      <w:r>
        <w:rPr>
          <w:rFonts w:ascii="Nirmala UI" w:hAnsi="Nirmala UI" w:eastAsia="Nirmala UI" w:cs="Nirmala UI"/>
        </w:rPr>
        <w:t>ବରଂ</w:t>
      </w:r>
      <w:r>
        <w:rPr>
          <w:rFonts w:ascii="Times New Roman" w:hAnsi="Times New Roman" w:eastAsia="Times New Roman" w:cs="Times New Roman"/>
        </w:rPr>
        <w:t xml:space="preserve"> </w:t>
      </w:r>
      <w:r>
        <w:rPr>
          <w:rFonts w:ascii="Nirmala UI" w:hAnsi="Nirmala UI" w:eastAsia="Nirmala UI" w:cs="Nirmala UI"/>
        </w:rPr>
        <w:t>ପରୀକ୍ଷାକାଳର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ଚେତାବନୀମୂଳକ</w:t>
      </w:r>
      <w:r>
        <w:rPr>
          <w:rFonts w:ascii="Times New Roman" w:hAnsi="Times New Roman" w:eastAsia="Times New Roman" w:cs="Times New Roman"/>
        </w:rPr>
        <w:t xml:space="preserve"> </w:t>
      </w:r>
      <w:r>
        <w:rPr>
          <w:rFonts w:ascii="Nirmala UI" w:hAnsi="Nirmala UI" w:eastAsia="Nirmala UI" w:cs="Nirmala UI"/>
        </w:rPr>
        <w:t>ସନ୍ଦେଶମାନଙ୍କର</w:t>
      </w:r>
      <w:r>
        <w:rPr>
          <w:rFonts w:ascii="Times New Roman" w:hAnsi="Times New Roman" w:eastAsia="Times New Roman" w:cs="Times New Roman"/>
        </w:rPr>
        <w:t xml:space="preserve"> </w:t>
      </w:r>
      <w:r>
        <w:rPr>
          <w:rFonts w:ascii="Nirmala UI" w:hAnsi="Nirmala UI" w:eastAsia="Nirmala UI" w:cs="Nirmala UI"/>
        </w:rPr>
        <w:t>ସନ୍ଦର୍ଭବିନ୍ଦୁ</w:t>
      </w:r>
      <w:r>
        <w:rPr>
          <w:rFonts w:ascii="Times New Roman" w:hAnsi="Times New Roman" w:eastAsia="Times New Roman" w:cs="Times New Roman"/>
        </w:rPr>
        <w:t xml:space="preserve">, </w:t>
      </w:r>
      <w:r>
        <w:rPr>
          <w:rFonts w:ascii="Nirmala UI" w:hAnsi="Nirmala UI" w:eastAsia="Nirmala UI" w:cs="Nirmala UI"/>
        </w:rPr>
        <w:t>ଅର୍ଥାତ୍</w:t>
      </w:r>
      <w:r>
        <w:rPr>
          <w:rFonts w:ascii="Times New Roman" w:hAnsi="Times New Roman" w:eastAsia="Times New Roman" w:cs="Times New Roman"/>
        </w:rPr>
        <w:t xml:space="preserve"> </w:t>
      </w:r>
      <w:r>
        <w:rPr>
          <w:rFonts w:ascii="Nirmala UI" w:hAnsi="Nirmala UI" w:eastAsia="Nirmala UI" w:cs="Nirmala UI"/>
        </w:rPr>
        <w:t>କହିବାକୁ</w:t>
      </w:r>
      <w:r>
        <w:rPr>
          <w:rFonts w:ascii="Times New Roman" w:hAnsi="Times New Roman" w:eastAsia="Times New Roman" w:cs="Times New Roman"/>
        </w:rPr>
        <w:t xml:space="preserve"> </w:t>
      </w:r>
      <w:r>
        <w:rPr>
          <w:rFonts w:ascii="Nirmala UI" w:hAnsi="Nirmala UI" w:eastAsia="Nirmala UI" w:cs="Nirmala UI"/>
        </w:rPr>
        <w:t>ଗଲେ</w:t>
      </w:r>
      <w:r>
        <w:rPr>
          <w:rFonts w:ascii="Times New Roman" w:hAnsi="Times New Roman" w:eastAsia="Times New Roman" w:cs="Times New Roman"/>
        </w:rPr>
        <w:t xml:space="preserve">, </w:t>
      </w:r>
      <w:r>
        <w:rPr>
          <w:rFonts w:ascii="Nirmala UI" w:hAnsi="Nirmala UI" w:eastAsia="Nirmala UI" w:cs="Nirmala UI"/>
        </w:rPr>
        <w:t>ସେଗୁଡ଼ିକର</w:t>
      </w:r>
      <w:r>
        <w:rPr>
          <w:rFonts w:ascii="Times New Roman" w:hAnsi="Times New Roman" w:eastAsia="Times New Roman" w:cs="Times New Roman"/>
        </w:rPr>
        <w:t xml:space="preserve"> </w:t>
      </w:r>
      <w:r>
        <w:rPr>
          <w:rFonts w:ascii="Nirmala UI" w:hAnsi="Nirmala UI" w:eastAsia="Nirmala UI" w:cs="Nirmala UI"/>
        </w:rPr>
        <w:t>ବିଷୟ</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ଯଦି</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ଚେତାବନୀର</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ଭବିଷ୍ୟଦ୍ଦଷ୍ଟାଙ୍କ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ପ୍ରଖ୍ୟାପିତ</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ସନ୍ଦେଶ</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ଚୌଦ</w:t>
      </w:r>
      <w:r>
        <w:rPr>
          <w:rFonts w:ascii="Times New Roman" w:hAnsi="Times New Roman" w:eastAsia="Times New Roman" w:cs="Times New Roman"/>
        </w:rPr>
        <w:t xml:space="preserve">, </w:t>
      </w:r>
      <w:r>
        <w:rPr>
          <w:rFonts w:ascii="Nirmala UI" w:hAnsi="Nirmala UI" w:eastAsia="Nirmala UI" w:cs="Nirmala UI"/>
        </w:rPr>
        <w:t>ଅଠାର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ମଳାଖୀର</w:t>
      </w:r>
      <w:r>
        <w:rPr>
          <w:rFonts w:ascii="Times New Roman" w:hAnsi="Times New Roman" w:eastAsia="Times New Roman" w:cs="Times New Roman"/>
        </w:rPr>
        <w:t xml:space="preserve"> </w:t>
      </w:r>
      <w:r>
        <w:rPr>
          <w:rFonts w:ascii="Nirmala UI" w:hAnsi="Nirmala UI" w:eastAsia="Nirmala UI" w:cs="Nirmala UI"/>
        </w:rPr>
        <w:t>ଏଲିୟା</w:t>
      </w:r>
      <w:r>
        <w:rPr>
          <w:rFonts w:ascii="Times New Roman" w:hAnsi="Times New Roman" w:eastAsia="Times New Roman" w:cs="Times New Roman"/>
        </w:rPr>
        <w:t>-</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ସେଇ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ଚେତାବନୀ</w:t>
      </w:r>
      <w:r>
        <w:rPr>
          <w:rFonts w:ascii="Times New Roman" w:hAnsi="Times New Roman" w:eastAsia="Times New Roman" w:cs="Times New Roman"/>
        </w:rPr>
        <w:t xml:space="preserve"> </w:t>
      </w:r>
      <w:r>
        <w:rPr>
          <w:rFonts w:ascii="Nirmala UI" w:hAnsi="Nirmala UI" w:eastAsia="Nirmala UI" w:cs="Nirmala UI"/>
        </w:rPr>
        <w:t>ଅଟେ।</w:t>
      </w:r>
    </w:p>
    <w:p>
      <w:pPr>
        <w:pStyle w:val="ArticleBody"/>
        <w:jc w:val="left"/>
      </w:pPr>
      <w:r>
        <w:rPr>
          <w:rFonts w:ascii="Times New Roman" w:hAnsi="Times New Roman" w:eastAsia="Times New Roman" w:cs="Times New Roman"/>
        </w:rPr>
        <w:t>Ibimenyetso bitatu by’ubuhanuzi bishobora kugaragazwa bitagoranye ko bihurirana. Ibyo bimaze kuvugwa, hari amasoko abiri y’ingenzi y’amakuru mu buhanuzi bwa Bibiliya. Irya mbere ni ukumenya urukurikirane rw’ibyabaye bigenda biba ku iherezo ry’isi. Irindi soko ry’amakuru ni ishusho y’ibikorwa by’abahanuzi bifitanye isano n’ubutumwa bugaragaza ibyabaye byo mu gihe kizaza.</w:t>
      </w:r>
    </w:p>
    <w:p>
      <w:pPr>
        <w:pStyle w:val="ArticleBody"/>
        <w:jc w:val="left"/>
      </w:pPr>
      <w:r>
        <w:rPr>
          <w:rFonts w:ascii="Times New Roman" w:hAnsi="Times New Roman" w:eastAsia="Times New Roman" w:cs="Times New Roman"/>
        </w:rPr>
        <w:t>Asono mmyɛtohɔ mmienu na ɛfata sɛ yɛhwɛ ho wɔ nsusuiɛ yi ho. Nea ɛdi kan ne sɛ adiyifoɔ nyinaa kasa fa wiase awieeɛ ho, baabi a ɔsɔhwɛ berɛ no to twa.</w:t>
      </w:r>
    </w:p>
    <w:p>
      <w:pPr>
        <w:pStyle w:val="ArticleScripture"/>
        <w:jc w:val="left"/>
      </w:pPr>
      <w:r>
        <w:rPr>
          <w:rFonts w:ascii="Times New Roman" w:hAnsi="Times New Roman" w:eastAsia="Times New Roman" w:cs="Times New Roman"/>
        </w:rPr>
        <w:t>«هر یک از انبیای باستانی کمتر برای زمانِ خود سخن گفتند تا برای زمانِ ما، ازاین‌رو نبوتِ ایشان برای ما نافذ است. “و این همه بر ایشان به‌جهتِ عبرت واقع شد، و برای تنبیهِ ما مکتوب گردید، که ما را اواخرِ عالم رسیده است.” 1 Corinthians 10:11. “نه برای خود، بلکه برای ما خدمت می‌کردند در آن اموری که اکنون به شما خبر داده شده است به‌وسیلهٔ آنان که به روح‌القدسِ فرستاده‌شده از آسمان، انجیل را به شما بشارت دادند؛ اموری که فرشتگان آرزومندِ نگریستن در آن‌اند.” 1 Peter 1:12....»</w:t>
      </w:r>
    </w:p>
    <w:p>
      <w:pPr>
        <w:pStyle w:val="ArticleScripture"/>
        <w:jc w:val="left"/>
      </w:pPr>
      <w:r>
        <w:rPr>
          <w:rFonts w:ascii="Times New Roman" w:hAnsi="Times New Roman" w:eastAsia="Times New Roman" w:cs="Times New Roman"/>
        </w:rPr>
        <w:t>“Bibliya bu axırıncı nəsil üçün öz xəzinələrini toplayıb bir yerə cəmləmişdir. Əhdi-Ətiq tarixinin bütün böyük hadisələri və təntənəli vaqeələri bu axır günlərdə kilsədə təkrarlanmışdır və təkrarlanmaqdadır.” Selected Messages, book 3, 338, 339.</w:t>
      </w:r>
    </w:p>
    <w:p>
      <w:pPr>
        <w:pStyle w:val="ArticleBody"/>
        <w:jc w:val="left"/>
      </w:pPr>
      <w:r>
        <w:rPr>
          <w:rFonts w:ascii="Times New Roman" w:hAnsi="Times New Roman" w:eastAsia="Times New Roman" w:cs="Times New Roman"/>
        </w:rPr>
        <w:t>Bíibiri no hɔ adiyisɛm nkra nyinaa yɛ “tumi wɔ yɛn so” ma “yɛn a wiase no awiei aba yɛn so” no. Saa mmara no, bere a wɔde ka ho mmara foforo a ɛkyerɛ “nsɛm” a Honhom Kronkron no “asiesie” no, “ɔkwan a wɔfaa so de adiyisɛm no mae no mu ne” bio “nsɛm a wɔde kyerɛe no mu” no, ma gyinabea no mu yɛ den sɛ adiyisɛm mu nsɛm a ɛwɔ adiyisɛm biara mfiase no yɛ nhwɛso na ɛne adiyisɛm mu nsɛm a ɛwɔ ne awiei no kɔ pɛpɛɛpɛ.</w:t>
      </w:r>
    </w:p>
    <w:p>
      <w:pPr>
        <w:pStyle w:val="ArticleScripture"/>
        <w:jc w:val="left"/>
      </w:pPr>
      <w:r>
        <w:rPr>
          <w:rFonts w:ascii="Times New Roman" w:hAnsi="Times New Roman" w:eastAsia="Times New Roman" w:cs="Times New Roman"/>
        </w:rPr>
        <w:t>«Цықымытәык зегьы иҵегьы ихаҭа изыԥшӡаны Анцәа Иажәа аҵара аҭахуп; иҷыдоула Даниил да Аԥшьаара (Revelation) ирызхәыцра ҳус-тарих аҿы раԥхьа ианымкәа иҟазароуп. Римтәи амчшьара да папара иазку шәаҳәақәак рҿы ҳҳәатәы маҷхар ауеит; аха аԥааимбарцәа да апостолцәа Анцәа Иԥшьоу Рылабжьара иҵарҩыз рҩызақәа рахь ауаа диққазароуп. Иԥшьоу Рылабжьара аԥааимбарра аҭараҿы еиԥш, иара зыхцәажәо ахҭысқәа рҿы еиԥш, аусқәа убас иӡырԥшит, ауаҩы-агент ибарҭамзар, Христос аҟны ихыбзар, ажәҩантәи Иаҳақәиҭу Анцәа да Иара Изакәан ҳаракны изырԥшызартә. Даниил Икнига шәыԥхьа. Уаҟа иӡырԥшу аҳрацәа рҭоурых, пунктила пунктила, шәыргыл. » Testimonies to Ministers, 112.</w:t>
      </w:r>
    </w:p>
    <w:p>
      <w:pPr>
        <w:pStyle w:val="ArticleBody"/>
        <w:jc w:val="left"/>
      </w:pPr>
      <w:r>
        <w:rPr>
          <w:rFonts w:ascii="Times New Roman" w:hAnsi="Times New Roman" w:eastAsia="Times New Roman" w:cs="Times New Roman"/>
        </w:rPr>
        <w:t>«Anqansoo Ayaa Qulqulluun raawwii raajichaa kennuu keessatti fi taateewwan keessatti ibsaman keessatti dhimmoota akkasitti qopheesse.» «Raajichaa kennuu keessatti fi taateewwan keessatti ibsaman keessatti» «dhimmoonni» «Anqansoo Ayaa Qulqulluun» «akkasitti qophaa’anii jiru»; kanaafuu «raajichaa kennuun» fi «taateewwan keessatti ibsaman» lamaan isaanii iyyuu kaka’umsa Waaqayyoon ta’an jechuun beekamuu fi fakkeenya raajii dhuma addunyaatiif hojii irra ooluu qabu.</w:t>
      </w:r>
    </w:p>
    <w:p>
      <w:pPr>
        <w:pStyle w:val="ArticleBody"/>
        <w:jc w:val="left"/>
      </w:pPr>
      <w:r>
        <w:rPr>
          <w:rFonts w:ascii="Times New Roman" w:hAnsi="Times New Roman" w:eastAsia="Times New Roman" w:cs="Times New Roman"/>
        </w:rPr>
        <w:t>Yoanexeqíeloozii nʼíísh Gabriel bichʼįʼ haneʼ bee hólą́ągo bee haneʼ naaltsoos biyiʼ yikááʼgo ínííł, dóó tʼáá ajiłii dineʼé daʼííłʼínígíí bichʼįʼ naaltsoos yiyiisxǫsgo biniiyé. Eí łeegóó Rome bichʼįʼ yikʼehgo daʼahooníłígíí biyiʼdi nitsáhákeesgo haneʼ bee haneʼá da; tsídiiʼ yáhootʼeego, díí bikéyahgíí tłʼízígo tʼáá nihiká adinídíín baa haneʼgo “black-site” daanízinígíí biniiyé yitʼį́į́łígíí bee haneʼá. Díí bee hahoodzooígíí biyiʼdi Yoan tʼáá ajiłii dineʼé bichʼįʼ ahéheeʼgo tʼáá ajiłii hashtʼeʼgo yáhootʼeʼ, Guantanamo Bay biyiʼdi naaltsoos bee haneʼáhígíí tʼáá ajiłii hastói binaanish bee haneʼgo yáhootʼeʼígíí doo shił bééhózin da.</w:t>
      </w:r>
    </w:p>
    <w:p>
      <w:pPr>
        <w:pStyle w:val="ArticleBody"/>
        <w:jc w:val="left"/>
      </w:pPr>
      <w:r>
        <w:rPr>
          <w:rFonts w:ascii="Times New Roman" w:hAnsi="Times New Roman" w:eastAsia="Times New Roman" w:cs="Times New Roman"/>
        </w:rPr>
        <w:t>Juan oikuaauka pe visión oiko hague ha’e omomba’eguasu aja pe sábado ára sieteha, ha’éva pe Ñandejára Ára.</w:t>
      </w:r>
    </w:p>
    <w:p>
      <w:pPr>
        <w:pStyle w:val="ArticleScripture"/>
        <w:jc w:val="left"/>
      </w:pPr>
      <w:r>
        <w:rPr>
          <w:rFonts w:ascii="Times New Roman" w:hAnsi="Times New Roman" w:eastAsia="Times New Roman" w:cs="Times New Roman"/>
        </w:rPr>
        <w:t>Karê Mirov ji roja Şemiyê jî Xudan e. Matthew 12:8.</w:t>
      </w:r>
    </w:p>
    <w:p>
      <w:pPr>
        <w:pStyle w:val="ArticleBody"/>
        <w:jc w:val="left"/>
      </w:pPr>
      <w:r>
        <w:rPr>
          <w:rFonts w:ascii="Times New Roman" w:hAnsi="Times New Roman" w:eastAsia="Times New Roman" w:cs="Times New Roman"/>
        </w:rPr>
        <w:t>روحَانِيَّتَل يِيبِادَتَسِندَ، اُ اَرْقَسِندَنْ بُيُكْ بِر سَسْ إِشِتْتِ۔</w:t>
      </w:r>
    </w:p>
    <w:p>
      <w:pPr>
        <w:pStyle w:val="ArticleScripture"/>
        <w:jc w:val="left"/>
      </w:pPr>
      <w:r>
        <w:rPr>
          <w:rFonts w:ascii="Times New Roman" w:hAnsi="Times New Roman" w:eastAsia="Times New Roman" w:cs="Times New Roman"/>
        </w:rPr>
        <w:t>ꞌNya̱, Yohanna, fi ve ye nzaa bɔ a, ni tribulation mɔ, ni Yesu Kristo ŋmaritse bɔ ni ŋyane mɔ a, ma o wɔ duŋ a ba tse Patmos a, ne Nyɔŋmɔ Tsɛ mli kɛ ni Yesu Kristo he odase mli. Ma ye Mumo mli onyɔŋ lɛ mli, ni ma nu ma kpɛi he hiã he a, ko nɛ ɔlɛ trumpet he nɛ, lɛ e he wɔ se, Mi ni Alfa ni Omega, gbɛi ni kɛtsɛi: ni, sane lɛ o ba a, tsɔ e lɛ nɛ hiã mli, ni je e kɛ he blɔfɔ nyɛ lɛ e le Asia a; kɛ Ephesus, ni kɛ Smyrna, ni kɛ Pergamos, ni kɛ Thyatira, ni kɛ Sardis, ni kɛ Philadelphia, ni kɛ Laodicea. Mii Nyɛ Hiã 1:9–11.</w:t>
      </w:r>
    </w:p>
    <w:p>
      <w:pPr>
        <w:pStyle w:val="ArticleBody"/>
        <w:jc w:val="left"/>
      </w:pPr>
      <w:r>
        <w:rPr>
          <w:rFonts w:ascii="Times New Roman" w:hAnsi="Times New Roman" w:eastAsia="Times New Roman" w:cs="Times New Roman"/>
        </w:rPr>
        <w:t>Йогьан, бихьизабулел аскӏал ва ккарал шартӏалги, жив гьеб анкьабилеб къоялъул Субботаялъе гӏибадат гьабулев вукӏиналъе гӏоло эзул гӏазабалда гъоркь вукӏунев чи хӏисабалда рихьизарула; амма, гьединго, Библияги Эллен Уайтил хъвадарухъабиги — гьелги «Иисусил нугӏлъи» букӏиналъе — ритӏухъ гъорлъе росулеллъун иман бугелалъул гӏоло гӏазабалда гъоркь вукӏуневги вуго. Жив гӏемер цӏакъаб гьаракь нахъасан рагӏула, ва, гьелъиехъ вуссине, гьеб бихьизе вуссуна; ва гьеб гьабун, ахирал заманада ругел Седьмой день Адвентисталъул вакиллъи гьабула, ай, нахъасан цо гьаракь рагӏулел, абулеб: «Гьаб буго нух; гьелдасан хьвада.»</w:t>
      </w:r>
    </w:p>
    <w:p>
      <w:pPr>
        <w:pStyle w:val="ArticleBody"/>
        <w:jc w:val="left"/>
      </w:pPr>
      <w:r>
        <w:rPr>
          <w:rFonts w:ascii="Times New Roman" w:hAnsi="Times New Roman" w:eastAsia="Times New Roman" w:cs="Times New Roman"/>
        </w:rPr>
        <w:t>Prophecy ren lineakunakajja oraq tukusiñapanxa maynit maynikama sarapxi.</w:t>
      </w:r>
    </w:p>
    <w:p>
      <w:pPr>
        <w:pStyle w:val="ArticleScripture"/>
        <w:jc w:val="left"/>
      </w:pPr>
      <w:r>
        <w:rPr>
          <w:rFonts w:ascii="Times New Roman" w:hAnsi="Times New Roman" w:eastAsia="Times New Roman" w:cs="Times New Roman"/>
        </w:rPr>
        <w:t>«Yê hemû pirtûkên Kitêba Pîroz di Vahiyê de dicivin û diwirin.» Acts of the Apostles, 585.</w:t>
      </w:r>
    </w:p>
    <w:p>
      <w:pPr>
        <w:pStyle w:val="ArticleBody"/>
        <w:jc w:val="left"/>
      </w:pPr>
      <w:r>
        <w:rPr>
          <w:rFonts w:ascii="Times New Roman" w:hAnsi="Times New Roman" w:eastAsia="Times New Roman" w:cs="Times New Roman"/>
        </w:rPr>
        <w:t>Ka profet oñehendúva peteĩ ñe'ẽ iñakã rapykue guive, ojoaju Juan rehe pe ta'anga ohechaukáva Tupã retãygua kuérape arapy paha-pe. Juan ohendu peteĩ ñe'ẽ iñakã rapykue guive ome'ẽva chupe mbo'e porã. Isaías avei ohendu peteĩ ñe'ẽ ombo'éva chupe.</w:t>
      </w:r>
    </w:p>
    <w:p>
      <w:pPr>
        <w:pStyle w:val="ArticleScripture"/>
        <w:jc w:val="left"/>
      </w:pPr>
      <w:r>
        <w:rPr>
          <w:rFonts w:ascii="Times New Roman" w:hAnsi="Times New Roman" w:eastAsia="Times New Roman" w:cs="Times New Roman"/>
        </w:rPr>
        <w:t>رەب لەبەر ئەوە چاوەڕوان دەبێت تاکو لەگەڵتان بەخشندە بێت، و لەبەر ئەوە بەرزدەکرێتەوە تاکو بەزەییتان پێدا بێت؛ چونکە رەب خودای دادپەروەرییە: خۆزگە بەوانەی چاوەڕوانی ئەو دەکەن.</w:t>
      </w:r>
    </w:p>
    <w:p>
      <w:pPr>
        <w:pStyle w:val="ArticleScripture"/>
        <w:jc w:val="left"/>
      </w:pPr>
      <w:r>
        <w:rPr>
          <w:rFonts w:ascii="Times New Roman" w:hAnsi="Times New Roman" w:eastAsia="Times New Roman" w:cs="Times New Roman"/>
        </w:rPr>
        <w:t>Ngokuba abantu baya kuhlala eZiyon, eYerusalem; akusayi kuphinda ulile; yena uya kuba nobabalo olukhulu kuwe ngenxa yelizwi lokukhala kwakho; xa ethe waliva, uya kukuphendula. Kanti nangona iNkosi ininika isonka sobunzima, namanzi entlungu, noko ke abafundisi bakho abasayi kuphinda bafihlwe ekoneni, amehlo akho aya kubabona abafundisi bakho; neendlebe zakho ziya kuva ilizwi emva kwakho, lisithi, Le yindlela, hambani ngayo, xa nithe naphambukela ngasekunene, naxa nithe naphambukela ngasekhohlo. Isaya 30:18–21.</w:t>
      </w:r>
    </w:p>
    <w:p>
      <w:pPr>
        <w:pStyle w:val="ArticleBody"/>
        <w:jc w:val="left"/>
      </w:pPr>
      <w:r>
        <w:rPr>
          <w:rFonts w:ascii="Times New Roman" w:hAnsi="Times New Roman" w:eastAsia="Times New Roman" w:cs="Times New Roman"/>
        </w:rPr>
        <w:t>خدا کے بقیہ لوگ اپنے پیچھے ایک آواز سنتے ہیں جو یہ بتاتی ہے کہ انہیں کس راہ پر چلنا چاہیے۔ پھر انہیں یہ فیصلہ کرنا ہوتا ہے کہ آیا وہ سنیں گے یا نہ سنیں گے۔ یوحنا اور یسعیاہ کے ذریعہ پیش کیے گئے لوگ وہ ہیں جو دنیا کے آخر میں زندہ ہوتے ہیں اور جب خداوند تاخیر کرتا ہے تو اُس کا انتظار کرتے ہیں، اور یسعیاہ ہمیں آگاہ کرتا ہے کہ وہ اس لیے تاخیر کرتا ہے کہ وہ انصاف کا خدا ہے۔ ملیری تاریخ کے آغاز، یعنی 1798، سے لے کر اتوار کے قانون پر ایڈونٹ ازم کے لیے مہلتِ آزمائش کے اختتام تک، خدا آسمانی مقدِس میں عدالت کے کام کو انجام دے رہا ہے۔ وعدہ یہ ہے کہ جو لوگ عدالت کے زمانہ میں خداوند کا انتظار کرتے ہیں وہ مبارک ٹھہریں گے۔</w:t>
      </w:r>
    </w:p>
    <w:p>
      <w:pPr>
        <w:pStyle w:val="ArticleBody"/>
        <w:jc w:val="left"/>
      </w:pPr>
      <w:r>
        <w:rPr>
          <w:rFonts w:ascii="Times New Roman" w:hAnsi="Times New Roman" w:eastAsia="Times New Roman" w:cs="Times New Roman"/>
        </w:rPr>
        <w:t>Ayam Dios a nabendisyonan gapu iti panagurayda ket naisimboloan dagiti birhen a mangur-uray iti Nobio idiay pangngarig maipapan iti sangapulo a birhen. Amin a sangapulo ket nabuongda iti turog, ket kalpasanna idi tengnga ti rabii umay ti maysa a krisis a mangisina kadagiti matmaturog a birhen iti dua a klaseda. Ti maysa a klase ket nangngeg iti maysa a timek iti likudda ket simmango tapno kitaenda ti timek a nangisuro kadakuada no ania a dalan ti pagnaedanda, ket ti sabali a klase ket nagsardeng a simmango ken agdengngeg iti timek—uray pay iti kinaadda a ti mensahe a mapan kadagiti amin a paset ti libro ti Apocalipsis ket, “Ti adda lapayna, denggenna no ania ti kuna ti Espiritu kadagiti iglesia.”</w:t>
      </w:r>
    </w:p>
    <w:p>
      <w:pPr>
        <w:pStyle w:val="ArticleScripture"/>
        <w:jc w:val="left"/>
      </w:pPr>
      <w:r>
        <w:rPr>
          <w:rFonts w:ascii="Times New Roman" w:hAnsi="Times New Roman" w:eastAsia="Times New Roman" w:cs="Times New Roman"/>
        </w:rPr>
        <w:t>«КьыцӀэу щыщ пщы тӀокӀуыр, Матфей 25-м иткӀэм, Адвентист къэлэныгъэм ибжьагъэр ащыжьыгъуэу къэгъэлъагъуэ». The Great Controversy, 393.</w:t>
      </w:r>
    </w:p>
    <w:p>
      <w:pPr>
        <w:pStyle w:val="ArticleBody"/>
        <w:jc w:val="left"/>
      </w:pPr>
      <w:r>
        <w:rPr>
          <w:rFonts w:ascii="Times New Roman" w:hAnsi="Times New Roman" w:eastAsia="Times New Roman" w:cs="Times New Roman"/>
        </w:rPr>
        <w:t>Juanmi Adventista markankirinaka uñacht’ayi, jupanakax jutïr pach amuyañatakix nayra pacharuw uñt’apxi. Kunapachatï jupanakax Juanjam qhipäxat mä arur ist’apki ukhaxa, uka arux Isaíasan uka pachpa luräwinakat yatiyäwipan churat yatichäwimpiw chikanchasi. Isaíasan yatichäwipax akhamänwa: “akaw thakhi, ukar sarapxam, kunapachatï kupi tuqir kutt’apxäta ukhama, ukhamarak ch’iqa tuqir kutt’apxäta ukhama.” Daniel capítulo doce ukan yatiñan phuchhanakax aka uraqin tukusiñap tukuy pachat yatiñax jilxatat amuyapxi, kunatix jupanakax arunxa “akat ukat sarnaqapxatayna” jist’antat jakañ churir yatiñ amuyañataki.</w:t>
      </w:r>
    </w:p>
    <w:p>
      <w:pPr>
        <w:pStyle w:val="ArticleScripture"/>
        <w:jc w:val="left"/>
      </w:pPr>
      <w:r>
        <w:rPr>
          <w:rFonts w:ascii="Times New Roman" w:hAnsi="Times New Roman" w:eastAsia="Times New Roman" w:cs="Times New Roman"/>
        </w:rPr>
        <w:t>Pero tú, oh Daniel, cierra las palabras y sella el libro, hasta el tiempo del fin: muchos correrán de aquí para allá, y la ciencia se aumentará. Daniel 12:4.</w:t>
      </w:r>
    </w:p>
    <w:p>
      <w:pPr>
        <w:pStyle w:val="ArticleBody"/>
        <w:jc w:val="left"/>
      </w:pPr>
      <w:r>
        <w:rPr>
          <w:rFonts w:ascii="Nirmala UI" w:hAnsi="Nirmala UI" w:eastAsia="Nirmala UI" w:cs="Nirmala UI"/>
        </w:rPr>
        <w:t>ᱡᱟᱹᱦᱟᱱ</w:t>
      </w:r>
      <w:r>
        <w:rPr>
          <w:rFonts w:ascii="Times New Roman" w:hAnsi="Times New Roman" w:eastAsia="Times New Roman" w:cs="Times New Roman"/>
        </w:rPr>
        <w:t xml:space="preserve"> </w:t>
      </w:r>
      <w:r>
        <w:rPr>
          <w:rFonts w:ascii="Nirmala UI" w:hAnsi="Nirmala UI" w:eastAsia="Nirmala UI" w:cs="Nirmala UI"/>
        </w:rPr>
        <w:t>ᱱᱟᱵᱤᱠᱚ</w:t>
      </w:r>
      <w:r>
        <w:rPr>
          <w:rFonts w:ascii="Times New Roman" w:hAnsi="Times New Roman" w:eastAsia="Times New Roman" w:cs="Times New Roman"/>
        </w:rPr>
        <w:t xml:space="preserve"> </w:t>
      </w:r>
      <w:r>
        <w:rPr>
          <w:rFonts w:ascii="Nirmala UI" w:hAnsi="Nirmala UI" w:eastAsia="Nirmala UI" w:cs="Nirmala UI"/>
        </w:rPr>
        <w:t>ᱟᱢᱮ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ᱱᱤᱨᱩᱯᱤᱛ</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ᱥᱮᱵᱮᱱᱛ</w:t>
      </w:r>
      <w:r>
        <w:rPr>
          <w:rFonts w:ascii="Times New Roman" w:hAnsi="Times New Roman" w:eastAsia="Times New Roman" w:cs="Times New Roman"/>
        </w:rPr>
        <w:t>-</w:t>
      </w:r>
      <w:r>
        <w:rPr>
          <w:rFonts w:ascii="Nirmala UI" w:hAnsi="Nirmala UI" w:eastAsia="Nirmala UI" w:cs="Nirmala UI"/>
        </w:rPr>
        <w:t>ᱰᱮ</w:t>
      </w:r>
      <w:r>
        <w:rPr>
          <w:rFonts w:ascii="Times New Roman" w:hAnsi="Times New Roman" w:eastAsia="Times New Roman" w:cs="Times New Roman"/>
        </w:rPr>
        <w:t xml:space="preserve"> </w:t>
      </w:r>
      <w:r>
        <w:rPr>
          <w:rFonts w:ascii="Nirmala UI" w:hAnsi="Nirmala UI" w:eastAsia="Nirmala UI" w:cs="Nirmala UI"/>
        </w:rPr>
        <w:t>ᱟᱰᱵᱷᱮᱱᱴᱤᱥᱴᱠᱚᱠᱮ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ᱤᱛᱤᱦᱟᱥᱨᱮ</w:t>
      </w:r>
      <w:r>
        <w:rPr>
          <w:rFonts w:ascii="Times New Roman" w:hAnsi="Times New Roman" w:eastAsia="Times New Roman" w:cs="Times New Roman"/>
        </w:rPr>
        <w:t xml:space="preserve"> </w:t>
      </w:r>
      <w:r>
        <w:rPr>
          <w:rFonts w:ascii="Nirmala UI" w:hAnsi="Nirmala UI" w:eastAsia="Nirmala UI" w:cs="Nirmala UI"/>
        </w:rPr>
        <w:t>ᱡᱟᱦᱟᱸᱨᱮ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ᱟᱹᱜᱩᱜᱼᱟ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ᱯᱨᱚᱵᱮᱥᱚᱱ</w:t>
      </w:r>
      <w:r>
        <w:rPr>
          <w:rFonts w:ascii="Times New Roman" w:hAnsi="Times New Roman" w:eastAsia="Times New Roman" w:cs="Times New Roman"/>
        </w:rPr>
        <w:t xml:space="preserve"> </w:t>
      </w:r>
      <w:r>
        <w:rPr>
          <w:rFonts w:ascii="Nirmala UI" w:hAnsi="Nirmala UI" w:eastAsia="Nirmala UI" w:cs="Nirmala UI"/>
        </w:rPr>
        <w:t>ᱵᱚᱸᱫ</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ᱡᱟᱦᱟᱸᱠᱚ</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ᱠᱩᱸᱣᱟᱹᱨᱤᱠᱚ</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ᱩᱫᱩᱜ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ᱮᱛᱮ</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ᱟᱣᱟᱡ</w:t>
      </w:r>
      <w:r>
        <w:rPr>
          <w:rFonts w:ascii="Times New Roman" w:hAnsi="Times New Roman" w:eastAsia="Times New Roman" w:cs="Times New Roman"/>
        </w:rPr>
        <w:t xml:space="preserve"> </w:t>
      </w:r>
      <w:r>
        <w:rPr>
          <w:rFonts w:ascii="Nirmala UI" w:hAnsi="Nirmala UI" w:eastAsia="Nirmala UI" w:cs="Nirmala UI"/>
        </w:rPr>
        <w:t>ᱟᱧᱡᱚᱢᱟ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ᱠᱚᱭᱟ</w:t>
      </w:r>
      <w:r>
        <w:rPr>
          <w:rFonts w:ascii="Times New Roman" w:hAnsi="Times New Roman" w:eastAsia="Times New Roman" w:cs="Times New Roman"/>
        </w:rPr>
        <w:t>,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ᱛᱟᱦᱮᱸᱜᱼᱟ</w:t>
      </w:r>
      <w:r>
        <w:rPr>
          <w:rFonts w:ascii="Times New Roman" w:hAnsi="Times New Roman" w:eastAsia="Times New Roman" w:cs="Times New Roman"/>
        </w:rPr>
        <w:t xml:space="preserve">, </w:t>
      </w:r>
      <w:r>
        <w:rPr>
          <w:rFonts w:ascii="Nirmala UI" w:hAnsi="Nirmala UI" w:eastAsia="Nirmala UI" w:cs="Nirmala UI"/>
        </w:rPr>
        <w:t>ᱱᱚᱣᱟᱨᱮ</w:t>
      </w:r>
      <w:r>
        <w:rPr>
          <w:rFonts w:ascii="Times New Roman" w:hAnsi="Times New Roman" w:eastAsia="Times New Roman" w:cs="Times New Roman"/>
        </w:rPr>
        <w:t xml:space="preserve"> </w:t>
      </w:r>
      <w:r>
        <w:rPr>
          <w:rFonts w:ascii="Nirmala UI" w:hAnsi="Nirmala UI" w:eastAsia="Nirmala UI" w:cs="Nirmala UI"/>
        </w:rPr>
        <w:t>ᱛᱟᱦᱮᱱᱢᱮ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w:t>
      </w:r>
      <w:r>
        <w:rPr>
          <w:rFonts w:ascii="Nirmala UI" w:hAnsi="Nirmala UI" w:eastAsia="Nirmala UI" w:cs="Nirmala UI"/>
        </w:rPr>
        <w:t>ᱚᱱᱠᱩᱠᱮ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ᱦᱚᱨᱨᱮ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ᱢᱮᱱᱟᱭᱟ</w:t>
      </w:r>
      <w:r>
        <w:rPr>
          <w:rFonts w:ascii="Times New Roman" w:hAnsi="Times New Roman" w:eastAsia="Times New Roman" w:cs="Times New Roman"/>
        </w:rPr>
        <w:t xml:space="preserve"> </w:t>
      </w:r>
      <w:r>
        <w:rPr>
          <w:rFonts w:ascii="Nirmala UI" w:hAnsi="Nirmala UI" w:eastAsia="Nirmala UI" w:cs="Nirmala UI"/>
        </w:rPr>
        <w:t>ᱢᱮᱱᱛᱮ</w:t>
      </w:r>
      <w:r>
        <w:rPr>
          <w:rFonts w:ascii="Times New Roman" w:hAnsi="Times New Roman" w:eastAsia="Times New Roman" w:cs="Times New Roman"/>
        </w:rPr>
        <w:t xml:space="preserve"> </w:t>
      </w:r>
      <w:r>
        <w:rPr>
          <w:rFonts w:ascii="Nirmala UI" w:hAnsi="Nirmala UI" w:eastAsia="Nirmala UI" w:cs="Nirmala UI"/>
        </w:rPr>
        <w:t>ᱟᱹᱭᱩᱵ</w:t>
      </w:r>
      <w:r>
        <w:rPr>
          <w:rFonts w:ascii="Times New Roman" w:hAnsi="Times New Roman" w:eastAsia="Times New Roman" w:cs="Times New Roman"/>
        </w:rPr>
        <w:t xml:space="preserve"> </w:t>
      </w:r>
      <w:r>
        <w:rPr>
          <w:rFonts w:ascii="Nirmala UI" w:hAnsi="Nirmala UI" w:eastAsia="Nirmala UI" w:cs="Nirmala UI"/>
        </w:rPr>
        <w:t>ᱮᱢᱟ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ᱚᱱᱠᱩ</w:t>
      </w:r>
      <w:r>
        <w:rPr>
          <w:rFonts w:ascii="Times New Roman" w:hAnsi="Times New Roman" w:eastAsia="Times New Roman" w:cs="Times New Roman"/>
        </w:rPr>
        <w:t xml:space="preserve"> </w:t>
      </w:r>
      <w:r>
        <w:rPr>
          <w:rFonts w:ascii="Nirmala UI" w:hAnsi="Nirmala UI" w:eastAsia="Nirmala UI" w:cs="Nirmala UI"/>
        </w:rPr>
        <w:t>ᱞᱮᱸᱜᱟ</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ᱫᱤᱥᱟ</w:t>
      </w:r>
      <w:r>
        <w:rPr>
          <w:rFonts w:ascii="Times New Roman" w:hAnsi="Times New Roman" w:eastAsia="Times New Roman" w:cs="Times New Roman"/>
        </w:rPr>
        <w:t xml:space="preserve"> </w:t>
      </w:r>
      <w:r>
        <w:rPr>
          <w:rFonts w:ascii="Nirmala UI" w:hAnsi="Nirmala UI" w:eastAsia="Nirmala UI" w:cs="Nirmala UI"/>
        </w:rPr>
        <w:t>ᱮ</w:t>
      </w:r>
      <w:r>
        <w:rPr>
          <w:rFonts w:ascii="Times New Roman" w:hAnsi="Times New Roman" w:eastAsia="Times New Roman" w:cs="Times New Roman"/>
        </w:rPr>
        <w:t xml:space="preserve"> </w:t>
      </w:r>
      <w:r>
        <w:rPr>
          <w:rFonts w:ascii="Nirmala UI" w:hAnsi="Nirmala UI" w:eastAsia="Nirmala UI" w:cs="Nirmala UI"/>
        </w:rPr>
        <w:t>ᱯᱮᱨᱮᱡᱚᱜᱼᱟ।</w:t>
      </w:r>
      <w:r>
        <w:rPr>
          <w:rFonts w:ascii="Times New Roman" w:hAnsi="Times New Roman" w:eastAsia="Times New Roman" w:cs="Times New Roman"/>
        </w:rPr>
        <w:t xml:space="preserve"> “</w:t>
      </w:r>
      <w:r>
        <w:rPr>
          <w:rFonts w:ascii="Nirmala UI" w:hAnsi="Nirmala UI" w:eastAsia="Nirmala UI" w:cs="Nirmala UI"/>
        </w:rPr>
        <w:t>ᱫᱚᱦᱚᱲ</w:t>
      </w:r>
      <w:r>
        <w:rPr>
          <w:rFonts w:ascii="Times New Roman" w:hAnsi="Times New Roman" w:eastAsia="Times New Roman" w:cs="Times New Roman"/>
        </w:rPr>
        <w:t xml:space="preserve">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ᱴᱚᱴᱷᱚ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ᱧᱤᱨᱤᱜ</w:t>
      </w:r>
      <w:r>
        <w:rPr>
          <w:rFonts w:ascii="Times New Roman" w:hAnsi="Times New Roman" w:eastAsia="Times New Roman" w:cs="Times New Roman"/>
        </w:rPr>
        <w:t xml:space="preserve">”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ᱠᱩᱸᱣᱟᱹᱨᱤᱠᱚ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ᱠᱟᱢᱤᱭᱟ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ᱯᱩᱛᱷᱤ</w:t>
      </w:r>
      <w:r>
        <w:rPr>
          <w:rFonts w:ascii="Times New Roman" w:hAnsi="Times New Roman" w:eastAsia="Times New Roman" w:cs="Times New Roman"/>
        </w:rPr>
        <w:t xml:space="preserve"> </w:t>
      </w:r>
      <w:r>
        <w:rPr>
          <w:rFonts w:ascii="Nirmala UI" w:hAnsi="Nirmala UI" w:eastAsia="Nirmala UI" w:cs="Nirmala UI"/>
        </w:rPr>
        <w:t>ᱚᱞᱟᱜ</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ᱟᱫᱷᱭᱟᱭ</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ᱪᱤᱱᱦᱟᱹ।</w:t>
      </w:r>
      <w:r>
        <w:rPr>
          <w:rFonts w:ascii="Times New Roman" w:hAnsi="Times New Roman" w:eastAsia="Times New Roman" w:cs="Times New Roman"/>
        </w:rPr>
        <w:t xml:space="preserve"> </w:t>
      </w:r>
      <w:r>
        <w:rPr>
          <w:rFonts w:ascii="Nirmala UI" w:hAnsi="Nirmala UI" w:eastAsia="Nirmala UI" w:cs="Nirmala UI"/>
        </w:rPr>
        <w:t>ᱯᱨᱚᱠᱨᱤᱛᱤ</w:t>
      </w:r>
      <w:r>
        <w:rPr>
          <w:rFonts w:ascii="Times New Roman" w:hAnsi="Times New Roman" w:eastAsia="Times New Roman" w:cs="Times New Roman"/>
        </w:rPr>
        <w:t xml:space="preserve"> </w:t>
      </w:r>
      <w:r>
        <w:rPr>
          <w:rFonts w:ascii="Nirmala UI" w:hAnsi="Nirmala UI" w:eastAsia="Nirmala UI" w:cs="Nirmala UI"/>
        </w:rPr>
        <w:t>ᱟᱞᱮᱠᱮ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ᱥᱤᱠᱷᱟᱹᱣᱟᱭᱟ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ᱧᱤᱨ</w:t>
      </w:r>
      <w:r>
        <w:rPr>
          <w:rFonts w:ascii="Times New Roman" w:hAnsi="Times New Roman" w:eastAsia="Times New Roman" w:cs="Times New Roman"/>
        </w:rPr>
        <w:t xml:space="preserve"> </w:t>
      </w:r>
      <w:r>
        <w:rPr>
          <w:rFonts w:ascii="Nirmala UI" w:hAnsi="Nirmala UI" w:eastAsia="Nirmala UI" w:cs="Nirmala UI"/>
        </w:rPr>
        <w:t>ᱦᱚᱛᱮᱜ</w:t>
      </w:r>
      <w:r>
        <w:rPr>
          <w:rFonts w:ascii="Times New Roman" w:hAnsi="Times New Roman" w:eastAsia="Times New Roman" w:cs="Times New Roman"/>
        </w:rPr>
        <w:t xml:space="preserve"> </w:t>
      </w:r>
      <w:r>
        <w:rPr>
          <w:rFonts w:ascii="Nirmala UI" w:hAnsi="Nirmala UI" w:eastAsia="Nirmala UI" w:cs="Nirmala UI"/>
        </w:rPr>
        <w:t>ᱟᱜᱩ</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ᱯᱨᱚᱛᱷᱚᱢ</w:t>
      </w:r>
      <w:r>
        <w:rPr>
          <w:rFonts w:ascii="Times New Roman" w:hAnsi="Times New Roman" w:eastAsia="Times New Roman" w:cs="Times New Roman"/>
        </w:rPr>
        <w:t xml:space="preserve"> </w:t>
      </w:r>
      <w:r>
        <w:rPr>
          <w:rFonts w:ascii="Nirmala UI" w:hAnsi="Nirmala UI" w:eastAsia="Nirmala UI" w:cs="Nirmala UI"/>
        </w:rPr>
        <w:t>ᱢᱟ</w:t>
      </w:r>
      <w:r>
        <w:rPr>
          <w:rFonts w:ascii="Times New Roman" w:hAnsi="Times New Roman" w:eastAsia="Times New Roman" w:cs="Times New Roman"/>
        </w:rPr>
        <w:t xml:space="preserve"> </w:t>
      </w:r>
      <w:r>
        <w:rPr>
          <w:rFonts w:ascii="Nirmala UI" w:hAnsi="Nirmala UI" w:eastAsia="Nirmala UI" w:cs="Nirmala UI"/>
        </w:rPr>
        <w:t>ᱛᱟᱦᱮᱱ</w:t>
      </w:r>
      <w:r>
        <w:rPr>
          <w:rFonts w:ascii="Times New Roman" w:hAnsi="Times New Roman" w:eastAsia="Times New Roman" w:cs="Times New Roman"/>
        </w:rPr>
        <w:t xml:space="preserve"> </w:t>
      </w:r>
      <w:r>
        <w:rPr>
          <w:rFonts w:ascii="Nirmala UI" w:hAnsi="Nirmala UI" w:eastAsia="Nirmala UI" w:cs="Nirmala UI"/>
        </w:rPr>
        <w:t>ᱥᱮᱠᱷᱟ</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ᱤᱥᱟᱭᱟᱦ</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ᱠᱚᱭᱟ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ᱮᱛᱮ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ᱟᱣᱟᱡ</w:t>
      </w:r>
      <w:r>
        <w:rPr>
          <w:rFonts w:ascii="Times New Roman" w:hAnsi="Times New Roman" w:eastAsia="Times New Roman" w:cs="Times New Roman"/>
        </w:rPr>
        <w:t xml:space="preserve"> </w:t>
      </w:r>
      <w:r>
        <w:rPr>
          <w:rFonts w:ascii="Nirmala UI" w:hAnsi="Nirmala UI" w:eastAsia="Nirmala UI" w:cs="Nirmala UI"/>
        </w:rPr>
        <w:t>ᱟᱧᱡᱚᱢᱟ</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ᱟᱫᱷᱭᱟᱭ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ᱢᱮᱱᱟᱭᱟ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ᱞᱮᱸᱜᱟ</w:t>
      </w:r>
      <w:r>
        <w:rPr>
          <w:rFonts w:ascii="Times New Roman" w:hAnsi="Times New Roman" w:eastAsia="Times New Roman" w:cs="Times New Roman"/>
        </w:rPr>
        <w:t xml:space="preserve"> </w:t>
      </w:r>
      <w:r>
        <w:rPr>
          <w:rFonts w:ascii="Nirmala UI" w:hAnsi="Nirmala UI" w:eastAsia="Nirmala UI" w:cs="Nirmala UI"/>
        </w:rPr>
        <w:t>ᱫᱤᱥᱟᱛᱮ</w:t>
      </w:r>
      <w:r>
        <w:rPr>
          <w:rFonts w:ascii="Times New Roman" w:hAnsi="Times New Roman" w:eastAsia="Times New Roman" w:cs="Times New Roman"/>
        </w:rPr>
        <w:t xml:space="preserve"> (Old Testament) </w:t>
      </w:r>
      <w:r>
        <w:rPr>
          <w:rFonts w:ascii="Nirmala UI" w:hAnsi="Nirmala UI" w:eastAsia="Nirmala UI" w:cs="Nirmala UI"/>
        </w:rPr>
        <w:t>ᱥᱮ</w:t>
      </w:r>
      <w:r>
        <w:rPr>
          <w:rFonts w:ascii="Times New Roman" w:hAnsi="Times New Roman" w:eastAsia="Times New Roman" w:cs="Times New Roman"/>
        </w:rPr>
        <w:t xml:space="preserve">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ᱫᱤᱥᱟᱛᱮ</w:t>
      </w:r>
      <w:r>
        <w:rPr>
          <w:rFonts w:ascii="Times New Roman" w:hAnsi="Times New Roman" w:eastAsia="Times New Roman" w:cs="Times New Roman"/>
        </w:rPr>
        <w:t xml:space="preserve"> (New Testament) </w:t>
      </w:r>
      <w:r>
        <w:rPr>
          <w:rFonts w:ascii="Nirmala UI" w:hAnsi="Nirmala UI" w:eastAsia="Nirmala UI" w:cs="Nirmala UI"/>
        </w:rPr>
        <w:t>ᱯᱮᱨᱮᱡᱚᱜᱼᱟ</w:t>
      </w:r>
      <w:r>
        <w:rPr>
          <w:rFonts w:ascii="Times New Roman" w:hAnsi="Times New Roman" w:eastAsia="Times New Roman" w:cs="Times New Roman"/>
        </w:rPr>
        <w:t xml:space="preserve"> </w:t>
      </w:r>
      <w:r>
        <w:rPr>
          <w:rFonts w:ascii="Nirmala UI" w:hAnsi="Nirmala UI" w:eastAsia="Nirmala UI" w:cs="Nirmala UI"/>
        </w:rPr>
        <w:t>ᱵᱟᱹᱛᱮᱠᱟᱜ।</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ᱡᱷᱤᱡ</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ᱟᱣᱟᱡ</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ᱢᱮᱱᱟᱭᱟ।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ᱫᱷᱟᱨᱛᱤ</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ᱢᱩᱪᱟᱹᱛ</w:t>
      </w:r>
      <w:r>
        <w:rPr>
          <w:rFonts w:ascii="Times New Roman" w:hAnsi="Times New Roman" w:eastAsia="Times New Roman" w:cs="Times New Roman"/>
        </w:rPr>
        <w:t xml:space="preserve"> </w:t>
      </w:r>
      <w:r>
        <w:rPr>
          <w:rFonts w:ascii="Nirmala UI" w:hAnsi="Nirmala UI" w:eastAsia="Nirmala UI" w:cs="Nirmala UI"/>
        </w:rPr>
        <w:t>ᱚᱠᱛᱚᱨᱮ</w:t>
      </w:r>
      <w:r>
        <w:rPr>
          <w:rFonts w:ascii="Times New Roman" w:hAnsi="Times New Roman" w:eastAsia="Times New Roman" w:cs="Times New Roman"/>
        </w:rPr>
        <w:t xml:space="preserve"> </w:t>
      </w:r>
      <w:r>
        <w:rPr>
          <w:rFonts w:ascii="Nirmala UI" w:hAnsi="Nirmala UI" w:eastAsia="Nirmala UI" w:cs="Nirmala UI"/>
        </w:rPr>
        <w:t>ᱥᱮᱵᱮᱱᱛ</w:t>
      </w:r>
      <w:r>
        <w:rPr>
          <w:rFonts w:ascii="Times New Roman" w:hAnsi="Times New Roman" w:eastAsia="Times New Roman" w:cs="Times New Roman"/>
        </w:rPr>
        <w:t>-</w:t>
      </w:r>
      <w:r>
        <w:rPr>
          <w:rFonts w:ascii="Nirmala UI" w:hAnsi="Nirmala UI" w:eastAsia="Nirmala UI" w:cs="Nirmala UI"/>
        </w:rPr>
        <w:t>ᱰᱮ</w:t>
      </w:r>
      <w:r>
        <w:rPr>
          <w:rFonts w:ascii="Times New Roman" w:hAnsi="Times New Roman" w:eastAsia="Times New Roman" w:cs="Times New Roman"/>
        </w:rPr>
        <w:t xml:space="preserve"> </w:t>
      </w:r>
      <w:r>
        <w:rPr>
          <w:rFonts w:ascii="Nirmala UI" w:hAnsi="Nirmala UI" w:eastAsia="Nirmala UI" w:cs="Nirmala UI"/>
        </w:rPr>
        <w:t>ᱟᱰᱵᱷᱮᱱᱴᱤᱥᱴᱠᱚ</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ᱢᱮᱱᱮᱛᱟ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ᱛᱤᱱᱤ</w:t>
      </w:r>
      <w:r>
        <w:rPr>
          <w:rFonts w:ascii="Times New Roman" w:hAnsi="Times New Roman" w:eastAsia="Times New Roman" w:cs="Times New Roman"/>
        </w:rPr>
        <w:t xml:space="preserve"> </w:t>
      </w:r>
      <w:r>
        <w:rPr>
          <w:rFonts w:ascii="Nirmala UI" w:hAnsi="Nirmala UI" w:eastAsia="Nirmala UI" w:cs="Nirmala UI"/>
        </w:rPr>
        <w:t>ᱟᱢᱠᱮ</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ᱢᱮᱱᱟᱭᱟ</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ᱵᱟᱭᱵᱮᱞ</w:t>
      </w:r>
      <w:r>
        <w:rPr>
          <w:rFonts w:ascii="Times New Roman" w:hAnsi="Times New Roman" w:eastAsia="Times New Roman" w:cs="Times New Roman"/>
        </w:rPr>
        <w:t xml:space="preserve"> (</w:t>
      </w:r>
      <w:r>
        <w:rPr>
          <w:rFonts w:ascii="Nirmala UI" w:hAnsi="Nirmala UI" w:eastAsia="Nirmala UI" w:cs="Nirmala UI"/>
        </w:rPr>
        <w:t>ᱞᱮᱸᱜᱟ</w:t>
      </w:r>
      <w:r>
        <w:rPr>
          <w:rFonts w:ascii="Times New Roman" w:hAnsi="Times New Roman" w:eastAsia="Times New Roman" w:cs="Times New Roman"/>
        </w:rPr>
        <w:t xml:space="preserve">) </w:t>
      </w:r>
      <w:r>
        <w:rPr>
          <w:rFonts w:ascii="Nirmala UI" w:hAnsi="Nirmala UI" w:eastAsia="Nirmala UI" w:cs="Nirmala UI"/>
        </w:rPr>
        <w:t>ᱡᱷᱤᱡᱚᱜᱼᱟ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Spirit of Prophecy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ᱡᱷᱤᱡᱚᱜᱼᱟ</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ئېرىشىشقا تىيىش يولى يەرەمياھنىڭ گۇۋالىقى قوشۇلغاندا تېخىمۇ ئېنىق ۋە مۇئەييەن بولىدۇ.</w:t>
      </w:r>
    </w:p>
    <w:p>
      <w:pPr>
        <w:pStyle w:val="ArticleScripture"/>
        <w:jc w:val="left"/>
      </w:pPr>
      <w:r>
        <w:rPr>
          <w:rFonts w:ascii="Times New Roman" w:hAnsi="Times New Roman" w:eastAsia="Times New Roman" w:cs="Times New Roman"/>
        </w:rPr>
        <w:t>Тиймээс Эзэн ийнхүү айлдаж байна: Замуудын уулзвар дээр зогсож, харж, эртний жимүүдийг асуу; сайн зам нь хаана байгааг асууж, түүгээр яв. Тэгвэл та нар сэтгэлдээ амгаланг олох болно. Харин тэд: «Бид түүгээр явахгүй» гэв. Мөн Би та нарын дээр харуулуудыг тавин: «Бүрээний дууг сонсогтун» хэмээв. Харин тэд: «Бид сонсохгүй» гэв.</w:t>
      </w:r>
    </w:p>
    <w:p>
      <w:pPr>
        <w:pStyle w:val="ArticleScripture"/>
        <w:jc w:val="left"/>
      </w:pPr>
      <w:r>
        <w:rPr>
          <w:rFonts w:ascii="Times New Roman" w:hAnsi="Times New Roman" w:eastAsia="Times New Roman" w:cs="Times New Roman"/>
        </w:rPr>
        <w:t>Tehát halljátok meg, ti nemzetek, és tudd meg, ó gyülekezet, mi van közöttük. Halljad, ó föld: ímé, veszedelmet hozok e népre, gondolataik gyümölcsét, mert nem hallgattak szavaimra, sem törvényemre, hanem megvetették azt. Jeremiás 6:16–19.</w:t>
      </w:r>
    </w:p>
    <w:p>
      <w:pPr>
        <w:pStyle w:val="ArticleBody"/>
        <w:jc w:val="left"/>
      </w:pPr>
      <w:r>
        <w:rPr>
          <w:rFonts w:ascii="Times New Roman" w:hAnsi="Times New Roman" w:eastAsia="Times New Roman" w:cs="Times New Roman"/>
        </w:rPr>
        <w:t>Aya nniɛma mmienu na wɔsom wɔ saa asɛm no mu. Kuw bi no hwehwɛ “akwan” no nyinaa mu, na wɔpaw “akwankyire dada” no sɛ wɔnnantew so. Ná wotumi yi “kwan pa” no fi “akwan” foforo a ebetumi aba nyinaa mu, efisɛ wɔn ne wɔn a wotie nne a efi wɔn akyi no, na saa nne no ka kyerɛɛ wɔn sɛ, “eyi ne kwan no, monnantew mu.” Yohane gyina hɔ ma wɔn a wɔte nne no fi akyi, nne a efi “akwankyire dada” no mu.</w:t>
      </w:r>
    </w:p>
    <w:p>
      <w:pPr>
        <w:pStyle w:val="ArticleScripture"/>
        <w:jc w:val="left"/>
      </w:pPr>
      <w:r>
        <w:rPr>
          <w:rFonts w:ascii="Times New Roman" w:hAnsi="Times New Roman" w:eastAsia="Times New Roman" w:cs="Times New Roman"/>
        </w:rPr>
        <w:t>“‘</w:t>
      </w:r>
      <w:r>
        <w:rPr>
          <w:rFonts w:ascii="Gadugi" w:hAnsi="Gadugi" w:eastAsia="Gadugi" w:cs="Gadugi"/>
        </w:rPr>
        <w:t>ᎯᏰᎵ</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ᏗᏣᎴᏅᎢ</w:t>
      </w:r>
      <w:r>
        <w:rPr>
          <w:rFonts w:ascii="Times New Roman" w:hAnsi="Times New Roman" w:eastAsia="Times New Roman" w:cs="Times New Roman"/>
        </w:rPr>
        <w:t xml:space="preserve"> </w:t>
      </w:r>
      <w:r>
        <w:rPr>
          <w:rFonts w:ascii="Gadugi" w:hAnsi="Gadugi" w:eastAsia="Gadugi" w:cs="Gadugi"/>
        </w:rPr>
        <w:t>ᎦᏅᎢᎬᎢ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ᎢᏣᎦᏙᎥᎢ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ᎢᏣᏔᏲᎭ</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ᎦᏅᎢᏍᏗ</w:t>
      </w:r>
      <w:r>
        <w:rPr>
          <w:rFonts w:ascii="Times New Roman" w:hAnsi="Times New Roman" w:eastAsia="Times New Roman" w:cs="Times New Roman"/>
        </w:rPr>
        <w:t xml:space="preserve">, </w:t>
      </w:r>
      <w:r>
        <w:rPr>
          <w:rFonts w:ascii="Gadugi" w:hAnsi="Gadugi" w:eastAsia="Gadugi" w:cs="Gadugi"/>
        </w:rPr>
        <w:t>ᎭᏢ</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ᎦᏅᎢᏍᏗ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ᏫᏥᎶᏒᎭ</w:t>
      </w:r>
      <w:r>
        <w:rPr>
          <w:rFonts w:ascii="Times New Roman" w:hAnsi="Times New Roman" w:eastAsia="Times New Roman" w:cs="Times New Roman"/>
        </w:rPr>
        <w:t>.’ Jeremiah 6:16.”</w:t>
      </w:r>
    </w:p>
    <w:p>
      <w:pPr>
        <w:pStyle w:val="ArticleScripture"/>
        <w:jc w:val="left"/>
      </w:pPr>
      <w:r>
        <w:rPr>
          <w:rFonts w:ascii="Times New Roman" w:hAnsi="Times New Roman" w:eastAsia="Times New Roman" w:cs="Times New Roman"/>
        </w:rPr>
        <w:t>“Agyinipa mu mmɔmmɔ sɛ ɔremmɔ mmɔden ntetew yɛn gyidie fapem no ngu—fapem a wɔde mpaeɛ mu adesua a emu dɔ wɔ Asɛm no mu ne adiyie too hɔ wɔ yɛn adwuma mfiase. Saa fapem yi so na yɛasi adan mfeɛ aduonum a atwam no nyinaa mu. Ebia nnipa bɛsusu sɛ wɔahu ɔkwan foforo bi, na sɛ wobetumi ato fapem a ɛyɛ den sen deɛ wɔato dada no. Nanso eyi yɛ nnaadaa kɛseɛ. Obiara rentumi nto fapem foforo biara gye deɛ wɔato dada no.”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မင်းတုန်းက</w:t>
      </w:r>
      <w:r>
        <w:rPr>
          <w:rFonts w:ascii="Times New Roman" w:hAnsi="Times New Roman" w:eastAsia="Times New Roman" w:cs="Times New Roman"/>
        </w:rPr>
        <w:t xml:space="preserve"> </w:t>
      </w:r>
      <w:r>
        <w:rPr>
          <w:rFonts w:ascii="Myanmar Text" w:hAnsi="Myanmar Text" w:eastAsia="Myanmar Text" w:cs="Myanmar Text"/>
        </w:rPr>
        <w:t>လူအများသည်</w:t>
      </w:r>
      <w:r>
        <w:rPr>
          <w:rFonts w:ascii="Times New Roman" w:hAnsi="Times New Roman" w:eastAsia="Times New Roman" w:cs="Times New Roman"/>
        </w:rPr>
        <w:t xml:space="preserve"> </w:t>
      </w:r>
      <w:r>
        <w:rPr>
          <w:rFonts w:ascii="Myanmar Text" w:hAnsi="Myanmar Text" w:eastAsia="Myanmar Text" w:cs="Myanmar Text"/>
        </w:rPr>
        <w:t>ယုံကြည်ခြင်းအသစ်တစ်ရပ်ကို</w:t>
      </w:r>
      <w:r>
        <w:rPr>
          <w:rFonts w:ascii="Times New Roman" w:hAnsi="Times New Roman" w:eastAsia="Times New Roman" w:cs="Times New Roman"/>
        </w:rPr>
        <w:t xml:space="preserve"> </w:t>
      </w:r>
      <w:r>
        <w:rPr>
          <w:rFonts w:ascii="Myanmar Text" w:hAnsi="Myanmar Text" w:eastAsia="Myanmar Text" w:cs="Myanmar Text"/>
        </w:rPr>
        <w:t>တည်ဆောက်ရန်၊</w:t>
      </w:r>
      <w:r>
        <w:rPr>
          <w:rFonts w:ascii="Times New Roman" w:hAnsi="Times New Roman" w:eastAsia="Times New Roman" w:cs="Times New Roman"/>
        </w:rPr>
        <w:t xml:space="preserve"> </w:t>
      </w:r>
      <w:r>
        <w:rPr>
          <w:rFonts w:ascii="Myanmar Text" w:hAnsi="Myanmar Text" w:eastAsia="Myanmar Text" w:cs="Myanmar Text"/>
        </w:rPr>
        <w:t>အခြေခံသဘောတရားအသစ်များကို</w:t>
      </w:r>
      <w:r>
        <w:rPr>
          <w:rFonts w:ascii="Times New Roman" w:hAnsi="Times New Roman" w:eastAsia="Times New Roman" w:cs="Times New Roman"/>
        </w:rPr>
        <w:t xml:space="preserve"> </w:t>
      </w:r>
      <w:r>
        <w:rPr>
          <w:rFonts w:ascii="Myanmar Text" w:hAnsi="Myanmar Text" w:eastAsia="Myanmar Text" w:cs="Myanmar Text"/>
        </w:rPr>
        <w:t>တည်ထောင်ရန်</w:t>
      </w:r>
      <w:r>
        <w:rPr>
          <w:rFonts w:ascii="Times New Roman" w:hAnsi="Times New Roman" w:eastAsia="Times New Roman" w:cs="Times New Roman"/>
        </w:rPr>
        <w:t xml:space="preserve"> </w:t>
      </w:r>
      <w:r>
        <w:rPr>
          <w:rFonts w:ascii="Myanmar Text" w:hAnsi="Myanmar Text" w:eastAsia="Myanmar Text" w:cs="Myanmar Text"/>
        </w:rPr>
        <w:t>ကြိုးပမ်းခဲ့ကြသည်။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တည်ဆောက်မှုသည်</w:t>
      </w:r>
      <w:r>
        <w:rPr>
          <w:rFonts w:ascii="Times New Roman" w:hAnsi="Times New Roman" w:eastAsia="Times New Roman" w:cs="Times New Roman"/>
        </w:rPr>
        <w:t xml:space="preserve"> </w:t>
      </w:r>
      <w:r>
        <w:rPr>
          <w:rFonts w:ascii="Myanmar Text" w:hAnsi="Myanmar Text" w:eastAsia="Myanmar Text" w:cs="Myanmar Text"/>
        </w:rPr>
        <w:t>မည်မျှကြာကြာ</w:t>
      </w:r>
      <w:r>
        <w:rPr>
          <w:rFonts w:ascii="Times New Roman" w:hAnsi="Times New Roman" w:eastAsia="Times New Roman" w:cs="Times New Roman"/>
        </w:rPr>
        <w:t xml:space="preserve"> </w:t>
      </w:r>
      <w:r>
        <w:rPr>
          <w:rFonts w:ascii="Myanmar Text" w:hAnsi="Myanmar Text" w:eastAsia="Myanmar Text" w:cs="Myanmar Text"/>
        </w:rPr>
        <w:t>တည်ရှိခဲ့သနည်း။</w:t>
      </w:r>
      <w:r>
        <w:rPr>
          <w:rFonts w:ascii="Times New Roman" w:hAnsi="Times New Roman" w:eastAsia="Times New Roman" w:cs="Times New Roman"/>
        </w:rPr>
        <w:t xml:space="preserve"> </w:t>
      </w:r>
      <w:r>
        <w:rPr>
          <w:rFonts w:ascii="Myanmar Text" w:hAnsi="Myanmar Text" w:eastAsia="Myanmar Text" w:cs="Myanmar Text"/>
        </w:rPr>
        <w:t>မကြာမီပင်</w:t>
      </w:r>
      <w:r>
        <w:rPr>
          <w:rFonts w:ascii="Times New Roman" w:hAnsi="Times New Roman" w:eastAsia="Times New Roman" w:cs="Times New Roman"/>
        </w:rPr>
        <w:t xml:space="preserve"> </w:t>
      </w:r>
      <w:r>
        <w:rPr>
          <w:rFonts w:ascii="Myanmar Text" w:hAnsi="Myanmar Text" w:eastAsia="Myanmar Text" w:cs="Myanmar Text"/>
        </w:rPr>
        <w:t>ပြိုလဲသွားခဲ့သည်၊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ကျောက်ဆောင်ပေါ်၌</w:t>
      </w:r>
      <w:r>
        <w:rPr>
          <w:rFonts w:ascii="Times New Roman" w:hAnsi="Times New Roman" w:eastAsia="Times New Roman" w:cs="Times New Roman"/>
        </w:rPr>
        <w:t xml:space="preserve"> </w:t>
      </w:r>
      <w:r>
        <w:rPr>
          <w:rFonts w:ascii="Myanmar Text" w:hAnsi="Myanmar Text" w:eastAsia="Myanmar Text" w:cs="Myanmar Text"/>
        </w:rPr>
        <w:t>အခြေမချထားသောကြောင့်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«Ndahe ryari abigishwa ba mbere batagombaga guhura n’amagambo y’abantu? Mbese ntibagombaga kumva inyigisho z’ibinyoma, hanyuma, bamaze gukora byose, bagahagarara bashikamye, bavuga bati: “Nta wundi musingi umuntu ashobora gushyiraho utari uwamaze gushyirwaho”? 1 Abakorinto 3:11.»</w:t>
      </w:r>
    </w:p>
    <w:p>
      <w:pPr>
        <w:pStyle w:val="ArticleScripture"/>
        <w:jc w:val="left"/>
      </w:pPr>
      <w:r>
        <w:rPr>
          <w:rFonts w:ascii="Times New Roman" w:hAnsi="Times New Roman" w:eastAsia="Times New Roman" w:cs="Times New Roman"/>
        </w:rPr>
        <w:t>“أبناءً على ذلك، ينبغي لنا أن نتمسّك ببداءة ثقتنا ثابتةً إلى النهاية. لقد أُرسِلَت كلمات قوة من الله ومن المسيح إلى هذا الشعب، تُخرجهم من العالم، نقطةً فنقطة، إلى النور الواضح للحق الحاضر. وبشفاهٍ قد مستها نار مقدسة، أعلن خدام الله الرسالة. وقد وضع القول الإلهي ختمه على أصالة الحق المُعلَن.” الشهادات، المجلد 8، 296، 297.</w:t>
      </w:r>
    </w:p>
    <w:p>
      <w:pPr>
        <w:pStyle w:val="ArticleBody"/>
        <w:jc w:val="left"/>
      </w:pPr>
      <w:r>
        <w:rPr>
          <w:rFonts w:ascii="Times New Roman" w:hAnsi="Times New Roman" w:eastAsia="Times New Roman" w:cs="Times New Roman"/>
        </w:rPr>
        <w:t>Gama, akwai wata ƙungiya a cikin layin Irmiya, kuma wannan “taro,” kamar yadda ya bayyana su, sun gina wani gida mai wakiltar sabon bangaskiya, kuma wannan gidan ya fāɗi domin ba a gina shi a bisa dutsen nan ba. Wannan gidan shi ne Ikilisiyar Seventh-day Adventist, ko kuma kamar yadda Yohanna ya bayyana wannan ikilisiya ɗin guda ɗaya—majami’ar Shaidan.</w:t>
      </w:r>
    </w:p>
    <w:p>
      <w:pPr>
        <w:pStyle w:val="ArticleBody"/>
        <w:jc w:val="left"/>
      </w:pPr>
      <w:r>
        <w:rPr>
          <w:rFonts w:ascii="Times New Roman" w:hAnsi="Times New Roman" w:eastAsia="Times New Roman" w:cs="Times New Roman"/>
        </w:rPr>
        <w:t>Мааразон аһарба гээшэнь Түүний «үгэнүүд» болон Түүний «хуулиие» буруушааха ябадал мүн. Тэдэнэй гэдэргээ бусажа, эртын харгынуудаар ябахаһаа урбажа, тэрэшэлэн харуулшанай бүреэгэй мэдээсэлые шагнахаһаа арсалһанһаань боложо, Бурхан Иеремиин «муу суглаан» гэжэ нэрлэһэн арад дээрэ гай зоболон асарха гэжэ байна. Лаодикейн Долоодохи үдэрэй Адвентист сүмэтэй Бурханай яажа харилсаха тухай асуудал Библиин зүгнэлтын нэгэ сэдэб мүн. Зөншэ Һошеэ тэдэниие юундэ буруушаагдадаг тухай хэлэхэдээ, «муу суглаанай» шэнжэ шанарта нэмэрилнэ.</w:t>
      </w:r>
    </w:p>
    <w:p>
      <w:pPr>
        <w:pStyle w:val="ArticleScripture"/>
        <w:jc w:val="left"/>
      </w:pPr>
      <w:r>
        <w:rPr>
          <w:rFonts w:ascii="Times New Roman" w:hAnsi="Times New Roman" w:eastAsia="Times New Roman" w:cs="Times New Roman"/>
        </w:rPr>
        <w:t>خەڵکی من بەهۆی نەبوونی زانیاری لەناودەچن؛ چونکە تۆ زانیاریت ڕەتکردەوە، منیش تۆ ڕەتدەکەمەوە، تاکو کاهینم بۆ من نەبیت؛ چونکە تۆ شەریعەتی خودای خۆتت لەبیرکردووە، منیش منداڵەکانت لەبیر دەکەم. هۆشەع 4:6.</w:t>
      </w:r>
    </w:p>
    <w:p>
      <w:pPr>
        <w:pStyle w:val="ArticleBody"/>
        <w:jc w:val="left"/>
      </w:pPr>
      <w:r>
        <w:rPr>
          <w:rFonts w:ascii="Times New Roman" w:hAnsi="Times New Roman" w:eastAsia="Times New Roman" w:cs="Times New Roman"/>
        </w:rPr>
        <w:t>میان بێ‌زانییەوە ڕەت دەکرێن، کە ئەمە پەیامێک نیشان دەدات لە کاتی کۆتایی‌دا کراوە دەبێتەوە. لێرەدا خودا پەیوەندیی پەیمانی خۆی لەگەڵ گەلەکەی کۆتایی پێ دێنێت لەو دەقەدا، چونکە بەڕاستەوخۆ بانگیان دەکات: «گەلی من!» چونکە مەسیحیان ڕەت کردووە و یاسای ئەویان لەبیر چووە، بۆ خودا کاهین نابن. کاتێک گەلی خودا دەچنە ناو پەیمان لەگەڵ خودادا، ئەو ئەوان دەکاتە کاهین و پاشا. کاتێک خودا لەگەڵ ئیسرائیلی کۆن چووە ناو پەیمان، لە ڕێگای موساوە ئەمەی ڕاگەیاند:</w:t>
      </w:r>
    </w:p>
    <w:p>
      <w:pPr>
        <w:pStyle w:val="ArticleScripture"/>
        <w:jc w:val="left"/>
      </w:pPr>
      <w:r>
        <w:rPr>
          <w:rFonts w:ascii="Times New Roman" w:hAnsi="Times New Roman" w:eastAsia="Times New Roman" w:cs="Times New Roman"/>
        </w:rPr>
        <w:t>"Ayijilmuna, noogo ñu déglu sama baat ci dëgg te sàmm sama kóllëre, kon dingeen nekk sama alal ju ma ëpp solo ci kow xeeti askan yi yépp; ndaxte suuf sépp moom naa ko. Te dingeen nekk ci sama kanam buurug saraxalekat ak xeet bu sell. Loolu mooy wax yi ngay wax ak waa Israayil." Esóod 19:5, 6.</w:t>
      </w:r>
    </w:p>
    <w:p>
      <w:pPr>
        <w:pStyle w:val="ArticleBody"/>
        <w:jc w:val="left"/>
      </w:pPr>
      <w:r>
        <w:rPr>
          <w:rFonts w:ascii="Times New Roman" w:hAnsi="Times New Roman" w:eastAsia="Times New Roman" w:cs="Times New Roman"/>
        </w:rPr>
        <w:t>Aqsaqtun Pitaq aqqutigalugo ima oqarami kristumiut ilagiivinik angerfiginninnermini:</w:t>
      </w:r>
    </w:p>
    <w:p>
      <w:pPr>
        <w:pStyle w:val="ArticleScripture"/>
        <w:jc w:val="left"/>
      </w:pPr>
      <w:r>
        <w:rPr>
          <w:rFonts w:ascii="Times New Roman" w:hAnsi="Times New Roman" w:eastAsia="Times New Roman" w:cs="Times New Roman"/>
        </w:rPr>
        <w:t>Ngunit kayo ay isang lahing hinirang, isang makaharing pagkasaserdote, isang bansang banal, isang bayang tanging pag-aari; upang inyong ipahayag ang mga kapurihan niyaong tumawag sa inyo mula sa kadiliman tungo sa kaniyang kagila-gilalas na liwanag: na noong unang panahon ay hindi isang bayan, ngunit ngayon ay bayan ng Dios: na hindi nagkamit ng awa, ngunit ngayon ay nagkamit na ng awa. 1 Pedro 2:9, 10.</w:t>
      </w:r>
    </w:p>
    <w:p>
      <w:pPr>
        <w:pStyle w:val="ArticleBody"/>
        <w:jc w:val="left"/>
      </w:pPr>
      <w:r>
        <w:rPr>
          <w:rFonts w:ascii="Times New Roman" w:hAnsi="Times New Roman" w:eastAsia="Times New Roman" w:cs="Times New Roman"/>
        </w:rPr>
        <w:t>Петро в цих віршах звертається до переходу від давнього Ізраїля як Божого вибраного завітного народу до християнської Церкви, коли говорить, що «колись не народ, а тепер народ Божий». Коли юдеї відлучили себе від Бога, Господь уклав завіт із християнською Церквою. І той, і друга вважалися народами священиків, доки перебували в шлюбному союзі з Господом.</w:t>
      </w:r>
    </w:p>
    <w:p>
      <w:pPr>
        <w:pStyle w:val="ArticleBody"/>
        <w:jc w:val="left"/>
      </w:pPr>
      <w:r>
        <w:rPr>
          <w:rFonts w:ascii="Times New Roman" w:hAnsi="Times New Roman" w:eastAsia="Times New Roman" w:cs="Times New Roman"/>
        </w:rPr>
        <w:t>Раджал ама иуныс, уаман бӕрц куыд уыдис фӕдзӕхст адӕм. Авентист сӕдӕмбон бонты цӕуӕгтӕ Авентистон историйы райдайӕны Хуыцаумӕ фӕдылцыдӕр цыдæртты. Сӕрмагондӕйы цӕрӕг уырыс Реформацийӕй рацыд, фӕлӕ Миллерон хабар райхъуысты, ӕмӕ уымӕ гӕсгӕ тарихы фыццаг ӕмӕ дыууӕн ангелты фехъусуты рӕстӕджы Хуыцауӕй сӕхи аерын кодтой. Фӕстаг хайрӕджы уыдис дыууӕн ангелы æрцыд ӕмӕ загъд æрцыд, ӕмӕ сӕ Христосы чызг нӕ уыдысты, фӕлӕ Вавилоны чызг уыдысты. Уый фӕстӕ, Æхсӕвхуызы зӕгъуыды рӕстӕджы, Хуыцау Йæ ног усмӕ нымад фӕдылдзӕг куывдымӕ сидзӕр кодта.</w:t>
      </w:r>
    </w:p>
    <w:p>
      <w:pPr>
        <w:pStyle w:val="ArticleBody"/>
        <w:jc w:val="left"/>
      </w:pPr>
      <w:r>
        <w:rPr>
          <w:rFonts w:ascii="Times New Roman" w:hAnsi="Times New Roman" w:eastAsia="Times New Roman" w:cs="Times New Roman"/>
        </w:rPr>
        <w:t>دو لوحی که برای اسرائیل باستان نماد عهد بودند، همان دو لوح ده فرمان بودند؛ و دو لوح برای اسرائیل روحانیِ نوین، دو لوح حبقوق‌اند که در نمودارهای 1843 و 1850 بازنمایی شده‌اند. قومِ عهد که الهام آنان را مکرراً لائودکیه معرفی کرده است، راه‌های قدیم را رد کردند، از شنیدن صدایی که از پشت سرشان بود سر باز زدند، و از این‌رو تاریخ پایانیِ اسرائیل باستان را تکرار می‌کنند، آنگاه که از دهان خداوند بیرون افکنده می‌شوند. چرا این امر بر کسانی واقع می‌شود که او ایشان را «قوم من» می‌خواند؟</w:t>
      </w:r>
    </w:p>
    <w:p>
      <w:pPr>
        <w:pStyle w:val="ArticleBody"/>
        <w:jc w:val="left"/>
      </w:pPr>
      <w:r>
        <w:rPr>
          <w:rFonts w:ascii="Times New Roman" w:hAnsi="Times New Roman" w:eastAsia="Times New Roman" w:cs="Times New Roman"/>
        </w:rPr>
        <w:t>Parábola ya virgenes diez, ukax Adventismoan experienciap uñacht’ayi, pä kuti phuqhasi: nayra qalltanx phuqhasi, ukatsti qhipa tukuyanx phuqharakiwa Adventismoan. Hermana Whiteax yatichiwa, parábolax phuqhasïnwa ukat phuqhasiniwa qillqataparjama taqpacha, ukhamarak parábolax sapa kutiw jichha chiqpach yatiyäwjam amuyasiñapa, kunjamtï kimsïr angelax ukhamaraki.</w:t>
      </w:r>
    </w:p>
    <w:p>
      <w:pPr>
        <w:pStyle w:val="ArticleScripture"/>
        <w:jc w:val="left"/>
      </w:pPr>
      <w:r>
        <w:rPr>
          <w:rFonts w:ascii="Times New Roman" w:hAnsi="Times New Roman" w:eastAsia="Times New Roman" w:cs="Times New Roman"/>
        </w:rPr>
        <w:t>«من بارها به مَثَلِ ده باکره ارجاع داده شده‌ام؛ پنج تن از ایشان دانا بودند و پنج تن نادان. این مَثَل تا به دقیق‌ترین وجهِ آن تحقق یافته است و تحقق خواهد یافت، زیرا کاربردی ویژه برای این زمان دارد و، همانند پیام فرشتهٔ سوم، تحقق یافته است و تا پایان زمان همچنان حقیقتِ حاضر خواهد بود.» ریویو اَند هِرالد، ۱۹ اوت ۱۸۹۰.</w:t>
      </w:r>
    </w:p>
    <w:p>
      <w:pPr>
        <w:pStyle w:val="ArticleBody"/>
        <w:jc w:val="left"/>
      </w:pPr>
      <w:r>
        <w:rPr>
          <w:rFonts w:ascii="Times New Roman" w:hAnsi="Times New Roman" w:eastAsia="Times New Roman" w:cs="Times New Roman"/>
        </w:rPr>
        <w:t>ئەدوەنتیستیی میلێری لە نێوان پێشبینیی هەڵەی ساڵی 1843 و پێشبینیی دروستی 22ی ئۆکتۆبری 1844دا، چاوەڕوانیی ناو مەثەڵەکەی تەواو کرد. وردەکارییە پێغەمبەرانەکانی ئەم مێژووە زۆر و گرنگن، بەڵام من تەنها دەمەوێت دیاری بکەم کە مەثەڵەی دە خەستەخواز بەڕاستەوخۆ پەیوەستە بە فریشتەی سێیەم، وەک خوشک وایت ئێستا باسیکرد.</w:t>
      </w:r>
    </w:p>
    <w:p>
      <w:pPr>
        <w:pStyle w:val="ArticleBody"/>
        <w:jc w:val="left"/>
      </w:pPr>
      <w:r>
        <w:rPr>
          <w:rFonts w:ascii="Times New Roman" w:hAnsi="Times New Roman" w:eastAsia="Times New Roman" w:cs="Times New Roman"/>
        </w:rPr>
        <w:t>1798-ныл октябрь 22, 1844-ыыт тэрээт баһаарыы арыллыытын бастакы аҥаар тыаһа биллэрбитэ. Тэрээт саҕаланыытын иннинээҕи кэмҥэ уон кыыс туһунан үгэстэрдээх үрдүк хоһоонун «Түүн ортотооҕу ытааһын» толоруллубута. Ол иһин, үһүс аҥаар тыаһа тэрээт түмүгэрэрин биллэрэр кэмҥэ, «Түүн ортотооҕу ытааһын» биллэрииэ эмиэ хатанан үтүөлэнэн биллэриллэр.</w:t>
      </w:r>
    </w:p>
    <w:p>
      <w:pPr>
        <w:pStyle w:val="ArticleBody"/>
        <w:jc w:val="left"/>
      </w:pPr>
      <w:r>
        <w:rPr>
          <w:rFonts w:ascii="Times New Roman" w:hAnsi="Times New Roman" w:eastAsia="Times New Roman" w:cs="Times New Roman"/>
        </w:rPr>
        <w:t>Anayqutawipa iglesiakuna Diospa willakuyninta chinkachisqankuta reqsiy, chayrayku Babiloniapa ususinkuna tukusqankuta, iskay ñiqin angelpa willakuynin chayamunqanmi karqa, hinaspataq tinkupaq rimaypi “sapa imayninman hina hunt’asqa” karqanpi suyasqa pachaq qallariynin. Señorqa 1843 watapi manam kutimurqachu; payqa suyarqan, virgenkunata pruebaykuspa bendecinanpaq. Iskay ñiqin angelpa willakuynin, anayqutawipa iglesiakunata Babiloniapa ususinkuna kasqankuta reqsichispa, chay urmasqa iglesiakunapiraq kaqkunapa lluqsimunankupaq waqyasqam karqa, hinaspa Milleritakunawan sayarinankupaq, profeciakunamanta paykunapa entiendisqankuwan kuska. Exeter camp meeting nisqapi Samuel Snowqa Señorpa hamunanta 1844 watapi octubre killapa 22 punchawninpi chiqaqchaspa qhawaykunapaq munasqa prueba-kunata qusqan; hinaspataq Chawpi Tuta Qapariy willakuymi llaqtantinpi mama quchapa hatun unupaq hina phawaykurqan. Chaymantataq kimsa ñiqin angelqa 1844 watapi octubre killapa 22 punchawpi Hatun Llakikuypi chayamurqan.</w:t>
      </w:r>
    </w:p>
    <w:p>
      <w:pPr>
        <w:pStyle w:val="ArticleBody"/>
        <w:jc w:val="left"/>
      </w:pPr>
      <w:r>
        <w:rPr>
          <w:rFonts w:ascii="Times New Roman" w:hAnsi="Times New Roman" w:eastAsia="Times New Roman" w:cs="Times New Roman"/>
        </w:rPr>
        <w:t>Kayin ñawpaq historiapa huk pisilla huñunakuyninmi karqa; ashka puntokunata saqesqani, huk iskay-kimsa puntokunallata t’aqanaspaq, imaraykuchus chaykunaqa ñuqanchik rimasqanchikman aswan chayllamanta tupaqkama rikurinku.</w:t>
      </w:r>
    </w:p>
    <w:p>
      <w:pPr>
        <w:pStyle w:val="ArticleBody"/>
        <w:jc w:val="left"/>
      </w:pPr>
      <w:r>
        <w:rPr>
          <w:rFonts w:ascii="Times New Roman" w:hAnsi="Times New Roman" w:eastAsia="Times New Roman" w:cs="Times New Roman"/>
        </w:rPr>
        <w:t>Ñuqanchik kay yuyaykunata qhipa qillqapiqa qatipasaqku.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 Təsirli Xəbərdarlıqlar - Birinci Nömrə</dc:title>
  <dc:subject>उत्‍पन्न मानवजाति के लिए अंतिम चेतावनी का ज्ञान: येशु मसीह का प्रकाशन</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